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emf" ContentType="image/x-em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F39AD74">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44DC1E9E">
      <w:pPr>
        <w:ind w:right="280"/>
        <w:jc w:val="center"/>
        <w:rPr>
          <w:rFonts w:ascii="宋体" w:hAnsi="宋体"/>
          <w:sz w:val="48"/>
          <w:szCs w:val="48"/>
        </w:rPr>
      </w:pPr>
    </w:p>
    <w:p w14:paraId="54D12D06">
      <w:pPr>
        <w:ind w:right="280"/>
        <w:jc w:val="center"/>
        <w:rPr>
          <w:rFonts w:ascii="宋体" w:hAnsi="宋体"/>
          <w:sz w:val="48"/>
          <w:szCs w:val="48"/>
        </w:rPr>
      </w:pPr>
    </w:p>
    <w:p w14:paraId="3AEB6540">
      <w:pPr>
        <w:ind w:right="280"/>
        <w:jc w:val="center"/>
        <w:rPr>
          <w:rFonts w:ascii="宋体" w:hAnsi="宋体"/>
          <w:sz w:val="48"/>
          <w:szCs w:val="48"/>
        </w:rPr>
      </w:pPr>
    </w:p>
    <w:p w14:paraId="65714235">
      <w:pPr>
        <w:ind w:right="280"/>
        <w:jc w:val="center"/>
        <w:rPr>
          <w:rFonts w:ascii="宋体" w:hAnsi="宋体"/>
          <w:sz w:val="48"/>
          <w:szCs w:val="48"/>
        </w:rPr>
      </w:pPr>
    </w:p>
    <w:p w14:paraId="60426BFF">
      <w:pPr>
        <w:ind w:right="280"/>
        <w:jc w:val="center"/>
        <w:rPr>
          <w:rFonts w:ascii="楷体_GB2312" w:hAnsi="宋体" w:eastAsia="楷体_GB2312"/>
          <w:sz w:val="52"/>
          <w:szCs w:val="52"/>
        </w:rPr>
      </w:pPr>
    </w:p>
    <w:p w14:paraId="62FDFCD1">
      <w:pPr>
        <w:ind w:right="280"/>
        <w:jc w:val="center"/>
        <w:rPr>
          <w:rFonts w:ascii="楷体_GB2312" w:hAnsi="宋体" w:eastAsia="楷体_GB2312"/>
          <w:sz w:val="52"/>
          <w:szCs w:val="52"/>
        </w:rPr>
      </w:pPr>
      <w:r>
        <w:rPr>
          <w:rFonts w:hint="eastAsia" w:ascii="楷体_GB2312" w:hAnsi="宋体" w:eastAsia="楷体_GB2312"/>
          <w:sz w:val="52"/>
          <w:szCs w:val="52"/>
          <w:highlight w:val="yellow"/>
        </w:rPr>
        <w:t>缸盖制芯线工艺布局优化改造技改项目</w:t>
      </w:r>
    </w:p>
    <w:p w14:paraId="31D96826">
      <w:pPr>
        <w:ind w:right="280"/>
        <w:jc w:val="center"/>
        <w:rPr>
          <w:sz w:val="28"/>
          <w:szCs w:val="28"/>
        </w:rPr>
      </w:pPr>
    </w:p>
    <w:p w14:paraId="66CE55C2">
      <w:pPr>
        <w:ind w:right="280"/>
        <w:jc w:val="center"/>
        <w:rPr>
          <w:sz w:val="28"/>
          <w:szCs w:val="28"/>
        </w:rPr>
      </w:pPr>
    </w:p>
    <w:p w14:paraId="1D35A34D">
      <w:pPr>
        <w:jc w:val="center"/>
        <w:rPr>
          <w:rFonts w:ascii="宋体" w:hAnsi="宋体" w:cs="宋体"/>
          <w:sz w:val="72"/>
          <w:szCs w:val="72"/>
        </w:rPr>
      </w:pPr>
      <w:r>
        <w:rPr>
          <w:rFonts w:hint="eastAsia" w:ascii="宋体" w:hAnsi="宋体" w:cs="宋体"/>
          <w:sz w:val="72"/>
          <w:szCs w:val="72"/>
        </w:rPr>
        <w:t>招标文件</w:t>
      </w:r>
    </w:p>
    <w:p w14:paraId="49873F0B">
      <w:pPr>
        <w:jc w:val="center"/>
        <w:rPr>
          <w:rFonts w:ascii="宋体" w:hAnsi="宋体"/>
          <w:sz w:val="48"/>
          <w:szCs w:val="48"/>
        </w:rPr>
      </w:pPr>
    </w:p>
    <w:p w14:paraId="778F179C">
      <w:pPr>
        <w:jc w:val="center"/>
        <w:rPr>
          <w:rFonts w:ascii="宋体" w:hAnsi="宋体"/>
          <w:sz w:val="48"/>
          <w:szCs w:val="48"/>
        </w:rPr>
      </w:pPr>
    </w:p>
    <w:p w14:paraId="74E7AC9B">
      <w:pPr>
        <w:widowControl/>
        <w:spacing w:line="360" w:lineRule="auto"/>
        <w:jc w:val="center"/>
        <w:rPr>
          <w:rFonts w:ascii="宋体" w:hAnsi="宋体" w:cs="宋体"/>
          <w:b/>
          <w:bCs/>
          <w:kern w:val="0"/>
          <w:sz w:val="32"/>
          <w:szCs w:val="32"/>
          <w:u w:val="single"/>
        </w:rPr>
      </w:pPr>
      <w:r>
        <w:rPr>
          <w:rFonts w:hint="eastAsia" w:ascii="宋体" w:hAnsi="宋体" w:cs="宋体"/>
          <w:b/>
          <w:bCs/>
          <w:kern w:val="0"/>
          <w:sz w:val="32"/>
          <w:szCs w:val="32"/>
        </w:rPr>
        <w:t>项目编号：</w:t>
      </w:r>
      <w:r>
        <w:rPr>
          <w:rFonts w:hint="eastAsia" w:ascii="宋体" w:hAnsi="宋体" w:cs="宋体"/>
          <w:b/>
          <w:bCs/>
          <w:kern w:val="0"/>
          <w:sz w:val="32"/>
          <w:szCs w:val="32"/>
          <w:highlight w:val="yellow"/>
        </w:rPr>
        <w:t>FSCZB2025100099</w:t>
      </w:r>
    </w:p>
    <w:p w14:paraId="4AB82AEB">
      <w:pPr>
        <w:jc w:val="center"/>
        <w:rPr>
          <w:rFonts w:ascii="宋体" w:hAnsi="宋体"/>
          <w:sz w:val="48"/>
          <w:szCs w:val="48"/>
        </w:rPr>
      </w:pPr>
    </w:p>
    <w:p w14:paraId="6876D25F">
      <w:pPr>
        <w:jc w:val="center"/>
        <w:rPr>
          <w:rFonts w:ascii="宋体" w:hAnsi="宋体"/>
          <w:sz w:val="48"/>
          <w:szCs w:val="48"/>
        </w:rPr>
      </w:pPr>
    </w:p>
    <w:p w14:paraId="32E7FBEB">
      <w:pPr>
        <w:jc w:val="center"/>
        <w:rPr>
          <w:rFonts w:ascii="宋体" w:hAnsi="宋体"/>
          <w:sz w:val="28"/>
          <w:szCs w:val="28"/>
        </w:rPr>
      </w:pPr>
    </w:p>
    <w:p w14:paraId="75C60C60">
      <w:pPr>
        <w:jc w:val="center"/>
        <w:rPr>
          <w:rFonts w:ascii="宋体" w:hAnsi="宋体"/>
          <w:sz w:val="28"/>
          <w:szCs w:val="28"/>
        </w:rPr>
      </w:pPr>
    </w:p>
    <w:p w14:paraId="389AA17F">
      <w:pPr>
        <w:jc w:val="center"/>
        <w:rPr>
          <w:rFonts w:ascii="宋体" w:hAnsi="宋体"/>
          <w:sz w:val="28"/>
          <w:szCs w:val="28"/>
        </w:rPr>
      </w:pPr>
      <w:r>
        <w:rPr>
          <w:rFonts w:hint="eastAsia" w:ascii="宋体" w:hAnsi="宋体"/>
          <w:sz w:val="28"/>
          <w:szCs w:val="28"/>
        </w:rPr>
        <w:t>招 标 人：中国重汽集团</w:t>
      </w:r>
      <w:r>
        <w:rPr>
          <w:rFonts w:hint="eastAsia" w:ascii="宋体" w:hAnsi="宋体"/>
          <w:sz w:val="28"/>
          <w:szCs w:val="28"/>
          <w:highlight w:val="yellow"/>
          <w:u w:val="single"/>
        </w:rPr>
        <w:t>济南动力</w:t>
      </w:r>
      <w:r>
        <w:rPr>
          <w:rFonts w:hint="eastAsia" w:ascii="宋体" w:hAnsi="宋体"/>
          <w:sz w:val="28"/>
          <w:szCs w:val="28"/>
        </w:rPr>
        <w:t>有限公司</w:t>
      </w:r>
    </w:p>
    <w:p w14:paraId="40F20C8B">
      <w:pPr>
        <w:jc w:val="center"/>
        <w:rPr>
          <w:rFonts w:ascii="宋体" w:hAnsi="宋体"/>
          <w:sz w:val="28"/>
          <w:szCs w:val="28"/>
        </w:rPr>
      </w:pPr>
    </w:p>
    <w:p w14:paraId="46FFAAE8">
      <w:pPr>
        <w:jc w:val="center"/>
        <w:rPr>
          <w:rFonts w:ascii="宋体" w:hAnsi="宋体"/>
          <w:sz w:val="28"/>
          <w:szCs w:val="28"/>
          <w:u w:val="single"/>
        </w:rPr>
      </w:pPr>
      <w:r>
        <w:rPr>
          <w:rFonts w:hint="eastAsia" w:ascii="宋体" w:hAnsi="宋体"/>
          <w:sz w:val="28"/>
          <w:szCs w:val="28"/>
          <w:u w:val="single"/>
        </w:rPr>
        <w:t>2025年10月</w:t>
      </w:r>
    </w:p>
    <w:p w14:paraId="648EE5A7">
      <w:pPr>
        <w:spacing w:line="480" w:lineRule="auto"/>
        <w:jc w:val="center"/>
        <w:rPr>
          <w:rFonts w:ascii="宋体" w:hAnsi="宋体"/>
          <w:b/>
          <w:bCs/>
          <w:sz w:val="48"/>
          <w:szCs w:val="48"/>
        </w:rPr>
      </w:pPr>
    </w:p>
    <w:p w14:paraId="6D70F323">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b/>
          <w:caps/>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aps/>
          <w:color w:val="auto"/>
          <w:kern w:val="2"/>
          <w:sz w:val="21"/>
          <w:szCs w:val="20"/>
          <w:lang w:val="zh-CN"/>
        </w:rPr>
      </w:sdtEndPr>
      <w:sdtContent>
        <w:p w14:paraId="2E29FA0A">
          <w:pPr>
            <w:pStyle w:val="68"/>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2D318A77">
          <w:pPr>
            <w:pStyle w:val="20"/>
            <w:tabs>
              <w:tab w:val="right" w:leader="middle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fldChar w:fldCharType="begin"/>
          </w:r>
          <w:r>
            <w:instrText xml:space="preserve"> HYPERLINK \l "_Toc7104" </w:instrText>
          </w:r>
          <w:r>
            <w:fldChar w:fldCharType="separate"/>
          </w:r>
          <w:r>
            <w:rPr>
              <w:rFonts w:hint="eastAsia"/>
            </w:rPr>
            <w:t>招标公告</w:t>
          </w:r>
          <w:r>
            <w:tab/>
          </w:r>
          <w:r>
            <w:fldChar w:fldCharType="begin"/>
          </w:r>
          <w:r>
            <w:instrText xml:space="preserve"> PAGEREF _Toc7104 \h </w:instrText>
          </w:r>
          <w:r>
            <w:fldChar w:fldCharType="separate"/>
          </w:r>
          <w:r>
            <w:t>- 1 -</w:t>
          </w:r>
          <w:r>
            <w:fldChar w:fldCharType="end"/>
          </w:r>
          <w:r>
            <w:fldChar w:fldCharType="end"/>
          </w:r>
        </w:p>
        <w:p w14:paraId="3EF86F9C">
          <w:pPr>
            <w:pStyle w:val="20"/>
            <w:tabs>
              <w:tab w:val="right" w:leader="middleDot" w:pos="9070"/>
              <w:tab w:val="clear" w:pos="8729"/>
            </w:tabs>
          </w:pPr>
          <w:r>
            <w:fldChar w:fldCharType="begin"/>
          </w:r>
          <w:r>
            <w:instrText xml:space="preserve"> HYPERLINK \l "_Toc7753" </w:instrText>
          </w:r>
          <w:r>
            <w:fldChar w:fldCharType="separate"/>
          </w:r>
          <w:r>
            <w:rPr>
              <w:rFonts w:hint="eastAsia"/>
            </w:rPr>
            <w:t>第一部分  投标人须知</w:t>
          </w:r>
          <w:r>
            <w:tab/>
          </w:r>
          <w:r>
            <w:fldChar w:fldCharType="begin"/>
          </w:r>
          <w:r>
            <w:instrText xml:space="preserve"> PAGEREF _Toc7753 \h </w:instrText>
          </w:r>
          <w:r>
            <w:fldChar w:fldCharType="separate"/>
          </w:r>
          <w:r>
            <w:t>- 2 -</w:t>
          </w:r>
          <w:r>
            <w:fldChar w:fldCharType="end"/>
          </w:r>
          <w:r>
            <w:fldChar w:fldCharType="end"/>
          </w:r>
        </w:p>
        <w:p w14:paraId="2EB84ADF">
          <w:pPr>
            <w:pStyle w:val="20"/>
            <w:tabs>
              <w:tab w:val="right" w:leader="middleDot" w:pos="9070"/>
              <w:tab w:val="clear" w:pos="8729"/>
            </w:tabs>
          </w:pPr>
          <w:r>
            <w:fldChar w:fldCharType="begin"/>
          </w:r>
          <w:r>
            <w:instrText xml:space="preserve"> HYPERLINK \l "_Toc1910" </w:instrText>
          </w:r>
          <w:r>
            <w:fldChar w:fldCharType="separate"/>
          </w:r>
          <w:r>
            <w:rPr>
              <w:rFonts w:hint="eastAsia"/>
            </w:rPr>
            <w:t>第二部分　技术标书</w:t>
          </w:r>
          <w:r>
            <w:tab/>
          </w:r>
          <w:r>
            <w:fldChar w:fldCharType="begin"/>
          </w:r>
          <w:r>
            <w:instrText xml:space="preserve"> PAGEREF _Toc1910 \h </w:instrText>
          </w:r>
          <w:r>
            <w:fldChar w:fldCharType="separate"/>
          </w:r>
          <w:r>
            <w:t>- 8 -</w:t>
          </w:r>
          <w:r>
            <w:fldChar w:fldCharType="end"/>
          </w:r>
          <w:r>
            <w:fldChar w:fldCharType="end"/>
          </w:r>
        </w:p>
        <w:p w14:paraId="1473B07B">
          <w:pPr>
            <w:pStyle w:val="20"/>
            <w:tabs>
              <w:tab w:val="right" w:leader="middleDot" w:pos="9070"/>
              <w:tab w:val="clear" w:pos="8729"/>
            </w:tabs>
          </w:pPr>
          <w:r>
            <w:fldChar w:fldCharType="begin"/>
          </w:r>
          <w:r>
            <w:instrText xml:space="preserve"> HYPERLINK \l "_Toc20595" </w:instrText>
          </w:r>
          <w:r>
            <w:fldChar w:fldCharType="separate"/>
          </w:r>
          <w:r>
            <w:rPr>
              <w:rFonts w:hint="eastAsia"/>
            </w:rPr>
            <w:t>第三部分　合同主要条款</w:t>
          </w:r>
          <w:r>
            <w:tab/>
          </w:r>
          <w:r>
            <w:fldChar w:fldCharType="begin"/>
          </w:r>
          <w:r>
            <w:instrText xml:space="preserve"> PAGEREF _Toc20595 \h </w:instrText>
          </w:r>
          <w:r>
            <w:fldChar w:fldCharType="separate"/>
          </w:r>
          <w:r>
            <w:t>- 8 -</w:t>
          </w:r>
          <w:r>
            <w:fldChar w:fldCharType="end"/>
          </w:r>
          <w:r>
            <w:fldChar w:fldCharType="end"/>
          </w:r>
        </w:p>
        <w:p w14:paraId="7B6CF7F5">
          <w:pPr>
            <w:pStyle w:val="20"/>
            <w:tabs>
              <w:tab w:val="right" w:leader="middleDot" w:pos="9070"/>
              <w:tab w:val="clear" w:pos="8729"/>
            </w:tabs>
          </w:pPr>
          <w:r>
            <w:fldChar w:fldCharType="begin"/>
          </w:r>
          <w:r>
            <w:instrText xml:space="preserve"> HYPERLINK \l "_Toc5925" </w:instrText>
          </w:r>
          <w:r>
            <w:fldChar w:fldCharType="separate"/>
          </w:r>
          <w:r>
            <w:rPr>
              <w:rFonts w:hint="eastAsia"/>
            </w:rPr>
            <w:t>第四部分　投标文件附件</w:t>
          </w:r>
          <w:r>
            <w:tab/>
          </w:r>
          <w:r>
            <w:fldChar w:fldCharType="begin"/>
          </w:r>
          <w:r>
            <w:instrText xml:space="preserve"> PAGEREF _Toc5925 \h </w:instrText>
          </w:r>
          <w:r>
            <w:fldChar w:fldCharType="separate"/>
          </w:r>
          <w:r>
            <w:t>- 9 -</w:t>
          </w:r>
          <w:r>
            <w:fldChar w:fldCharType="end"/>
          </w:r>
          <w:r>
            <w:fldChar w:fldCharType="end"/>
          </w:r>
        </w:p>
        <w:p w14:paraId="3DBAE112">
          <w:pPr>
            <w:pStyle w:val="20"/>
          </w:pPr>
          <w:r>
            <w:rPr>
              <w:rFonts w:hint="eastAsia" w:ascii="Calibri" w:hAnsi="Calibri"/>
              <w:bCs/>
              <w:kern w:val="44"/>
              <w:szCs w:val="44"/>
            </w:rPr>
            <w:fldChar w:fldCharType="end"/>
          </w:r>
        </w:p>
      </w:sdtContent>
    </w:sdt>
    <w:p w14:paraId="277CCCF3">
      <w:pPr>
        <w:pStyle w:val="2"/>
        <w:tabs>
          <w:tab w:val="left" w:pos="2940"/>
        </w:tabs>
        <w:spacing w:line="360" w:lineRule="auto"/>
      </w:pPr>
      <w:r>
        <w:tab/>
      </w:r>
    </w:p>
    <w:p w14:paraId="4B2E0053">
      <w:pPr>
        <w:pStyle w:val="2"/>
        <w:spacing w:line="360" w:lineRule="auto"/>
        <w:jc w:val="center"/>
      </w:pPr>
    </w:p>
    <w:p w14:paraId="5C0A0BAC">
      <w:pPr>
        <w:pStyle w:val="2"/>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51512E87">
      <w:pPr>
        <w:pStyle w:val="71"/>
      </w:pPr>
      <w:bookmarkStart w:id="0" w:name="_Toc47976587"/>
      <w:bookmarkStart w:id="1" w:name="_Toc7104"/>
      <w:r>
        <w:rPr>
          <w:rFonts w:hint="eastAsia"/>
        </w:rPr>
        <w:t>招标公告</w:t>
      </w:r>
      <w:bookmarkEnd w:id="0"/>
      <w:bookmarkEnd w:id="1"/>
    </w:p>
    <w:p w14:paraId="2B171B30">
      <w:pPr>
        <w:pStyle w:val="71"/>
        <w:rPr>
          <w:sz w:val="28"/>
        </w:rPr>
      </w:pPr>
      <w:bookmarkStart w:id="2" w:name="_Toc32474"/>
      <w:r>
        <w:rPr>
          <w:rFonts w:hint="eastAsia"/>
          <w:sz w:val="28"/>
        </w:rPr>
        <w:t>缸盖制芯线工艺布局优化改造技改项目招标公告</w:t>
      </w:r>
      <w:bookmarkEnd w:id="2"/>
    </w:p>
    <w:p w14:paraId="42D6BE84">
      <w:pPr>
        <w:pStyle w:val="71"/>
      </w:pPr>
    </w:p>
    <w:p w14:paraId="31DBEE65">
      <w:pPr>
        <w:pStyle w:val="72"/>
      </w:pPr>
      <w:bookmarkStart w:id="3" w:name="_Toc47976588"/>
      <w:r>
        <w:rPr>
          <w:rFonts w:hint="eastAsia"/>
        </w:rPr>
        <w:t>项目名称及项目编号</w:t>
      </w:r>
      <w:bookmarkEnd w:id="3"/>
    </w:p>
    <w:p w14:paraId="18AECFE8">
      <w:pPr>
        <w:pStyle w:val="73"/>
      </w:pPr>
      <w:r>
        <w:rPr>
          <w:rFonts w:hint="eastAsia"/>
        </w:rPr>
        <w:t>项目名称：</w:t>
      </w:r>
      <w:r>
        <w:rPr>
          <w:rFonts w:hint="eastAsia"/>
          <w:highlight w:val="yellow"/>
        </w:rPr>
        <w:t>缸盖制芯线工艺布局优化改造技改项目</w:t>
      </w:r>
    </w:p>
    <w:p w14:paraId="58AAF1E9">
      <w:pPr>
        <w:pStyle w:val="73"/>
      </w:pPr>
      <w:r>
        <w:rPr>
          <w:rFonts w:hint="eastAsia"/>
        </w:rPr>
        <w:t>项目编号：</w:t>
      </w:r>
      <w:r>
        <w:rPr>
          <w:rFonts w:hint="eastAsia"/>
          <w:highlight w:val="yellow"/>
        </w:rPr>
        <w:t xml:space="preserve"> FSCZB2025100099</w:t>
      </w:r>
    </w:p>
    <w:p w14:paraId="1E62F0AD">
      <w:pPr>
        <w:pStyle w:val="72"/>
      </w:pPr>
      <w:bookmarkStart w:id="4" w:name="_Toc47976589"/>
      <w:r>
        <w:rPr>
          <w:rFonts w:hint="eastAsia"/>
        </w:rPr>
        <w:t>项目概况及招标形式</w:t>
      </w:r>
      <w:bookmarkEnd w:id="4"/>
    </w:p>
    <w:p w14:paraId="7AFCF180">
      <w:pPr>
        <w:pStyle w:val="73"/>
        <w:numPr>
          <w:ilvl w:val="0"/>
          <w:numId w:val="9"/>
        </w:numPr>
      </w:pPr>
      <w:r>
        <w:rPr>
          <w:rFonts w:hint="eastAsia"/>
        </w:rPr>
        <w:t>招标内容：见技术标书</w:t>
      </w:r>
    </w:p>
    <w:p w14:paraId="7BD68BCB">
      <w:pPr>
        <w:pStyle w:val="73"/>
      </w:pPr>
      <w:r>
        <w:rPr>
          <w:rFonts w:hint="eastAsia"/>
        </w:rPr>
        <w:t>招标形式：</w:t>
      </w:r>
      <w:r>
        <w:rPr>
          <w:rFonts w:hint="eastAsia"/>
          <w:highlight w:val="yellow"/>
        </w:rPr>
        <w:t>公开招标</w:t>
      </w:r>
      <w:r>
        <w:rPr>
          <w:rStyle w:val="97"/>
          <w:rFonts w:hint="eastAsia"/>
          <w:b w:val="0"/>
          <w:highlight w:val="yellow"/>
        </w:rPr>
        <w:t>。</w:t>
      </w:r>
    </w:p>
    <w:p w14:paraId="2E182C1F">
      <w:pPr>
        <w:pStyle w:val="72"/>
        <w:rPr>
          <w:highlight w:val="yellow"/>
        </w:rPr>
      </w:pPr>
      <w:bookmarkStart w:id="5" w:name="_Toc47976590"/>
      <w:r>
        <w:rPr>
          <w:rFonts w:hint="eastAsia"/>
          <w:highlight w:val="yellow"/>
        </w:rPr>
        <w:t>投标人资格要求</w:t>
      </w:r>
      <w:bookmarkEnd w:id="5"/>
    </w:p>
    <w:p w14:paraId="6B9E0A29">
      <w:pPr>
        <w:pStyle w:val="73"/>
        <w:numPr>
          <w:ilvl w:val="0"/>
          <w:numId w:val="10"/>
        </w:numPr>
        <w:ind w:left="0" w:firstLine="0"/>
        <w:rPr>
          <w:b w:val="0"/>
          <w:bCs/>
        </w:rPr>
      </w:pPr>
      <w:r>
        <w:rPr>
          <w:rFonts w:hint="eastAsia"/>
          <w:b w:val="0"/>
          <w:bCs/>
        </w:rPr>
        <w:t>投标人须遵守《中华人民共和国招标投标法》及其它有关的法律和法规；为中华人民共和国境内注册的独立法人机构，具有独立承担民事责任能力；</w:t>
      </w:r>
    </w:p>
    <w:p w14:paraId="27688438">
      <w:pPr>
        <w:pStyle w:val="73"/>
        <w:numPr>
          <w:ilvl w:val="0"/>
          <w:numId w:val="10"/>
        </w:numPr>
        <w:ind w:left="0" w:firstLine="0"/>
        <w:rPr>
          <w:b w:val="0"/>
          <w:bCs/>
        </w:rPr>
      </w:pPr>
      <w:r>
        <w:rPr>
          <w:rFonts w:hint="eastAsia"/>
          <w:b w:val="0"/>
          <w:bCs/>
        </w:rPr>
        <w:t>拟标投人必须是在中华人民共和国境内注册的独立法人机构，具有独立承担民事责任能力；注册资金不少于人民币</w:t>
      </w:r>
      <w:r>
        <w:rPr>
          <w:b w:val="0"/>
          <w:bCs/>
          <w:u w:val="single"/>
        </w:rPr>
        <w:t>10</w:t>
      </w:r>
      <w:r>
        <w:rPr>
          <w:rFonts w:hint="eastAsia"/>
          <w:b w:val="0"/>
          <w:bCs/>
          <w:u w:val="single"/>
        </w:rPr>
        <w:t>00</w:t>
      </w:r>
      <w:r>
        <w:rPr>
          <w:rFonts w:hint="eastAsia"/>
          <w:b w:val="0"/>
          <w:bCs/>
        </w:rPr>
        <w:t>万元（或等值其他货币）；公司成立三年以上（以营业执照成立日期到开标当日满三年为准），且经营范围满足招标人需求；并在人员、设备、资金等方面具有承担本项目的能力；</w:t>
      </w:r>
    </w:p>
    <w:p w14:paraId="4F9DDD4B">
      <w:pPr>
        <w:pStyle w:val="73"/>
        <w:numPr>
          <w:ilvl w:val="0"/>
          <w:numId w:val="10"/>
        </w:numPr>
        <w:ind w:left="0" w:firstLine="0"/>
        <w:rPr>
          <w:b w:val="0"/>
          <w:bCs/>
        </w:rPr>
      </w:pPr>
      <w:r>
        <w:rPr>
          <w:rFonts w:hint="eastAsia"/>
          <w:b w:val="0"/>
          <w:bCs/>
        </w:rPr>
        <w:t>投标人须具有良好的商业信誉和健全的财务会计制度，财务状况和市场行为良好。没有处于被有权机关吊销营业执照、吊销资质、停业整顿、取消投标资格以及财产被接管、冻结或进入破产程序等；</w:t>
      </w:r>
    </w:p>
    <w:p w14:paraId="6E32BD0E">
      <w:pPr>
        <w:pStyle w:val="73"/>
        <w:numPr>
          <w:ilvl w:val="0"/>
          <w:numId w:val="10"/>
        </w:numPr>
        <w:ind w:left="0" w:firstLine="0"/>
        <w:rPr>
          <w:b w:val="0"/>
          <w:bCs/>
        </w:rPr>
      </w:pPr>
      <w:r>
        <w:rPr>
          <w:rFonts w:hint="eastAsia"/>
          <w:b w:val="0"/>
          <w:bCs/>
        </w:rPr>
        <w:t>投标人在“信用中国”中未列入联合惩戒失信人名单，且工商行政管理局的《国家企业信用信息公示系统》中查询不存在不良记录；</w:t>
      </w:r>
    </w:p>
    <w:p w14:paraId="1D340437">
      <w:pPr>
        <w:pStyle w:val="73"/>
        <w:numPr>
          <w:ilvl w:val="0"/>
          <w:numId w:val="10"/>
        </w:numPr>
        <w:ind w:left="0" w:firstLine="0"/>
        <w:rPr>
          <w:b w:val="0"/>
          <w:bCs/>
        </w:rPr>
      </w:pPr>
      <w:r>
        <w:rPr>
          <w:rFonts w:hint="eastAsia"/>
          <w:b w:val="0"/>
          <w:bCs/>
        </w:rPr>
        <w:t>无招标违规、谎报年度报告信息、提供虚假资质资料等行为或其他行政处罚记录；</w:t>
      </w:r>
    </w:p>
    <w:p w14:paraId="6C6F8B8A">
      <w:pPr>
        <w:pStyle w:val="73"/>
        <w:numPr>
          <w:ilvl w:val="0"/>
          <w:numId w:val="10"/>
        </w:numPr>
        <w:ind w:left="0" w:firstLine="0"/>
        <w:rPr>
          <w:b w:val="0"/>
          <w:bCs/>
        </w:rPr>
      </w:pPr>
      <w:r>
        <w:rPr>
          <w:rFonts w:hint="eastAsia"/>
          <w:b w:val="0"/>
          <w:bCs/>
        </w:rPr>
        <w:t>近三年内在经营活动中无与本项目有关的违法及重大违规情况；</w:t>
      </w:r>
    </w:p>
    <w:p w14:paraId="6FA512FC">
      <w:pPr>
        <w:pStyle w:val="73"/>
        <w:numPr>
          <w:ilvl w:val="0"/>
          <w:numId w:val="10"/>
        </w:numPr>
        <w:ind w:left="0" w:firstLine="0"/>
        <w:rPr>
          <w:b w:val="0"/>
          <w:bCs/>
        </w:rPr>
      </w:pPr>
      <w:r>
        <w:rPr>
          <w:rFonts w:hint="eastAsia"/>
          <w:b w:val="0"/>
          <w:bCs/>
        </w:rPr>
        <w:t>投标人没有被列入招标人处《黑名单》（《黑名单》指投标人与招标人在以往或正在进行的合作中，存在招标人认为的违反合同约定或违反法律法规等的失信行为）的；</w:t>
      </w:r>
    </w:p>
    <w:p w14:paraId="3F6C89FD">
      <w:pPr>
        <w:pStyle w:val="73"/>
        <w:numPr>
          <w:ilvl w:val="0"/>
          <w:numId w:val="10"/>
        </w:numPr>
        <w:ind w:left="0" w:firstLine="0"/>
        <w:rPr>
          <w:b w:val="0"/>
          <w:bCs/>
        </w:rPr>
      </w:pPr>
      <w:r>
        <w:rPr>
          <w:rFonts w:hint="eastAsia"/>
          <w:b w:val="0"/>
          <w:bCs/>
        </w:rPr>
        <w:t>公司经营范围满足招标项目需求；</w:t>
      </w:r>
    </w:p>
    <w:p w14:paraId="0911825F">
      <w:pPr>
        <w:pStyle w:val="73"/>
        <w:numPr>
          <w:ilvl w:val="0"/>
          <w:numId w:val="10"/>
        </w:numPr>
        <w:ind w:left="0" w:firstLine="0"/>
        <w:rPr>
          <w:b w:val="0"/>
          <w:bCs/>
        </w:rPr>
      </w:pPr>
      <w:r>
        <w:rPr>
          <w:rFonts w:hint="eastAsia"/>
          <w:b w:val="0"/>
          <w:bCs/>
        </w:rPr>
        <w:t>投标人须具有履行招标文件所有设备、专业技术等要求的能力；</w:t>
      </w:r>
    </w:p>
    <w:p w14:paraId="2B686D9A">
      <w:pPr>
        <w:pStyle w:val="73"/>
        <w:numPr>
          <w:ilvl w:val="0"/>
          <w:numId w:val="10"/>
        </w:numPr>
        <w:ind w:left="0" w:firstLine="0"/>
        <w:rPr>
          <w:b w:val="0"/>
          <w:bCs/>
        </w:rPr>
      </w:pPr>
      <w:r>
        <w:rPr>
          <w:rFonts w:hint="eastAsia"/>
          <w:b w:val="0"/>
          <w:bCs/>
        </w:rPr>
        <w:t>投标人须有依法缴纳税收和社会保障资金的良好记录；</w:t>
      </w:r>
    </w:p>
    <w:p w14:paraId="3E5CBB9B">
      <w:pPr>
        <w:pStyle w:val="73"/>
        <w:numPr>
          <w:ilvl w:val="0"/>
          <w:numId w:val="10"/>
        </w:numPr>
        <w:ind w:left="0" w:firstLine="0"/>
        <w:rPr>
          <w:b w:val="0"/>
          <w:bCs/>
        </w:rPr>
      </w:pPr>
      <w:r>
        <w:rPr>
          <w:rFonts w:hint="eastAsia"/>
          <w:b w:val="0"/>
          <w:bCs/>
        </w:rPr>
        <w:t>具有本次招标货物的供货、安装、售后服务等的相应资质；</w:t>
      </w:r>
    </w:p>
    <w:p w14:paraId="5628F371">
      <w:pPr>
        <w:pStyle w:val="73"/>
        <w:numPr>
          <w:ilvl w:val="0"/>
          <w:numId w:val="10"/>
        </w:numPr>
        <w:ind w:left="0" w:firstLine="0"/>
        <w:rPr>
          <w:b w:val="0"/>
          <w:bCs/>
        </w:rPr>
      </w:pPr>
      <w:r>
        <w:rPr>
          <w:rFonts w:hint="eastAsia"/>
          <w:b w:val="0"/>
          <w:bCs/>
        </w:rPr>
        <w:t>投标人须负责提供合理的便于运输的包装物，并承担相关费用；</w:t>
      </w:r>
    </w:p>
    <w:p w14:paraId="05888F80">
      <w:pPr>
        <w:pStyle w:val="73"/>
        <w:numPr>
          <w:ilvl w:val="0"/>
          <w:numId w:val="10"/>
        </w:numPr>
        <w:ind w:left="0" w:firstLine="0"/>
        <w:rPr>
          <w:b w:val="0"/>
          <w:bCs/>
        </w:rPr>
      </w:pPr>
      <w:r>
        <w:rPr>
          <w:rFonts w:hint="eastAsia"/>
          <w:b w:val="0"/>
          <w:bCs/>
        </w:rPr>
        <w:t>投标人须认可招标人的工作指令，包括节、假日能正常开展工作的要求。</w:t>
      </w:r>
    </w:p>
    <w:p w14:paraId="5245E027">
      <w:pPr>
        <w:pStyle w:val="73"/>
        <w:numPr>
          <w:ilvl w:val="0"/>
          <w:numId w:val="10"/>
        </w:numPr>
        <w:ind w:left="0" w:firstLine="0"/>
        <w:rPr>
          <w:b w:val="0"/>
          <w:bCs/>
        </w:rPr>
      </w:pPr>
      <w:r>
        <w:rPr>
          <w:rFonts w:hint="eastAsia"/>
          <w:b w:val="0"/>
          <w:bCs/>
        </w:rPr>
        <w:t>拟投标人的直接或间接股东、法定代表人、董事、监事、高管非重汽员工及其亲属；</w:t>
      </w:r>
    </w:p>
    <w:p w14:paraId="7A9ACDB7">
      <w:pPr>
        <w:pStyle w:val="73"/>
        <w:numPr>
          <w:ilvl w:val="0"/>
          <w:numId w:val="10"/>
        </w:numPr>
        <w:ind w:left="0" w:firstLine="0"/>
        <w:rPr>
          <w:highlight w:val="yellow"/>
        </w:rPr>
      </w:pPr>
      <w:r>
        <w:rPr>
          <w:rFonts w:hint="eastAsia"/>
          <w:b w:val="0"/>
          <w:bCs/>
        </w:rPr>
        <w:t>投标人必须是最终投标、签订合同的单位，不得以任何理由将已中标项目以任何形式转包或者分包给其他单位；</w:t>
      </w:r>
    </w:p>
    <w:p w14:paraId="6FE82AE0">
      <w:pPr>
        <w:pStyle w:val="73"/>
        <w:numPr>
          <w:ilvl w:val="0"/>
          <w:numId w:val="10"/>
        </w:numPr>
        <w:ind w:left="0" w:firstLine="0"/>
        <w:rPr>
          <w:highlight w:val="yellow"/>
        </w:rPr>
      </w:pPr>
      <w:r>
        <w:rPr>
          <w:rFonts w:hint="eastAsia"/>
          <w:b w:val="0"/>
          <w:bCs/>
        </w:rPr>
        <w:t>本次招标项目不接受联合体投标；</w:t>
      </w:r>
    </w:p>
    <w:p w14:paraId="7F1D567E">
      <w:pPr>
        <w:pStyle w:val="72"/>
        <w:rPr>
          <w:highlight w:val="yellow"/>
        </w:rPr>
      </w:pPr>
      <w:bookmarkStart w:id="6" w:name="_Toc47976591"/>
      <w:r>
        <w:rPr>
          <w:rFonts w:hint="eastAsia"/>
          <w:highlight w:val="yellow"/>
        </w:rPr>
        <w:t>报名及招标文件的获取</w:t>
      </w:r>
      <w:bookmarkEnd w:id="6"/>
    </w:p>
    <w:p w14:paraId="0E06EF19">
      <w:pPr>
        <w:pStyle w:val="2"/>
        <w:numPr>
          <w:ilvl w:val="0"/>
          <w:numId w:val="11"/>
        </w:numPr>
        <w:spacing w:line="360" w:lineRule="auto"/>
        <w:ind w:firstLine="422" w:firstLineChars="200"/>
        <w:rPr>
          <w:rFonts w:hAnsi="宋体" w:cs="宋体"/>
          <w:szCs w:val="21"/>
          <w:highlight w:val="yellow"/>
        </w:rPr>
      </w:pPr>
      <w:r>
        <w:rPr>
          <w:rFonts w:hint="eastAsia" w:hAnsi="宋体" w:cs="宋体"/>
          <w:b/>
          <w:bCs/>
          <w:szCs w:val="21"/>
        </w:rPr>
        <w:t>报名截止时间：2025年10月28日下午17点</w:t>
      </w:r>
    </w:p>
    <w:p w14:paraId="6BBCD822">
      <w:pPr>
        <w:pStyle w:val="2"/>
        <w:numPr>
          <w:ilvl w:val="0"/>
          <w:numId w:val="11"/>
        </w:numPr>
        <w:spacing w:line="360" w:lineRule="auto"/>
        <w:ind w:firstLine="422" w:firstLineChars="200"/>
        <w:rPr>
          <w:rFonts w:hAnsi="宋体" w:cs="宋体"/>
          <w:szCs w:val="21"/>
          <w:highlight w:val="yellow"/>
        </w:rPr>
      </w:pPr>
      <w:r>
        <w:rPr>
          <w:rFonts w:hint="eastAsia" w:hAnsi="宋体" w:cs="宋体"/>
          <w:b/>
          <w:bCs/>
          <w:szCs w:val="21"/>
        </w:rPr>
        <w:t>招标文件获取方式：投标人在上述时间范围内，在中国重汽e采通平台上获取招标文件</w:t>
      </w:r>
    </w:p>
    <w:p w14:paraId="08432A11">
      <w:pPr>
        <w:pStyle w:val="72"/>
        <w:numPr>
          <w:ilvl w:val="0"/>
          <w:numId w:val="0"/>
        </w:numPr>
        <w:rPr>
          <w:highlight w:val="yellow"/>
        </w:rPr>
      </w:pPr>
      <w:r>
        <w:rPr>
          <w:rFonts w:hint="eastAsia" w:ascii="宋体" w:hAnsi="宋体" w:eastAsia="宋体" w:cs="宋体"/>
          <w:sz w:val="21"/>
          <w:szCs w:val="21"/>
        </w:rPr>
        <w:t>报名方式：拟投标人根据招标人在中国重汽官网等公开媒体上发布的招标信息，在“中国重汽e采通”平台报名。按照中国重汽e采通“SRM非生产供应商注册手册”进行注册，注册完毕后按照“SRM系统供应商用户手册”，登录重汽e采通平台后进入“供应商应标”，选择对应的项目，点击“应标”后按照招标文件第三部分投标文件组成资格证明文件中的准备资料并上传，资质审查通过即为报名成功；公示期间请尽快报名。</w:t>
      </w:r>
    </w:p>
    <w:p w14:paraId="532279F7">
      <w:pPr>
        <w:pStyle w:val="72"/>
        <w:rPr>
          <w:highlight w:val="yellow"/>
        </w:rPr>
      </w:pPr>
      <w:bookmarkStart w:id="7" w:name="_Toc47976592"/>
      <w:r>
        <w:rPr>
          <w:rFonts w:hint="eastAsia"/>
          <w:highlight w:val="yellow"/>
        </w:rPr>
        <w:t>投标文件的递交</w:t>
      </w:r>
      <w:bookmarkEnd w:id="7"/>
    </w:p>
    <w:p w14:paraId="5078995B">
      <w:pPr>
        <w:pStyle w:val="72"/>
        <w:numPr>
          <w:ilvl w:val="0"/>
          <w:numId w:val="0"/>
        </w:numPr>
        <w:rPr>
          <w:highlight w:val="yellow"/>
        </w:rPr>
      </w:pPr>
      <w:r>
        <w:rPr>
          <w:rFonts w:hint="eastAsia" w:ascii="宋体" w:hAnsi="宋体" w:eastAsia="宋体" w:cs="宋体"/>
          <w:sz w:val="21"/>
          <w:szCs w:val="21"/>
        </w:rPr>
        <w:t>投标方式：在中国重汽e采通平台应标成功后，进入“供应商投标”环节，投递盖章扫描版电子标书（包含资质标书、技术标书、商务标书），若逾期未在中国重汽e采通平台上传电子标书，一律视为无效投标。</w:t>
      </w:r>
    </w:p>
    <w:p w14:paraId="2EDBDA2E">
      <w:pPr>
        <w:pStyle w:val="72"/>
        <w:rPr>
          <w:highlight w:val="yellow"/>
        </w:rPr>
      </w:pPr>
      <w:r>
        <w:rPr>
          <w:rFonts w:hint="eastAsia"/>
          <w:highlight w:val="yellow"/>
        </w:rPr>
        <w:t>开标时间和地点</w:t>
      </w:r>
    </w:p>
    <w:p w14:paraId="0330FFDA">
      <w:pPr>
        <w:pStyle w:val="72"/>
        <w:numPr>
          <w:ilvl w:val="0"/>
          <w:numId w:val="12"/>
        </w:numPr>
        <w:ind w:left="840"/>
        <w:rPr>
          <w:highlight w:val="yellow"/>
        </w:rPr>
      </w:pPr>
      <w:r>
        <w:rPr>
          <w:rFonts w:hint="eastAsia" w:ascii="宋体" w:hAnsi="宋体" w:eastAsia="宋体" w:cs="宋体"/>
          <w:sz w:val="21"/>
          <w:szCs w:val="21"/>
          <w:highlight w:val="yellow"/>
        </w:rPr>
        <w:t>时间：2025年11月19日9:00:00</w:t>
      </w:r>
    </w:p>
    <w:p w14:paraId="139F9509">
      <w:pPr>
        <w:pStyle w:val="72"/>
        <w:numPr>
          <w:ilvl w:val="0"/>
          <w:numId w:val="12"/>
        </w:numPr>
        <w:ind w:left="840"/>
        <w:rPr>
          <w:highlight w:val="yellow"/>
        </w:rPr>
      </w:pPr>
      <w:r>
        <w:rPr>
          <w:rFonts w:hint="eastAsia" w:ascii="宋体" w:hAnsi="宋体" w:eastAsia="宋体" w:cs="宋体"/>
          <w:sz w:val="21"/>
          <w:szCs w:val="21"/>
          <w:highlight w:val="yellow"/>
        </w:rPr>
        <w:t>地点：济南市历城区华奥路777号重汽科技大厦</w:t>
      </w:r>
    </w:p>
    <w:p w14:paraId="457BADA9">
      <w:pPr>
        <w:pStyle w:val="72"/>
      </w:pPr>
      <w:bookmarkStart w:id="8" w:name="_Toc47976593"/>
      <w:r>
        <w:rPr>
          <w:rFonts w:hint="eastAsia"/>
        </w:rPr>
        <w:t>招标公告发布媒介</w:t>
      </w:r>
      <w:bookmarkEnd w:id="8"/>
    </w:p>
    <w:p w14:paraId="46F6901B">
      <w:pPr>
        <w:pStyle w:val="73"/>
        <w:numPr>
          <w:ilvl w:val="0"/>
          <w:numId w:val="0"/>
        </w:numPr>
        <w:ind w:left="1130" w:hanging="420"/>
      </w:pPr>
      <w:r>
        <w:rPr>
          <w:rFonts w:hint="eastAsia"/>
        </w:rPr>
        <w:t xml:space="preserve">本次招标公告同时在 </w:t>
      </w:r>
      <w:r>
        <w:rPr>
          <w:rFonts w:hint="eastAsia"/>
          <w:highlight w:val="yellow"/>
        </w:rPr>
        <w:t>中国重型汽车集团有限公司官网、山东省阳光采购平台</w:t>
      </w:r>
      <w:r>
        <w:rPr>
          <w:rFonts w:hint="eastAsia"/>
        </w:rPr>
        <w:t>上发布。</w:t>
      </w:r>
    </w:p>
    <w:p w14:paraId="731F7293">
      <w:pPr>
        <w:pStyle w:val="72"/>
        <w:rPr>
          <w:highlight w:val="yellow"/>
        </w:rPr>
      </w:pPr>
      <w:bookmarkStart w:id="9" w:name="_Toc47976594"/>
      <w:r>
        <w:rPr>
          <w:rFonts w:hint="eastAsia"/>
          <w:highlight w:val="yellow"/>
        </w:rPr>
        <w:t>联系方式</w:t>
      </w:r>
      <w:bookmarkEnd w:id="9"/>
    </w:p>
    <w:p w14:paraId="32DD4A06">
      <w:pPr>
        <w:ind w:firstLine="422" w:firstLineChars="200"/>
        <w:rPr>
          <w:rFonts w:ascii="宋体" w:hAnsi="宋体" w:cs="宋体"/>
          <w:b/>
          <w:snapToGrid w:val="0"/>
          <w:kern w:val="0"/>
          <w:szCs w:val="21"/>
        </w:rPr>
      </w:pPr>
      <w:r>
        <w:rPr>
          <w:rFonts w:hint="eastAsia" w:ascii="宋体" w:hAnsi="宋体" w:cs="宋体"/>
          <w:b/>
          <w:snapToGrid w:val="0"/>
          <w:kern w:val="0"/>
          <w:szCs w:val="21"/>
        </w:rPr>
        <w:t>招标人名称：</w:t>
      </w:r>
      <w:r>
        <w:rPr>
          <w:rFonts w:hint="eastAsia" w:ascii="宋体" w:hAnsi="宋体" w:cs="宋体"/>
          <w:b/>
          <w:szCs w:val="21"/>
          <w:u w:val="single"/>
        </w:rPr>
        <w:t>中国重汽集团济南动力有限公司</w:t>
      </w:r>
    </w:p>
    <w:p w14:paraId="297A6E13">
      <w:pPr>
        <w:pStyle w:val="72"/>
        <w:numPr>
          <w:ilvl w:val="0"/>
          <w:numId w:val="0"/>
        </w:numPr>
        <w:ind w:firstLine="422" w:firstLineChars="200"/>
        <w:rPr>
          <w:bCs w:val="0"/>
          <w:sz w:val="21"/>
          <w:szCs w:val="21"/>
          <w:highlight w:val="yellow"/>
        </w:rPr>
      </w:pPr>
      <w:r>
        <w:rPr>
          <w:rFonts w:hint="eastAsia" w:ascii="宋体" w:hAnsi="宋体" w:eastAsia="宋体" w:cs="宋体"/>
          <w:bCs w:val="0"/>
          <w:snapToGrid w:val="0"/>
          <w:kern w:val="0"/>
          <w:sz w:val="21"/>
          <w:szCs w:val="21"/>
        </w:rPr>
        <w:t>招标人地址：</w:t>
      </w:r>
      <w:r>
        <w:rPr>
          <w:rFonts w:hint="eastAsia" w:ascii="宋体" w:hAnsi="宋体" w:eastAsia="宋体" w:cs="宋体"/>
          <w:bCs w:val="0"/>
          <w:sz w:val="21"/>
          <w:szCs w:val="21"/>
          <w:u w:val="single"/>
        </w:rPr>
        <w:t>济南市历城区华奥路777号</w:t>
      </w:r>
    </w:p>
    <w:p w14:paraId="3794D399">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highlight w:val="yellow"/>
        </w:rPr>
        <w:t>商务联系人：</w:t>
      </w:r>
      <w:r>
        <w:rPr>
          <w:rFonts w:hint="eastAsia" w:ascii="宋体" w:hAnsi="宋体" w:eastAsia="宋体" w:cs="宋体"/>
          <w:bCs w:val="0"/>
          <w:sz w:val="21"/>
          <w:szCs w:val="21"/>
        </w:rPr>
        <w:t>郭朝琛</w:t>
      </w:r>
    </w:p>
    <w:p w14:paraId="70DECEA2">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电话：15275666282</w:t>
      </w:r>
    </w:p>
    <w:p w14:paraId="30718E39">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邮箱：1494144783@qq.com</w:t>
      </w:r>
    </w:p>
    <w:p w14:paraId="72CEDDCB">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highlight w:val="yellow"/>
        </w:rPr>
        <w:t>技术联系人：</w:t>
      </w:r>
      <w:r>
        <w:rPr>
          <w:rFonts w:hint="eastAsia" w:ascii="宋体" w:hAnsi="宋体" w:eastAsia="宋体" w:cs="宋体"/>
          <w:bCs w:val="0"/>
          <w:sz w:val="21"/>
          <w:szCs w:val="21"/>
        </w:rPr>
        <w:t>吴长国</w:t>
      </w:r>
    </w:p>
    <w:p w14:paraId="58A6D100">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电话：13588891716</w:t>
      </w:r>
    </w:p>
    <w:p w14:paraId="40F45A0D">
      <w:pPr>
        <w:pStyle w:val="72"/>
        <w:numPr>
          <w:ilvl w:val="0"/>
          <w:numId w:val="0"/>
        </w:numPr>
        <w:ind w:firstLine="422" w:firstLineChars="200"/>
      </w:pPr>
      <w:r>
        <w:rPr>
          <w:rFonts w:hint="eastAsia" w:ascii="宋体" w:hAnsi="宋体" w:eastAsia="宋体" w:cs="宋体"/>
          <w:sz w:val="21"/>
          <w:szCs w:val="21"/>
        </w:rPr>
        <w:t>邮箱：</w:t>
      </w:r>
      <w:r>
        <w:rPr>
          <w:rFonts w:hint="eastAsia" w:hAnsi="宋体" w:cs="宋体"/>
          <w:sz w:val="21"/>
          <w:szCs w:val="21"/>
        </w:rPr>
        <w:t>13588891716@126.com</w:t>
      </w:r>
    </w:p>
    <w:p w14:paraId="1A66BC2B">
      <w:pPr>
        <w:pStyle w:val="76"/>
      </w:pPr>
    </w:p>
    <w:p w14:paraId="348F73D8">
      <w:pPr>
        <w:pStyle w:val="76"/>
      </w:pPr>
    </w:p>
    <w:p w14:paraId="720FD2EE">
      <w:pPr>
        <w:pStyle w:val="76"/>
        <w:jc w:val="both"/>
        <w:rPr>
          <w:highlight w:val="cyan"/>
          <w:u w:val="single"/>
        </w:rPr>
      </w:pPr>
    </w:p>
    <w:p w14:paraId="47B9B668">
      <w:pPr>
        <w:pStyle w:val="76"/>
        <w:jc w:val="right"/>
        <w:rPr>
          <w:highlight w:val="cyan"/>
          <w:u w:val="single"/>
        </w:rPr>
      </w:pPr>
    </w:p>
    <w:p w14:paraId="0754C049">
      <w:pPr>
        <w:pStyle w:val="76"/>
        <w:jc w:val="right"/>
        <w:rPr>
          <w:highlight w:val="cyan"/>
          <w:u w:val="single"/>
        </w:rPr>
      </w:pPr>
    </w:p>
    <w:p w14:paraId="2360017F">
      <w:pPr>
        <w:pStyle w:val="76"/>
        <w:ind w:firstLine="6510" w:firstLineChars="3100"/>
        <w:jc w:val="both"/>
      </w:pPr>
      <w:r>
        <w:rPr>
          <w:rFonts w:hint="eastAsia"/>
          <w:u w:val="single"/>
        </w:rPr>
        <w:t>2025</w:t>
      </w:r>
      <w:r>
        <w:rPr>
          <w:rFonts w:hint="eastAsia"/>
        </w:rPr>
        <w:t>年10月21日</w:t>
      </w:r>
    </w:p>
    <w:p w14:paraId="502FC846">
      <w:pPr>
        <w:pStyle w:val="76"/>
      </w:pPr>
    </w:p>
    <w:p w14:paraId="28B582EE">
      <w:pPr>
        <w:pStyle w:val="71"/>
      </w:pPr>
      <w:bookmarkStart w:id="10" w:name="_Toc47976595"/>
      <w:bookmarkStart w:id="11" w:name="_Toc7753"/>
      <w:r>
        <w:rPr>
          <w:rFonts w:hint="eastAsia"/>
        </w:rPr>
        <w:t>第一部分  投标人须知</w:t>
      </w:r>
      <w:bookmarkEnd w:id="10"/>
      <w:bookmarkEnd w:id="11"/>
    </w:p>
    <w:p w14:paraId="5476AAF2">
      <w:pPr>
        <w:pStyle w:val="72"/>
        <w:numPr>
          <w:ilvl w:val="0"/>
          <w:numId w:val="13"/>
        </w:numPr>
        <w:ind w:left="420"/>
        <w:jc w:val="left"/>
      </w:pPr>
      <w:bookmarkStart w:id="12" w:name="_Toc47976596"/>
      <w:r>
        <w:rPr>
          <w:rFonts w:hint="eastAsia"/>
        </w:rPr>
        <w:t>项目介绍</w:t>
      </w:r>
      <w:bookmarkEnd w:id="12"/>
    </w:p>
    <w:p w14:paraId="2D92F9CA">
      <w:pPr>
        <w:pStyle w:val="76"/>
        <w:numPr>
          <w:ilvl w:val="0"/>
          <w:numId w:val="14"/>
        </w:numPr>
      </w:pPr>
      <w:r>
        <w:rPr>
          <w:rFonts w:hint="eastAsia"/>
        </w:rPr>
        <w:t>项目名称：</w:t>
      </w:r>
      <w:r>
        <w:rPr>
          <w:rFonts w:hint="eastAsia"/>
          <w:highlight w:val="yellow"/>
        </w:rPr>
        <w:t>缸盖制芯线工艺布局优化改造技改项目</w:t>
      </w:r>
    </w:p>
    <w:p w14:paraId="272F4879">
      <w:pPr>
        <w:pStyle w:val="76"/>
        <w:numPr>
          <w:ilvl w:val="0"/>
          <w:numId w:val="14"/>
        </w:numPr>
      </w:pPr>
      <w:r>
        <w:rPr>
          <w:rFonts w:hint="eastAsia"/>
        </w:rPr>
        <w:t>项目编号：</w:t>
      </w:r>
      <w:r>
        <w:rPr>
          <w:rFonts w:hint="eastAsia"/>
          <w:highlight w:val="yellow"/>
        </w:rPr>
        <w:t>FSCZB2025100099</w:t>
      </w:r>
    </w:p>
    <w:p w14:paraId="0A7AFC40">
      <w:pPr>
        <w:pStyle w:val="76"/>
        <w:numPr>
          <w:ilvl w:val="0"/>
          <w:numId w:val="14"/>
        </w:numPr>
      </w:pPr>
      <w:r>
        <w:rPr>
          <w:rFonts w:hint="eastAsia"/>
        </w:rPr>
        <w:t>招标形式：</w:t>
      </w:r>
      <w:bookmarkStart w:id="13" w:name="_Toc47112482"/>
      <w:r>
        <w:rPr>
          <w:rFonts w:hint="eastAsia"/>
          <w:highlight w:val="yellow"/>
        </w:rPr>
        <w:t>公开招标</w:t>
      </w:r>
    </w:p>
    <w:p w14:paraId="4671EAF1">
      <w:pPr>
        <w:pStyle w:val="76"/>
        <w:numPr>
          <w:ilvl w:val="0"/>
          <w:numId w:val="14"/>
        </w:numPr>
      </w:pPr>
      <w:r>
        <w:rPr>
          <w:rFonts w:hint="eastAsia"/>
        </w:rPr>
        <w:t>项目概况：现有缸盖表干炉于2010年投入使用，担负MC07缸盖芯及部分615缸盖芯烘干，该设备存在烘干区长、炉膛高、燃气消耗及热量损失大、设备劣化严重维修费用高等问题， 615缸盖砂芯采用人工搬运及下芯，人员劳动强度高，易造成砂芯磕碰。本项目通过对缸盖制芯线整线工艺布局进行优化调整，充分利用现有设备资源，在解决上述问题的同时，以降低能耗、提升自动化率。</w:t>
      </w:r>
    </w:p>
    <w:p w14:paraId="50A8239A">
      <w:pPr>
        <w:pStyle w:val="76"/>
        <w:numPr>
          <w:ilvl w:val="0"/>
          <w:numId w:val="14"/>
        </w:numPr>
      </w:pPr>
      <w:r>
        <w:rPr>
          <w:rFonts w:hint="eastAsia"/>
        </w:rPr>
        <w:t>招标内容具体要求详见《技术标书》。</w:t>
      </w:r>
    </w:p>
    <w:p w14:paraId="4F67DE2B">
      <w:pPr>
        <w:pStyle w:val="76"/>
        <w:numPr>
          <w:ilvl w:val="0"/>
          <w:numId w:val="14"/>
        </w:numPr>
      </w:pPr>
      <w:r>
        <w:rPr>
          <w:rFonts w:hint="eastAsia"/>
        </w:rPr>
        <w:t>报价：</w:t>
      </w:r>
      <w:r>
        <w:rPr>
          <w:rFonts w:hint="eastAsia"/>
          <w:b/>
          <w:bCs/>
          <w:color w:val="FF0000"/>
          <w:highlight w:val="yellow"/>
        </w:rPr>
        <w:t>报价应包含币种、不含税金额、税率及价税合计金额</w:t>
      </w:r>
    </w:p>
    <w:p w14:paraId="5B0F4DE0">
      <w:pPr>
        <w:pStyle w:val="76"/>
        <w:numPr>
          <w:ilvl w:val="0"/>
          <w:numId w:val="14"/>
        </w:numPr>
      </w:pPr>
      <w:r>
        <w:rPr>
          <w:rFonts w:hint="eastAsia"/>
        </w:rPr>
        <w:t>招标人信息：</w:t>
      </w:r>
    </w:p>
    <w:p w14:paraId="306AA2B7">
      <w:pPr>
        <w:ind w:firstLine="422" w:firstLineChars="200"/>
        <w:rPr>
          <w:rFonts w:ascii="宋体" w:hAnsi="宋体" w:cs="宋体"/>
          <w:b/>
          <w:snapToGrid w:val="0"/>
          <w:kern w:val="0"/>
          <w:szCs w:val="21"/>
        </w:rPr>
      </w:pPr>
      <w:r>
        <w:rPr>
          <w:rFonts w:hint="eastAsia" w:ascii="宋体" w:hAnsi="宋体" w:cs="宋体"/>
          <w:b/>
          <w:snapToGrid w:val="0"/>
          <w:kern w:val="0"/>
          <w:szCs w:val="21"/>
        </w:rPr>
        <w:t>招标人名称：</w:t>
      </w:r>
      <w:r>
        <w:rPr>
          <w:rFonts w:hint="eastAsia" w:ascii="宋体" w:hAnsi="宋体" w:cs="宋体"/>
          <w:b/>
          <w:szCs w:val="21"/>
          <w:u w:val="single"/>
        </w:rPr>
        <w:t>中国重汽集团济南动力有限公司</w:t>
      </w:r>
    </w:p>
    <w:p w14:paraId="4E030FA8">
      <w:pPr>
        <w:pStyle w:val="72"/>
        <w:numPr>
          <w:ilvl w:val="0"/>
          <w:numId w:val="0"/>
        </w:numPr>
        <w:ind w:firstLine="422" w:firstLineChars="200"/>
        <w:rPr>
          <w:bCs w:val="0"/>
          <w:sz w:val="21"/>
          <w:szCs w:val="21"/>
          <w:highlight w:val="yellow"/>
        </w:rPr>
      </w:pPr>
      <w:r>
        <w:rPr>
          <w:rFonts w:hint="eastAsia" w:ascii="宋体" w:hAnsi="宋体" w:eastAsia="宋体" w:cs="宋体"/>
          <w:bCs w:val="0"/>
          <w:snapToGrid w:val="0"/>
          <w:kern w:val="0"/>
          <w:sz w:val="21"/>
          <w:szCs w:val="21"/>
        </w:rPr>
        <w:t>招标人地址：</w:t>
      </w:r>
      <w:r>
        <w:rPr>
          <w:rFonts w:hint="eastAsia" w:ascii="宋体" w:hAnsi="宋体" w:eastAsia="宋体" w:cs="宋体"/>
          <w:bCs w:val="0"/>
          <w:sz w:val="21"/>
          <w:szCs w:val="21"/>
          <w:u w:val="single"/>
        </w:rPr>
        <w:t>济南市历城区华奥路777号</w:t>
      </w:r>
    </w:p>
    <w:p w14:paraId="3BA35AA6">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highlight w:val="yellow"/>
        </w:rPr>
        <w:t>商务联系人：</w:t>
      </w:r>
      <w:r>
        <w:rPr>
          <w:rFonts w:hint="eastAsia" w:ascii="宋体" w:hAnsi="宋体" w:eastAsia="宋体" w:cs="宋体"/>
          <w:bCs w:val="0"/>
          <w:sz w:val="21"/>
          <w:szCs w:val="21"/>
        </w:rPr>
        <w:t>郭朝琛</w:t>
      </w:r>
    </w:p>
    <w:p w14:paraId="6EFE9BFF">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电话：15275666282</w:t>
      </w:r>
    </w:p>
    <w:p w14:paraId="79747B05">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邮箱：1494144783@qq.com</w:t>
      </w:r>
    </w:p>
    <w:p w14:paraId="74ACE1EB">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highlight w:val="yellow"/>
        </w:rPr>
        <w:t>技术联系人：</w:t>
      </w:r>
      <w:r>
        <w:rPr>
          <w:rFonts w:hint="eastAsia" w:ascii="宋体" w:hAnsi="宋体" w:eastAsia="宋体" w:cs="宋体"/>
          <w:bCs w:val="0"/>
          <w:sz w:val="21"/>
          <w:szCs w:val="21"/>
        </w:rPr>
        <w:t>吴长国</w:t>
      </w:r>
    </w:p>
    <w:p w14:paraId="4201677B">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电话：13588891716</w:t>
      </w:r>
    </w:p>
    <w:p w14:paraId="5BB1FCF6">
      <w:pPr>
        <w:pStyle w:val="72"/>
        <w:numPr>
          <w:ilvl w:val="0"/>
          <w:numId w:val="0"/>
        </w:numPr>
        <w:ind w:firstLine="422" w:firstLineChars="200"/>
      </w:pPr>
      <w:r>
        <w:rPr>
          <w:rFonts w:hint="eastAsia" w:ascii="宋体" w:hAnsi="宋体" w:eastAsia="宋体" w:cs="宋体"/>
          <w:sz w:val="21"/>
          <w:szCs w:val="21"/>
        </w:rPr>
        <w:t>邮箱：</w:t>
      </w:r>
      <w:r>
        <w:rPr>
          <w:rFonts w:hint="eastAsia" w:hAnsi="宋体" w:cs="宋体"/>
          <w:sz w:val="21"/>
          <w:szCs w:val="21"/>
        </w:rPr>
        <w:t>13588891716@126.com</w:t>
      </w:r>
    </w:p>
    <w:bookmarkEnd w:id="13"/>
    <w:p w14:paraId="7685F194">
      <w:pPr>
        <w:pStyle w:val="72"/>
      </w:pPr>
      <w:bookmarkStart w:id="14" w:name="_Toc47976598"/>
      <w:r>
        <w:rPr>
          <w:rFonts w:hint="eastAsia"/>
        </w:rPr>
        <w:t>合格的投标人。</w:t>
      </w:r>
      <w:bookmarkEnd w:id="14"/>
    </w:p>
    <w:p w14:paraId="1342F8BC">
      <w:pPr>
        <w:pStyle w:val="73"/>
        <w:numPr>
          <w:ilvl w:val="0"/>
          <w:numId w:val="10"/>
        </w:numPr>
        <w:ind w:left="0" w:firstLine="0"/>
        <w:rPr>
          <w:b w:val="0"/>
          <w:bCs/>
        </w:rPr>
      </w:pPr>
      <w:r>
        <w:rPr>
          <w:rFonts w:hint="eastAsia"/>
          <w:b w:val="0"/>
          <w:bCs/>
        </w:rPr>
        <w:t>投标人须遵守《中华人民共和国招标投标法》及其它有关的法律和法规；为中华人民共和国境内注册的独立法人机构，具有独立承担民事责任能力；</w:t>
      </w:r>
    </w:p>
    <w:p w14:paraId="035A1C6D">
      <w:pPr>
        <w:pStyle w:val="73"/>
        <w:numPr>
          <w:ilvl w:val="0"/>
          <w:numId w:val="10"/>
        </w:numPr>
        <w:ind w:left="0" w:firstLine="0"/>
        <w:rPr>
          <w:b w:val="0"/>
          <w:bCs/>
        </w:rPr>
      </w:pPr>
      <w:r>
        <w:rPr>
          <w:rFonts w:hint="eastAsia"/>
          <w:b w:val="0"/>
          <w:bCs/>
        </w:rPr>
        <w:t>拟标投人必须是在中华人民共和国境内注册的独立法人机构，具有独立承担民事责任能力；注册资金不少于</w:t>
      </w:r>
      <w:r>
        <w:rPr>
          <w:rFonts w:hint="eastAsia"/>
          <w:b w:val="0"/>
          <w:bCs/>
          <w:highlight w:val="yellow"/>
          <w:u w:val="single"/>
        </w:rPr>
        <w:t xml:space="preserve"> 1000  </w:t>
      </w:r>
      <w:r>
        <w:rPr>
          <w:rFonts w:hint="eastAsia"/>
          <w:b w:val="0"/>
          <w:bCs/>
        </w:rPr>
        <w:t>万人民币（或等值其他货币）；公司成立</w:t>
      </w:r>
      <w:r>
        <w:rPr>
          <w:rFonts w:hint="eastAsia"/>
          <w:b w:val="0"/>
          <w:bCs/>
          <w:highlight w:val="yellow"/>
          <w:u w:val="single"/>
        </w:rPr>
        <w:t xml:space="preserve">  3  </w:t>
      </w:r>
      <w:r>
        <w:rPr>
          <w:rFonts w:hint="eastAsia"/>
          <w:b w:val="0"/>
          <w:bCs/>
        </w:rPr>
        <w:t>年以上（以营业执照成立日期到开标当日满</w:t>
      </w:r>
      <w:r>
        <w:rPr>
          <w:rFonts w:hint="eastAsia"/>
          <w:b w:val="0"/>
          <w:bCs/>
          <w:highlight w:val="yellow"/>
          <w:u w:val="single"/>
        </w:rPr>
        <w:t xml:space="preserve"> 3 </w:t>
      </w:r>
      <w:r>
        <w:rPr>
          <w:rFonts w:hint="eastAsia"/>
          <w:b w:val="0"/>
          <w:bCs/>
        </w:rPr>
        <w:t>年为准），且经营范围满足招标人需求；并在人员、设备、资金等方面具有承担本项目的能力；</w:t>
      </w:r>
    </w:p>
    <w:p w14:paraId="73F60951">
      <w:pPr>
        <w:pStyle w:val="73"/>
        <w:numPr>
          <w:ilvl w:val="0"/>
          <w:numId w:val="10"/>
        </w:numPr>
        <w:ind w:left="0" w:firstLine="0"/>
        <w:rPr>
          <w:b w:val="0"/>
          <w:bCs/>
        </w:rPr>
      </w:pPr>
      <w:r>
        <w:rPr>
          <w:rFonts w:hint="eastAsia"/>
          <w:b w:val="0"/>
          <w:bCs/>
        </w:rPr>
        <w:t>投标人须具有良好的商业信誉和健全的财务会计制度，财务状况和市场行为良好。没有处于被有权机关吊销营业执照、吊销资质、停业整顿、取消投标资格以及财产被接管、冻结或进入破产程序等；</w:t>
      </w:r>
    </w:p>
    <w:p w14:paraId="76B3D88F">
      <w:pPr>
        <w:pStyle w:val="73"/>
        <w:numPr>
          <w:ilvl w:val="0"/>
          <w:numId w:val="10"/>
        </w:numPr>
        <w:ind w:left="0" w:firstLine="0"/>
        <w:rPr>
          <w:b w:val="0"/>
          <w:bCs/>
        </w:rPr>
      </w:pPr>
      <w:r>
        <w:rPr>
          <w:rFonts w:hint="eastAsia"/>
          <w:b w:val="0"/>
          <w:bCs/>
        </w:rPr>
        <w:t>投标人在“信用中国”中未列入联合惩戒失信人名单，且工商行政管理局的《国家企业信用信息公示系统》中查询不存在不良记录；</w:t>
      </w:r>
    </w:p>
    <w:p w14:paraId="52E3CD75">
      <w:pPr>
        <w:pStyle w:val="73"/>
        <w:numPr>
          <w:ilvl w:val="0"/>
          <w:numId w:val="10"/>
        </w:numPr>
        <w:ind w:left="0" w:firstLine="0"/>
        <w:rPr>
          <w:b w:val="0"/>
          <w:bCs/>
        </w:rPr>
      </w:pPr>
      <w:r>
        <w:rPr>
          <w:rFonts w:hint="eastAsia"/>
          <w:b w:val="0"/>
          <w:bCs/>
        </w:rPr>
        <w:t>无招标违规、谎报年度报告信息、提供虚假资质资料等行为或其他行政处罚记录；</w:t>
      </w:r>
    </w:p>
    <w:p w14:paraId="0E89A1EC">
      <w:pPr>
        <w:pStyle w:val="73"/>
        <w:numPr>
          <w:ilvl w:val="0"/>
          <w:numId w:val="10"/>
        </w:numPr>
        <w:ind w:left="0" w:firstLine="0"/>
        <w:rPr>
          <w:b w:val="0"/>
          <w:bCs/>
        </w:rPr>
      </w:pPr>
      <w:r>
        <w:rPr>
          <w:rFonts w:hint="eastAsia"/>
          <w:b w:val="0"/>
          <w:bCs/>
        </w:rPr>
        <w:t>近三年内在经营活动中无与本项目有关的违法及重大违规情况；</w:t>
      </w:r>
    </w:p>
    <w:p w14:paraId="4E6640AC">
      <w:pPr>
        <w:pStyle w:val="73"/>
        <w:numPr>
          <w:ilvl w:val="0"/>
          <w:numId w:val="10"/>
        </w:numPr>
        <w:ind w:left="0" w:firstLine="0"/>
        <w:rPr>
          <w:b w:val="0"/>
          <w:bCs/>
        </w:rPr>
      </w:pPr>
      <w:r>
        <w:rPr>
          <w:rFonts w:hint="eastAsia"/>
          <w:b w:val="0"/>
          <w:bCs/>
        </w:rPr>
        <w:t>投标人没有被列入招标人处《黑名单》（《黑名单》指投标人与招标人在以往或正在进行的合作中，存在招标人认为的违反合同约定或违反法律法规等的失信行为）的；</w:t>
      </w:r>
    </w:p>
    <w:p w14:paraId="6A9A62D2">
      <w:pPr>
        <w:pStyle w:val="73"/>
        <w:numPr>
          <w:ilvl w:val="0"/>
          <w:numId w:val="10"/>
        </w:numPr>
        <w:ind w:left="0" w:firstLine="0"/>
        <w:rPr>
          <w:b w:val="0"/>
          <w:bCs/>
        </w:rPr>
      </w:pPr>
      <w:r>
        <w:rPr>
          <w:rFonts w:hint="eastAsia"/>
          <w:b w:val="0"/>
          <w:bCs/>
        </w:rPr>
        <w:t>公司经营范围满足招标项目需求；</w:t>
      </w:r>
    </w:p>
    <w:p w14:paraId="20295DB8">
      <w:pPr>
        <w:pStyle w:val="73"/>
        <w:numPr>
          <w:ilvl w:val="0"/>
          <w:numId w:val="10"/>
        </w:numPr>
        <w:ind w:left="0" w:firstLine="0"/>
        <w:rPr>
          <w:b w:val="0"/>
          <w:bCs/>
        </w:rPr>
      </w:pPr>
      <w:r>
        <w:rPr>
          <w:rFonts w:hint="eastAsia"/>
          <w:b w:val="0"/>
          <w:bCs/>
        </w:rPr>
        <w:t>投标人须具有履行招标文件所有设备、专业技术等要求的能力；</w:t>
      </w:r>
    </w:p>
    <w:p w14:paraId="2DEE533F">
      <w:pPr>
        <w:pStyle w:val="73"/>
        <w:numPr>
          <w:ilvl w:val="0"/>
          <w:numId w:val="10"/>
        </w:numPr>
        <w:ind w:left="0" w:firstLine="0"/>
        <w:rPr>
          <w:b w:val="0"/>
          <w:bCs/>
        </w:rPr>
      </w:pPr>
      <w:r>
        <w:rPr>
          <w:rFonts w:hint="eastAsia"/>
          <w:b w:val="0"/>
          <w:bCs/>
        </w:rPr>
        <w:t>投标人须有依法缴纳税收和社会保障资金的良好记录；</w:t>
      </w:r>
    </w:p>
    <w:p w14:paraId="46D1F003">
      <w:pPr>
        <w:pStyle w:val="73"/>
        <w:numPr>
          <w:ilvl w:val="0"/>
          <w:numId w:val="10"/>
        </w:numPr>
        <w:ind w:left="0" w:firstLine="0"/>
        <w:rPr>
          <w:b w:val="0"/>
          <w:bCs/>
        </w:rPr>
      </w:pPr>
      <w:r>
        <w:rPr>
          <w:rFonts w:hint="eastAsia"/>
          <w:b w:val="0"/>
          <w:bCs/>
        </w:rPr>
        <w:t>具有本次招标货物的供货、安装、售后服务等的相应资质；</w:t>
      </w:r>
    </w:p>
    <w:p w14:paraId="3B8926E1">
      <w:pPr>
        <w:pStyle w:val="73"/>
        <w:numPr>
          <w:ilvl w:val="0"/>
          <w:numId w:val="10"/>
        </w:numPr>
        <w:ind w:left="0" w:firstLine="0"/>
        <w:rPr>
          <w:b w:val="0"/>
          <w:bCs/>
        </w:rPr>
      </w:pPr>
      <w:r>
        <w:rPr>
          <w:rFonts w:hint="eastAsia"/>
          <w:b w:val="0"/>
          <w:bCs/>
        </w:rPr>
        <w:t>投标人须负责提供合理的便于运输的包装物，并承担相关费用；</w:t>
      </w:r>
    </w:p>
    <w:p w14:paraId="27070596">
      <w:pPr>
        <w:pStyle w:val="73"/>
        <w:numPr>
          <w:ilvl w:val="0"/>
          <w:numId w:val="10"/>
        </w:numPr>
        <w:ind w:left="0" w:firstLine="0"/>
        <w:rPr>
          <w:b w:val="0"/>
          <w:bCs/>
        </w:rPr>
      </w:pPr>
      <w:r>
        <w:rPr>
          <w:rFonts w:hint="eastAsia"/>
          <w:b w:val="0"/>
          <w:bCs/>
        </w:rPr>
        <w:t>投标人须认可招标人的工作指令，包括节、假日能正常开展工作的要求。</w:t>
      </w:r>
    </w:p>
    <w:p w14:paraId="16EFE4C6">
      <w:pPr>
        <w:pStyle w:val="73"/>
        <w:numPr>
          <w:ilvl w:val="0"/>
          <w:numId w:val="10"/>
        </w:numPr>
        <w:ind w:left="0" w:firstLine="0"/>
        <w:rPr>
          <w:b w:val="0"/>
          <w:bCs/>
        </w:rPr>
      </w:pPr>
      <w:r>
        <w:rPr>
          <w:rFonts w:hint="eastAsia"/>
          <w:b w:val="0"/>
          <w:bCs/>
        </w:rPr>
        <w:t>拟投标人的直接或间接股东、法定代表人、董事、监事、高管非重汽员工及其亲属；</w:t>
      </w:r>
    </w:p>
    <w:p w14:paraId="11C58603">
      <w:pPr>
        <w:pStyle w:val="73"/>
        <w:numPr>
          <w:ilvl w:val="0"/>
          <w:numId w:val="10"/>
        </w:numPr>
        <w:ind w:left="0" w:firstLine="0"/>
        <w:rPr>
          <w:b w:val="0"/>
          <w:bCs/>
        </w:rPr>
      </w:pPr>
      <w:r>
        <w:rPr>
          <w:rFonts w:hint="eastAsia"/>
          <w:b w:val="0"/>
          <w:bCs/>
        </w:rPr>
        <w:t>投标人必须是最终投标、签订合同的单位，不得以任何理由将已中标项目以任何形式转包或者分包给其他单位；</w:t>
      </w:r>
    </w:p>
    <w:p w14:paraId="3F499FBA">
      <w:pPr>
        <w:pStyle w:val="73"/>
        <w:numPr>
          <w:ilvl w:val="0"/>
          <w:numId w:val="10"/>
        </w:numPr>
        <w:ind w:left="0" w:firstLine="0"/>
        <w:rPr>
          <w:color w:val="FF0000"/>
        </w:rPr>
      </w:pPr>
      <w:r>
        <w:rPr>
          <w:rFonts w:hint="eastAsia"/>
          <w:b w:val="0"/>
          <w:bCs/>
        </w:rPr>
        <w:t>本次招标项目</w:t>
      </w:r>
      <w:r>
        <w:rPr>
          <w:rFonts w:hint="eastAsia"/>
          <w:b w:val="0"/>
          <w:bCs/>
          <w:highlight w:val="yellow"/>
        </w:rPr>
        <w:t>不接受</w:t>
      </w:r>
      <w:r>
        <w:rPr>
          <w:rFonts w:hint="eastAsia"/>
          <w:b w:val="0"/>
          <w:bCs/>
        </w:rPr>
        <w:t>联合体投标；</w:t>
      </w:r>
    </w:p>
    <w:p w14:paraId="332B99BA">
      <w:pPr>
        <w:pStyle w:val="73"/>
        <w:numPr>
          <w:ilvl w:val="0"/>
          <w:numId w:val="10"/>
        </w:numPr>
        <w:ind w:left="0" w:firstLine="0"/>
        <w:rPr>
          <w:b w:val="0"/>
          <w:bCs/>
        </w:rPr>
      </w:pPr>
      <w:r>
        <w:rPr>
          <w:rFonts w:hint="eastAsia"/>
          <w:b w:val="0"/>
          <w:bCs/>
        </w:rPr>
        <w:t>法律、行政法规规定的其他条件；</w:t>
      </w:r>
    </w:p>
    <w:p w14:paraId="76DAC21B">
      <w:pPr>
        <w:pStyle w:val="72"/>
      </w:pPr>
      <w:r>
        <w:rPr>
          <w:rFonts w:hint="eastAsia"/>
        </w:rPr>
        <w:t>招标文件的领取、答疑、应标及投标报名</w:t>
      </w:r>
    </w:p>
    <w:p w14:paraId="13377097">
      <w:pPr>
        <w:pStyle w:val="76"/>
        <w:numPr>
          <w:ilvl w:val="0"/>
          <w:numId w:val="15"/>
        </w:numPr>
        <w:jc w:val="both"/>
      </w:pPr>
      <w:r>
        <w:rPr>
          <w:rFonts w:hint="eastAsia"/>
        </w:rPr>
        <w:t>发标时间：</w:t>
      </w:r>
      <w:r>
        <w:rPr>
          <w:rFonts w:hint="eastAsia"/>
          <w:highlight w:val="yellow"/>
        </w:rPr>
        <w:t>2025年10月21日</w:t>
      </w:r>
    </w:p>
    <w:p w14:paraId="39B4A55D">
      <w:pPr>
        <w:pStyle w:val="76"/>
        <w:numPr>
          <w:ilvl w:val="0"/>
          <w:numId w:val="15"/>
        </w:numPr>
        <w:jc w:val="both"/>
        <w:rPr>
          <w:highlight w:val="yellow"/>
        </w:rPr>
      </w:pPr>
      <w:r>
        <w:rPr>
          <w:rFonts w:hint="eastAsia"/>
          <w:highlight w:val="yellow"/>
        </w:rPr>
        <w:t>招标文件领取方式：线上</w:t>
      </w:r>
    </w:p>
    <w:p w14:paraId="341AF0FF">
      <w:pPr>
        <w:pStyle w:val="76"/>
        <w:ind w:firstLine="210" w:firstLineChars="100"/>
        <w:jc w:val="both"/>
        <w:rPr>
          <w:highlight w:val="yellow"/>
        </w:rPr>
      </w:pPr>
      <w:r>
        <w:rPr>
          <w:rFonts w:hint="eastAsia"/>
          <w:highlight w:val="yellow"/>
        </w:rPr>
        <w:t>地点：中国重汽e采通平台</w:t>
      </w:r>
    </w:p>
    <w:p w14:paraId="7B36AD99">
      <w:pPr>
        <w:pStyle w:val="76"/>
        <w:ind w:firstLine="210" w:firstLineChars="100"/>
        <w:jc w:val="both"/>
        <w:rPr>
          <w:highlight w:val="yellow"/>
        </w:rPr>
      </w:pPr>
      <w:r>
        <w:rPr>
          <w:rFonts w:hint="eastAsia"/>
          <w:highlight w:val="yellow"/>
        </w:rPr>
        <w:t>领取截止时间：2025年10月28日</w:t>
      </w:r>
    </w:p>
    <w:p w14:paraId="5C0DE0CA">
      <w:pPr>
        <w:pStyle w:val="76"/>
        <w:numPr>
          <w:ilvl w:val="0"/>
          <w:numId w:val="15"/>
        </w:numPr>
        <w:jc w:val="both"/>
      </w:pPr>
      <w:r>
        <w:rPr>
          <w:rFonts w:hint="eastAsia"/>
        </w:rPr>
        <w:t>答疑时间：</w:t>
      </w:r>
      <w:r>
        <w:rPr>
          <w:rFonts w:hint="eastAsia"/>
          <w:highlight w:val="yellow"/>
        </w:rPr>
        <w:t>2025年10月28日</w:t>
      </w:r>
      <w:r>
        <w:rPr>
          <w:rFonts w:hint="eastAsia" w:hAnsi="宋体" w:cs="宋体"/>
          <w:bCs/>
          <w:szCs w:val="21"/>
          <w:highlight w:val="yellow"/>
        </w:rPr>
        <w:t>12:00:00</w:t>
      </w:r>
      <w:r>
        <w:rPr>
          <w:rFonts w:hint="eastAsia"/>
          <w:highlight w:val="yellow"/>
        </w:rPr>
        <w:t>前</w:t>
      </w:r>
    </w:p>
    <w:p w14:paraId="59B659CC">
      <w:pPr>
        <w:pStyle w:val="76"/>
        <w:numPr>
          <w:ilvl w:val="0"/>
          <w:numId w:val="15"/>
        </w:numPr>
        <w:ind w:left="0" w:firstLine="0"/>
        <w:jc w:val="both"/>
      </w:pPr>
      <w:r>
        <w:rPr>
          <w:rFonts w:hint="eastAsia"/>
        </w:rPr>
        <w:t>提交疑问方式：将答疑问题以word文件格式发送至联系人邮件内，并电话联系工作人员查收，</w:t>
      </w:r>
      <w:r>
        <w:rPr>
          <w:rFonts w:hint="eastAsia"/>
          <w:b/>
          <w:bCs/>
        </w:rPr>
        <w:t>邮件名格式为：XXX公司（五个字以内公司简称）XX项目答疑文件。同时必须在邮件中以文字方式提供投标人全称、投标授权人姓名、联系方式（固定电话、手机、电子邮箱），并提供附件2法定代表人授权委托书。</w:t>
      </w:r>
    </w:p>
    <w:p w14:paraId="56EDEB41">
      <w:pPr>
        <w:pStyle w:val="76"/>
        <w:numPr>
          <w:ilvl w:val="0"/>
          <w:numId w:val="15"/>
        </w:numPr>
        <w:jc w:val="both"/>
      </w:pPr>
      <w:r>
        <w:rPr>
          <w:rFonts w:hint="eastAsia"/>
        </w:rPr>
        <w:t>领取答疑、澄清和修改文件时间：</w:t>
      </w:r>
      <w:r>
        <w:rPr>
          <w:rFonts w:hint="eastAsia"/>
          <w:highlight w:val="yellow"/>
        </w:rPr>
        <w:t>2025年10月28日</w:t>
      </w:r>
      <w:r>
        <w:rPr>
          <w:rFonts w:hint="eastAsia" w:hAnsi="宋体" w:cs="宋体"/>
          <w:bCs/>
          <w:szCs w:val="21"/>
          <w:highlight w:val="yellow"/>
        </w:rPr>
        <w:t>17:00:00</w:t>
      </w:r>
      <w:r>
        <w:rPr>
          <w:rFonts w:hint="eastAsia"/>
          <w:highlight w:val="yellow"/>
        </w:rPr>
        <w:t>前：</w:t>
      </w:r>
    </w:p>
    <w:p w14:paraId="079A5769">
      <w:pPr>
        <w:pStyle w:val="76"/>
        <w:numPr>
          <w:ilvl w:val="0"/>
          <w:numId w:val="15"/>
        </w:numPr>
        <w:ind w:left="0" w:firstLine="0"/>
        <w:jc w:val="both"/>
      </w:pPr>
      <w:r>
        <w:rPr>
          <w:rFonts w:hint="eastAsia"/>
        </w:rPr>
        <w:t>答疑、澄清和修改文件方式：招标人将以电子邮件的方式将招标文件的答疑澄清文件发送至答疑文件提交时登记的电子邮箱。</w:t>
      </w:r>
    </w:p>
    <w:p w14:paraId="0418F5CA">
      <w:pPr>
        <w:pStyle w:val="76"/>
        <w:numPr>
          <w:ilvl w:val="0"/>
          <w:numId w:val="15"/>
        </w:numPr>
        <w:jc w:val="both"/>
        <w:rPr>
          <w:highlight w:val="yellow"/>
        </w:rPr>
      </w:pPr>
      <w:r>
        <w:rPr>
          <w:rFonts w:hint="eastAsia"/>
          <w:highlight w:val="yellow"/>
        </w:rPr>
        <w:t>报名方式：在“中国重汽e采通”平台报名</w:t>
      </w:r>
    </w:p>
    <w:p w14:paraId="2BE651EE">
      <w:pPr>
        <w:pStyle w:val="76"/>
        <w:numPr>
          <w:ilvl w:val="0"/>
          <w:numId w:val="15"/>
        </w:numPr>
        <w:jc w:val="both"/>
        <w:rPr>
          <w:highlight w:val="yellow"/>
        </w:rPr>
      </w:pPr>
      <w:r>
        <w:rPr>
          <w:rFonts w:hint="eastAsia"/>
          <w:highlight w:val="yellow"/>
        </w:rPr>
        <w:t>应标截止时间：</w:t>
      </w:r>
      <w:r>
        <w:rPr>
          <w:rFonts w:hint="eastAsia" w:hAnsi="宋体" w:cs="宋体"/>
          <w:sz w:val="24"/>
          <w:szCs w:val="24"/>
          <w:highlight w:val="yellow"/>
        </w:rPr>
        <w:t>2025年10月28日</w:t>
      </w:r>
      <w:r>
        <w:rPr>
          <w:rFonts w:hint="eastAsia" w:hAnsi="宋体" w:cs="宋体"/>
          <w:bCs/>
          <w:sz w:val="24"/>
          <w:szCs w:val="24"/>
          <w:highlight w:val="yellow"/>
        </w:rPr>
        <w:t>17:00:00</w:t>
      </w:r>
      <w:r>
        <w:rPr>
          <w:rFonts w:hint="eastAsia" w:cs="宋体"/>
          <w:bCs/>
          <w:highlight w:val="yellow"/>
        </w:rPr>
        <w:t>前</w:t>
      </w:r>
    </w:p>
    <w:p w14:paraId="7E263438">
      <w:pPr>
        <w:pStyle w:val="76"/>
        <w:numPr>
          <w:ilvl w:val="0"/>
          <w:numId w:val="15"/>
        </w:numPr>
        <w:jc w:val="both"/>
        <w:rPr>
          <w:b/>
          <w:bCs/>
          <w:highlight w:val="yellow"/>
        </w:rPr>
      </w:pPr>
      <w:r>
        <w:rPr>
          <w:rFonts w:hAnsi="宋体" w:cs="宋体"/>
          <w:b/>
          <w:bCs/>
          <w:sz w:val="24"/>
          <w:szCs w:val="24"/>
        </w:rPr>
        <w:t>强烈建议投标人在应标成功后联系吴老师，13588891716，派人前往项目实施地进行现场踏勘和交流，以便准确了解项目技术及施工改造等要求。</w:t>
      </w:r>
    </w:p>
    <w:p w14:paraId="03051C95">
      <w:pPr>
        <w:pStyle w:val="72"/>
        <w:rPr>
          <w:rFonts w:ascii="宋体" w:eastAsia="宋体"/>
        </w:rPr>
      </w:pPr>
      <w:r>
        <w:rPr>
          <w:rFonts w:hint="eastAsia"/>
        </w:rPr>
        <w:t>投标文件编制</w:t>
      </w:r>
    </w:p>
    <w:p w14:paraId="6D350EFC">
      <w:pPr>
        <w:pStyle w:val="73"/>
        <w:numPr>
          <w:ilvl w:val="0"/>
          <w:numId w:val="16"/>
        </w:numPr>
        <w:ind w:firstLine="0"/>
        <w:rPr>
          <w:b w:val="0"/>
        </w:rPr>
      </w:pPr>
      <w:r>
        <w:rPr>
          <w:rFonts w:hint="eastAsia"/>
          <w:b w:val="0"/>
        </w:rPr>
        <w:t>投标文件的组成</w:t>
      </w:r>
    </w:p>
    <w:p w14:paraId="5CA5707C">
      <w:pPr>
        <w:pStyle w:val="73"/>
        <w:numPr>
          <w:ilvl w:val="0"/>
          <w:numId w:val="0"/>
        </w:numPr>
        <w:rPr>
          <w:b w:val="0"/>
          <w:bCs/>
        </w:rPr>
      </w:pPr>
      <w:r>
        <w:rPr>
          <w:rFonts w:hint="eastAsia"/>
          <w:b w:val="0"/>
          <w:bCs/>
        </w:rPr>
        <w:t>投标人编写的投标文件由《投标文件（资质标）》、《投标文件（技术标）》(若有）、《投标文件（商务标）》（开标一览表）文件组成，共计</w:t>
      </w:r>
      <w:r>
        <w:rPr>
          <w:rFonts w:hint="eastAsia"/>
          <w:b w:val="0"/>
          <w:bCs/>
          <w:highlight w:val="yellow"/>
          <w:u w:val="single"/>
        </w:rPr>
        <w:t xml:space="preserve"> 3 </w:t>
      </w:r>
      <w:r>
        <w:rPr>
          <w:rFonts w:hint="eastAsia"/>
          <w:b w:val="0"/>
          <w:bCs/>
        </w:rPr>
        <w:t>个文件。</w:t>
      </w:r>
    </w:p>
    <w:p w14:paraId="123E2757">
      <w:pPr>
        <w:pStyle w:val="74"/>
        <w:numPr>
          <w:ilvl w:val="0"/>
          <w:numId w:val="17"/>
        </w:numPr>
        <w:rPr>
          <w:b w:val="0"/>
          <w:bCs/>
        </w:rPr>
      </w:pPr>
      <w:r>
        <w:rPr>
          <w:rFonts w:hint="eastAsia"/>
          <w:b w:val="0"/>
          <w:bCs/>
        </w:rPr>
        <w:t>资质文件：</w:t>
      </w:r>
    </w:p>
    <w:p w14:paraId="6112C4BA">
      <w:pPr>
        <w:pStyle w:val="75"/>
        <w:numPr>
          <w:ilvl w:val="0"/>
          <w:numId w:val="18"/>
        </w:numPr>
        <w:rPr>
          <w:bCs/>
        </w:rPr>
      </w:pPr>
      <w:r>
        <w:rPr>
          <w:rFonts w:hint="eastAsia"/>
          <w:bCs/>
        </w:rPr>
        <w:t>法定代表人身份证明；</w:t>
      </w:r>
    </w:p>
    <w:p w14:paraId="36EB9134">
      <w:pPr>
        <w:pStyle w:val="75"/>
        <w:numPr>
          <w:ilvl w:val="0"/>
          <w:numId w:val="18"/>
        </w:numPr>
        <w:rPr>
          <w:bCs/>
        </w:rPr>
      </w:pPr>
      <w:r>
        <w:rPr>
          <w:rFonts w:hint="eastAsia"/>
          <w:bCs/>
        </w:rPr>
        <w:t>法定代表人授权委托书（授权人需带身份证原件）；</w:t>
      </w:r>
    </w:p>
    <w:p w14:paraId="618E0765">
      <w:pPr>
        <w:pStyle w:val="75"/>
        <w:numPr>
          <w:ilvl w:val="0"/>
          <w:numId w:val="18"/>
        </w:numPr>
        <w:rPr>
          <w:bCs/>
        </w:rPr>
      </w:pPr>
      <w:r>
        <w:rPr>
          <w:rFonts w:hint="eastAsia"/>
          <w:bCs/>
        </w:rPr>
        <w:t>营业执照副本原件或复印件并加盖公章；</w:t>
      </w:r>
    </w:p>
    <w:p w14:paraId="0EBF296D">
      <w:pPr>
        <w:pStyle w:val="75"/>
        <w:numPr>
          <w:ilvl w:val="0"/>
          <w:numId w:val="18"/>
        </w:numPr>
        <w:ind w:left="0" w:firstLine="0"/>
        <w:rPr>
          <w:bCs/>
        </w:rPr>
      </w:pPr>
      <w:r>
        <w:rPr>
          <w:rFonts w:hint="eastAsia"/>
          <w:bCs/>
        </w:rPr>
        <w:t>投标人应具有相应生产证明，若非原厂商需提供原厂商授权书（原件或加盖投标单位公章的彩色打印件）；</w:t>
      </w:r>
    </w:p>
    <w:p w14:paraId="51F8CF28">
      <w:pPr>
        <w:pStyle w:val="75"/>
        <w:numPr>
          <w:ilvl w:val="0"/>
          <w:numId w:val="18"/>
        </w:numPr>
        <w:rPr>
          <w:bCs/>
        </w:rPr>
      </w:pPr>
      <w:r>
        <w:rPr>
          <w:rFonts w:hint="eastAsia"/>
          <w:bCs/>
        </w:rPr>
        <w:t>证明投标人满足投标资料表中列出的业绩要求的文件：企业近5年来成功实施类似项目业绩证明，须提供用户清单、采购合同复印件；</w:t>
      </w:r>
    </w:p>
    <w:p w14:paraId="214A1722">
      <w:pPr>
        <w:pStyle w:val="75"/>
        <w:numPr>
          <w:ilvl w:val="0"/>
          <w:numId w:val="18"/>
        </w:numPr>
        <w:ind w:left="0" w:firstLine="0"/>
        <w:rPr>
          <w:bCs/>
        </w:rPr>
      </w:pPr>
      <w:r>
        <w:rPr>
          <w:rFonts w:hint="eastAsia"/>
          <w:bCs/>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602A8B52">
      <w:pPr>
        <w:pStyle w:val="75"/>
        <w:numPr>
          <w:ilvl w:val="0"/>
          <w:numId w:val="18"/>
        </w:numPr>
        <w:rPr>
          <w:bCs/>
        </w:rPr>
      </w:pPr>
      <w:r>
        <w:rPr>
          <w:rFonts w:hint="eastAsia"/>
          <w:bCs/>
        </w:rPr>
        <w:t>企业最近半年完税证明、信用证明材料（征信报告）；</w:t>
      </w:r>
    </w:p>
    <w:p w14:paraId="648144C0">
      <w:pPr>
        <w:pStyle w:val="75"/>
        <w:numPr>
          <w:ilvl w:val="0"/>
          <w:numId w:val="18"/>
        </w:numPr>
        <w:rPr>
          <w:bCs/>
        </w:rPr>
      </w:pPr>
      <w:r>
        <w:rPr>
          <w:rFonts w:hint="eastAsia"/>
          <w:bCs/>
        </w:rPr>
        <w:t>年度纳税信用评价信息（可从电子税务局查询截图，需加盖公章）；</w:t>
      </w:r>
    </w:p>
    <w:p w14:paraId="1CBB1998">
      <w:pPr>
        <w:pStyle w:val="75"/>
        <w:numPr>
          <w:ilvl w:val="0"/>
          <w:numId w:val="18"/>
        </w:numPr>
        <w:rPr>
          <w:bCs/>
        </w:rPr>
      </w:pPr>
      <w:r>
        <w:rPr>
          <w:rFonts w:hint="eastAsia"/>
          <w:bCs/>
        </w:rPr>
        <w:t>企业对外担保说明（写明贵单位对外有无对外担保和质押业务，需加盖公章）。</w:t>
      </w:r>
    </w:p>
    <w:p w14:paraId="0CD3FECD">
      <w:pPr>
        <w:pStyle w:val="75"/>
        <w:numPr>
          <w:ilvl w:val="0"/>
          <w:numId w:val="18"/>
        </w:numPr>
        <w:rPr>
          <w:bCs/>
        </w:rPr>
      </w:pPr>
      <w:r>
        <w:rPr>
          <w:rFonts w:hint="eastAsia"/>
          <w:bCs/>
        </w:rPr>
        <w:t>信用中国截图或国家企业信用信息公示系统截图；</w:t>
      </w:r>
    </w:p>
    <w:p w14:paraId="0DB2401A">
      <w:pPr>
        <w:pStyle w:val="75"/>
        <w:numPr>
          <w:ilvl w:val="0"/>
          <w:numId w:val="18"/>
        </w:numPr>
        <w:rPr>
          <w:bCs/>
        </w:rPr>
      </w:pPr>
      <w:r>
        <w:rPr>
          <w:rFonts w:hint="eastAsia"/>
          <w:bCs/>
        </w:rPr>
        <w:t>招标文件中要求的其它资格证明文件。</w:t>
      </w:r>
    </w:p>
    <w:p w14:paraId="4E8581C1">
      <w:pPr>
        <w:pStyle w:val="75"/>
        <w:numPr>
          <w:ilvl w:val="0"/>
          <w:numId w:val="18"/>
        </w:numPr>
        <w:rPr>
          <w:bCs/>
        </w:rPr>
      </w:pPr>
      <w:r>
        <w:rPr>
          <w:rFonts w:hint="eastAsia"/>
          <w:bCs/>
        </w:rPr>
        <w:t>投标保证金缴纳凭证，同时正文描述付款账号、户名、开户行名称、开户行行号、保证金金额。</w:t>
      </w:r>
    </w:p>
    <w:p w14:paraId="6213A98B">
      <w:pPr>
        <w:pStyle w:val="75"/>
        <w:numPr>
          <w:ilvl w:val="0"/>
          <w:numId w:val="18"/>
        </w:numPr>
        <w:rPr>
          <w:bCs/>
        </w:rPr>
      </w:pPr>
      <w:r>
        <w:rPr>
          <w:rFonts w:hint="eastAsia"/>
          <w:bCs/>
        </w:rPr>
        <w:t>保密承诺函（见附件，需盖章）；</w:t>
      </w:r>
    </w:p>
    <w:p w14:paraId="5733588F">
      <w:pPr>
        <w:pStyle w:val="75"/>
        <w:numPr>
          <w:ilvl w:val="0"/>
          <w:numId w:val="19"/>
        </w:numPr>
        <w:ind w:left="10" w:firstLine="0"/>
        <w:rPr>
          <w:bCs/>
        </w:rPr>
      </w:pPr>
      <w:r>
        <w:rPr>
          <w:rFonts w:hint="eastAsia"/>
          <w:bCs/>
        </w:rPr>
        <w:t>对于投标人资质审核不通过的，招标人有权拒绝其投标。</w:t>
      </w:r>
    </w:p>
    <w:p w14:paraId="5880ECB5">
      <w:pPr>
        <w:pStyle w:val="74"/>
        <w:numPr>
          <w:ilvl w:val="0"/>
          <w:numId w:val="17"/>
        </w:numPr>
        <w:rPr>
          <w:b w:val="0"/>
          <w:bCs/>
          <w:highlight w:val="yellow"/>
        </w:rPr>
      </w:pPr>
      <w:r>
        <w:rPr>
          <w:rFonts w:hint="eastAsia"/>
          <w:b w:val="0"/>
          <w:bCs/>
          <w:highlight w:val="yellow"/>
        </w:rPr>
        <w:t>技术标：</w:t>
      </w:r>
    </w:p>
    <w:p w14:paraId="49EC1483">
      <w:pPr>
        <w:pStyle w:val="75"/>
        <w:numPr>
          <w:ilvl w:val="0"/>
          <w:numId w:val="20"/>
        </w:numPr>
        <w:rPr>
          <w:bCs/>
          <w:highlight w:val="yellow"/>
        </w:rPr>
      </w:pPr>
      <w:r>
        <w:rPr>
          <w:rFonts w:hint="eastAsia"/>
          <w:bCs/>
          <w:highlight w:val="yellow"/>
        </w:rPr>
        <w:t>技术配置对比表。</w:t>
      </w:r>
    </w:p>
    <w:p w14:paraId="6F93EAAF">
      <w:pPr>
        <w:pStyle w:val="75"/>
        <w:numPr>
          <w:ilvl w:val="0"/>
          <w:numId w:val="20"/>
        </w:numPr>
        <w:rPr>
          <w:bCs/>
          <w:highlight w:val="yellow"/>
        </w:rPr>
      </w:pPr>
      <w:r>
        <w:rPr>
          <w:rFonts w:hint="eastAsia"/>
          <w:bCs/>
          <w:highlight w:val="yellow"/>
        </w:rPr>
        <w:t>投标设备配置明细表；</w:t>
      </w:r>
    </w:p>
    <w:p w14:paraId="69461AFE">
      <w:pPr>
        <w:pStyle w:val="75"/>
        <w:numPr>
          <w:ilvl w:val="0"/>
          <w:numId w:val="20"/>
        </w:numPr>
        <w:rPr>
          <w:bCs/>
          <w:highlight w:val="yellow"/>
        </w:rPr>
      </w:pPr>
      <w:r>
        <w:rPr>
          <w:rFonts w:hint="eastAsia"/>
          <w:bCs/>
          <w:highlight w:val="yellow"/>
        </w:rPr>
        <w:t>技术规格偏离表；</w:t>
      </w:r>
    </w:p>
    <w:p w14:paraId="606905CF">
      <w:pPr>
        <w:pStyle w:val="75"/>
        <w:numPr>
          <w:ilvl w:val="0"/>
          <w:numId w:val="20"/>
        </w:numPr>
        <w:rPr>
          <w:bCs/>
          <w:highlight w:val="yellow"/>
        </w:rPr>
      </w:pPr>
      <w:r>
        <w:rPr>
          <w:rFonts w:hint="eastAsia"/>
          <w:bCs/>
          <w:highlight w:val="yellow"/>
        </w:rPr>
        <w:t>技术性能、参数的描述；</w:t>
      </w:r>
      <w:r>
        <w:rPr>
          <w:bCs/>
          <w:highlight w:val="yellow"/>
        </w:rPr>
        <w:t xml:space="preserve"> </w:t>
      </w:r>
    </w:p>
    <w:p w14:paraId="0E03F56A">
      <w:pPr>
        <w:pStyle w:val="75"/>
        <w:numPr>
          <w:ilvl w:val="0"/>
          <w:numId w:val="20"/>
        </w:numPr>
        <w:rPr>
          <w:bCs/>
          <w:highlight w:val="yellow"/>
        </w:rPr>
      </w:pPr>
      <w:r>
        <w:rPr>
          <w:rFonts w:hint="eastAsia"/>
          <w:bCs/>
          <w:highlight w:val="yellow"/>
        </w:rPr>
        <w:t>备品备件工具材料明细表；</w:t>
      </w:r>
      <w:r>
        <w:rPr>
          <w:bCs/>
          <w:highlight w:val="yellow"/>
        </w:rPr>
        <w:t xml:space="preserve"> </w:t>
      </w:r>
    </w:p>
    <w:p w14:paraId="4EF5BC04">
      <w:pPr>
        <w:pStyle w:val="74"/>
        <w:numPr>
          <w:ilvl w:val="0"/>
          <w:numId w:val="17"/>
        </w:numPr>
        <w:rPr>
          <w:b w:val="0"/>
          <w:bCs/>
        </w:rPr>
      </w:pPr>
      <w:r>
        <w:rPr>
          <w:rFonts w:hint="eastAsia"/>
          <w:b w:val="0"/>
          <w:bCs/>
        </w:rPr>
        <w:t>商务标：</w:t>
      </w:r>
    </w:p>
    <w:p w14:paraId="2BF33B52">
      <w:pPr>
        <w:pStyle w:val="75"/>
        <w:numPr>
          <w:ilvl w:val="0"/>
          <w:numId w:val="21"/>
        </w:numPr>
        <w:rPr>
          <w:bCs/>
          <w:highlight w:val="yellow"/>
        </w:rPr>
      </w:pPr>
      <w:r>
        <w:rPr>
          <w:rFonts w:hint="eastAsia"/>
          <w:bCs/>
          <w:highlight w:val="yellow"/>
        </w:rPr>
        <w:t>开标一览表</w:t>
      </w:r>
    </w:p>
    <w:p w14:paraId="267100E4">
      <w:pPr>
        <w:pStyle w:val="75"/>
        <w:numPr>
          <w:ilvl w:val="0"/>
          <w:numId w:val="21"/>
        </w:numPr>
        <w:rPr>
          <w:bCs/>
          <w:highlight w:val="yellow"/>
        </w:rPr>
      </w:pPr>
      <w:r>
        <w:rPr>
          <w:rFonts w:hint="eastAsia"/>
          <w:bCs/>
          <w:highlight w:val="yellow"/>
        </w:rPr>
        <w:t>投标函（格式见附件）;</w:t>
      </w:r>
    </w:p>
    <w:p w14:paraId="415DFEE4">
      <w:pPr>
        <w:pStyle w:val="75"/>
        <w:numPr>
          <w:ilvl w:val="0"/>
          <w:numId w:val="21"/>
        </w:numPr>
        <w:rPr>
          <w:bCs/>
          <w:highlight w:val="yellow"/>
        </w:rPr>
      </w:pPr>
      <w:r>
        <w:rPr>
          <w:rFonts w:hint="eastAsia"/>
          <w:bCs/>
          <w:highlight w:val="yellow"/>
        </w:rPr>
        <w:t>商务条款偏离表；</w:t>
      </w:r>
    </w:p>
    <w:p w14:paraId="2750AA81">
      <w:pPr>
        <w:pStyle w:val="75"/>
        <w:numPr>
          <w:ilvl w:val="0"/>
          <w:numId w:val="21"/>
        </w:numPr>
        <w:rPr>
          <w:bCs/>
          <w:highlight w:val="yellow"/>
        </w:rPr>
      </w:pPr>
      <w:r>
        <w:rPr>
          <w:rFonts w:hint="eastAsia"/>
          <w:bCs/>
          <w:highlight w:val="yellow"/>
        </w:rPr>
        <w:t>投标货物分项报价表；</w:t>
      </w:r>
    </w:p>
    <w:p w14:paraId="4186F98A">
      <w:pPr>
        <w:pStyle w:val="75"/>
        <w:numPr>
          <w:ilvl w:val="0"/>
          <w:numId w:val="21"/>
        </w:numPr>
        <w:rPr>
          <w:bCs/>
        </w:rPr>
      </w:pPr>
      <w:r>
        <w:rPr>
          <w:rFonts w:hint="eastAsia"/>
          <w:bCs/>
          <w:highlight w:val="yellow"/>
        </w:rPr>
        <w:t>备配件目录价格及折扣报价表</w:t>
      </w:r>
    </w:p>
    <w:p w14:paraId="04DD90B1">
      <w:pPr>
        <w:pStyle w:val="75"/>
        <w:numPr>
          <w:ilvl w:val="0"/>
          <w:numId w:val="19"/>
        </w:numPr>
        <w:ind w:left="10" w:firstLine="0"/>
        <w:rPr>
          <w:bCs/>
        </w:rPr>
      </w:pPr>
      <w:r>
        <w:rPr>
          <w:rFonts w:hint="eastAsia"/>
          <w:bCs/>
        </w:rPr>
        <w:t>商务报价注意内容：最高投标限价（招标控制价）：人民币</w:t>
      </w:r>
      <w:r>
        <w:rPr>
          <w:rFonts w:hint="eastAsia"/>
          <w:bCs/>
          <w:highlight w:val="yellow"/>
          <w:u w:val="single"/>
        </w:rPr>
        <w:t xml:space="preserve"> 81.36 </w:t>
      </w:r>
      <w:r>
        <w:rPr>
          <w:rFonts w:hint="eastAsia"/>
          <w:bCs/>
        </w:rPr>
        <w:t>万元（含</w:t>
      </w:r>
      <w:r>
        <w:rPr>
          <w:rFonts w:hint="eastAsia"/>
          <w:bCs/>
          <w:highlight w:val="yellow"/>
          <w:u w:val="single"/>
        </w:rPr>
        <w:t xml:space="preserve"> 13  </w:t>
      </w:r>
      <w:r>
        <w:rPr>
          <w:rFonts w:hint="eastAsia"/>
          <w:bCs/>
        </w:rPr>
        <w:t>%增值税），超过投标限价无法投标。</w:t>
      </w:r>
    </w:p>
    <w:p w14:paraId="733DFC5C">
      <w:pPr>
        <w:pStyle w:val="73"/>
        <w:numPr>
          <w:ilvl w:val="0"/>
          <w:numId w:val="16"/>
        </w:numPr>
        <w:ind w:firstLine="0"/>
        <w:rPr>
          <w:b w:val="0"/>
        </w:rPr>
      </w:pPr>
      <w:r>
        <w:rPr>
          <w:rFonts w:hint="eastAsia"/>
          <w:b w:val="0"/>
        </w:rPr>
        <w:t>投标文件的投递</w:t>
      </w:r>
    </w:p>
    <w:p w14:paraId="608868D9">
      <w:pPr>
        <w:pStyle w:val="75"/>
        <w:numPr>
          <w:ilvl w:val="0"/>
          <w:numId w:val="22"/>
        </w:numPr>
        <w:rPr>
          <w:bCs/>
        </w:rPr>
      </w:pPr>
      <w:r>
        <w:rPr>
          <w:rFonts w:hint="eastAsia"/>
          <w:bCs/>
        </w:rPr>
        <w:t>投标方式：</w:t>
      </w:r>
      <w:r>
        <w:rPr>
          <w:rFonts w:hint="eastAsia"/>
        </w:rPr>
        <w:t>在“中国重汽e采通”平台</w:t>
      </w:r>
      <w:r>
        <w:rPr>
          <w:rFonts w:hint="eastAsia"/>
          <w:bCs/>
        </w:rPr>
        <w:t>线上投标</w:t>
      </w:r>
    </w:p>
    <w:p w14:paraId="3BBC413D">
      <w:pPr>
        <w:pStyle w:val="75"/>
        <w:numPr>
          <w:ilvl w:val="0"/>
          <w:numId w:val="22"/>
        </w:numPr>
        <w:rPr>
          <w:bCs/>
        </w:rPr>
      </w:pPr>
      <w:r>
        <w:rPr>
          <w:rFonts w:hint="eastAsia"/>
          <w:bCs/>
        </w:rPr>
        <w:t>联系人及联系方式：郭朝琛/15275666282</w:t>
      </w:r>
    </w:p>
    <w:p w14:paraId="40D3A77E">
      <w:pPr>
        <w:pStyle w:val="75"/>
        <w:numPr>
          <w:ilvl w:val="0"/>
          <w:numId w:val="22"/>
        </w:numPr>
        <w:rPr>
          <w:bCs/>
          <w:highlight w:val="yellow"/>
        </w:rPr>
      </w:pPr>
      <w:r>
        <w:rPr>
          <w:rFonts w:hint="eastAsia"/>
          <w:bCs/>
        </w:rPr>
        <w:t>投标文件递交截止时间：</w:t>
      </w:r>
      <w:r>
        <w:rPr>
          <w:rFonts w:hint="eastAsia"/>
          <w:bCs/>
          <w:highlight w:val="yellow"/>
        </w:rPr>
        <w:t>2025年11月19日9:00:00</w:t>
      </w:r>
    </w:p>
    <w:p w14:paraId="408D984A">
      <w:pPr>
        <w:pStyle w:val="72"/>
      </w:pPr>
      <w:bookmarkStart w:id="15" w:name="_Toc47976601"/>
      <w:r>
        <w:rPr>
          <w:rFonts w:hint="eastAsia"/>
        </w:rPr>
        <w:t>投标保证金收取、缴纳有效期及罚没</w:t>
      </w:r>
    </w:p>
    <w:p w14:paraId="4A52C213">
      <w:pPr>
        <w:pStyle w:val="72"/>
        <w:numPr>
          <w:ilvl w:val="0"/>
          <w:numId w:val="23"/>
        </w:numPr>
        <w:rPr>
          <w:rFonts w:ascii="宋体" w:hAnsi="宋体" w:eastAsia="宋体" w:cs="宋体"/>
          <w:b w:val="0"/>
          <w:bCs w:val="0"/>
          <w:sz w:val="21"/>
          <w:szCs w:val="21"/>
          <w:u w:val="single"/>
        </w:rPr>
      </w:pPr>
      <w:r>
        <w:rPr>
          <w:rFonts w:hint="eastAsia" w:ascii="宋体" w:hAnsi="宋体" w:eastAsia="宋体" w:cs="宋体"/>
          <w:b w:val="0"/>
          <w:bCs w:val="0"/>
          <w:sz w:val="21"/>
          <w:szCs w:val="21"/>
        </w:rPr>
        <w:t>投标保证金的缴纳</w:t>
      </w:r>
    </w:p>
    <w:p w14:paraId="494CEFD8">
      <w:pPr>
        <w:pStyle w:val="72"/>
        <w:numPr>
          <w:ilvl w:val="0"/>
          <w:numId w:val="24"/>
        </w:numPr>
        <w:rPr>
          <w:rFonts w:ascii="宋体" w:hAnsi="宋体" w:eastAsia="宋体" w:cs="宋体"/>
          <w:b w:val="0"/>
          <w:bCs w:val="0"/>
          <w:sz w:val="21"/>
          <w:szCs w:val="21"/>
          <w:u w:val="single"/>
        </w:rPr>
      </w:pPr>
      <w:r>
        <w:rPr>
          <w:rFonts w:hint="eastAsia" w:ascii="宋体" w:hAnsi="宋体" w:eastAsia="宋体" w:cs="宋体"/>
          <w:b w:val="0"/>
          <w:bCs w:val="0"/>
          <w:sz w:val="21"/>
          <w:szCs w:val="21"/>
        </w:rPr>
        <w:t>投标保证金的缴纳形式：</w:t>
      </w:r>
      <w:r>
        <w:rPr>
          <w:rFonts w:hint="eastAsia" w:ascii="宋体" w:hAnsi="宋体" w:eastAsia="宋体" w:cs="宋体"/>
          <w:b w:val="0"/>
          <w:bCs w:val="0"/>
          <w:sz w:val="21"/>
          <w:szCs w:val="21"/>
          <w:u w:val="single"/>
        </w:rPr>
        <w:t>提交银行投标保函或从银行基本账户转账</w:t>
      </w:r>
    </w:p>
    <w:p w14:paraId="66FFAE8E">
      <w:pPr>
        <w:pStyle w:val="72"/>
        <w:numPr>
          <w:ilvl w:val="0"/>
          <w:numId w:val="24"/>
        </w:numPr>
        <w:rPr>
          <w:rFonts w:ascii="宋体" w:hAnsi="宋体" w:eastAsia="宋体" w:cs="宋体"/>
          <w:b w:val="0"/>
          <w:bCs w:val="0"/>
          <w:sz w:val="21"/>
          <w:szCs w:val="21"/>
          <w:highlight w:val="yellow"/>
          <w:u w:val="single"/>
        </w:rPr>
      </w:pPr>
      <w:r>
        <w:rPr>
          <w:rFonts w:hint="eastAsia" w:ascii="宋体" w:hAnsi="宋体" w:eastAsia="宋体" w:cs="宋体"/>
          <w:b w:val="0"/>
          <w:bCs w:val="0"/>
          <w:sz w:val="21"/>
          <w:szCs w:val="21"/>
        </w:rPr>
        <w:t>投标保证金的金额：人民币</w:t>
      </w:r>
      <w:r>
        <w:rPr>
          <w:rFonts w:hint="eastAsia" w:ascii="宋体" w:hAnsi="宋体" w:eastAsia="宋体" w:cs="宋体"/>
          <w:b w:val="0"/>
          <w:bCs w:val="0"/>
          <w:sz w:val="21"/>
          <w:szCs w:val="21"/>
          <w:highlight w:val="yellow"/>
          <w:u w:val="single"/>
        </w:rPr>
        <w:t xml:space="preserve"> 10000 </w:t>
      </w:r>
      <w:r>
        <w:rPr>
          <w:rFonts w:hint="eastAsia" w:ascii="宋体" w:hAnsi="宋体" w:eastAsia="宋体" w:cs="宋体"/>
          <w:b w:val="0"/>
          <w:bCs w:val="0"/>
          <w:sz w:val="21"/>
          <w:szCs w:val="21"/>
        </w:rPr>
        <w:t>元</w:t>
      </w:r>
    </w:p>
    <w:p w14:paraId="6ECA75D6">
      <w:pPr>
        <w:pStyle w:val="72"/>
        <w:numPr>
          <w:ilvl w:val="0"/>
          <w:numId w:val="24"/>
        </w:numPr>
        <w:rPr>
          <w:rFonts w:ascii="宋体" w:hAnsi="宋体" w:eastAsia="宋体" w:cs="宋体"/>
          <w:b w:val="0"/>
          <w:bCs w:val="0"/>
          <w:sz w:val="21"/>
          <w:szCs w:val="21"/>
          <w:highlight w:val="yellow"/>
          <w:u w:val="single"/>
        </w:rPr>
      </w:pPr>
      <w:r>
        <w:rPr>
          <w:rFonts w:hint="eastAsia" w:ascii="宋体" w:hAnsi="宋体" w:eastAsia="宋体" w:cs="宋体"/>
          <w:b w:val="0"/>
          <w:bCs w:val="0"/>
          <w:sz w:val="21"/>
          <w:szCs w:val="21"/>
          <w:highlight w:val="yellow"/>
        </w:rPr>
        <w:t>开户名称：</w:t>
      </w:r>
      <w:r>
        <w:rPr>
          <w:rFonts w:hint="eastAsia" w:ascii="宋体" w:hAnsi="宋体" w:eastAsia="宋体" w:cs="宋体"/>
          <w:b w:val="0"/>
          <w:bCs w:val="0"/>
          <w:sz w:val="21"/>
          <w:szCs w:val="21"/>
          <w:highlight w:val="yellow"/>
          <w:u w:val="single"/>
        </w:rPr>
        <w:t xml:space="preserve">  中国重汽集团济南动力有限公司</w:t>
      </w:r>
    </w:p>
    <w:p w14:paraId="6CFF2E22">
      <w:pPr>
        <w:pStyle w:val="72"/>
        <w:numPr>
          <w:ilvl w:val="0"/>
          <w:numId w:val="0"/>
        </w:numPr>
        <w:rPr>
          <w:rFonts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开户银行：</w:t>
      </w:r>
      <w:r>
        <w:rPr>
          <w:rFonts w:hint="eastAsia" w:ascii="宋体" w:hAnsi="宋体" w:eastAsia="宋体" w:cs="宋体"/>
          <w:b w:val="0"/>
          <w:bCs w:val="0"/>
          <w:sz w:val="21"/>
          <w:szCs w:val="21"/>
          <w:highlight w:val="yellow"/>
          <w:u w:val="single"/>
        </w:rPr>
        <w:t>中国建设银行股份有限公司济南天桥支行</w:t>
      </w:r>
    </w:p>
    <w:p w14:paraId="0882662F">
      <w:pPr>
        <w:pStyle w:val="72"/>
        <w:numPr>
          <w:ilvl w:val="0"/>
          <w:numId w:val="0"/>
        </w:numPr>
        <w:rPr>
          <w:rFonts w:ascii="宋体" w:hAnsi="宋体" w:eastAsia="宋体" w:cs="宋体"/>
          <w:b w:val="0"/>
          <w:bCs w:val="0"/>
          <w:sz w:val="21"/>
          <w:szCs w:val="21"/>
          <w:highlight w:val="yellow"/>
          <w:u w:val="single"/>
        </w:rPr>
      </w:pPr>
      <w:r>
        <w:rPr>
          <w:rFonts w:hint="eastAsia" w:ascii="宋体" w:hAnsi="宋体" w:eastAsia="宋体" w:cs="宋体"/>
          <w:b w:val="0"/>
          <w:bCs w:val="0"/>
          <w:sz w:val="21"/>
          <w:szCs w:val="21"/>
          <w:highlight w:val="yellow"/>
        </w:rPr>
        <w:t>银行帐号：</w:t>
      </w:r>
      <w:r>
        <w:rPr>
          <w:rFonts w:hint="eastAsia" w:ascii="宋体" w:hAnsi="宋体" w:eastAsia="宋体" w:cs="宋体"/>
          <w:b w:val="0"/>
          <w:bCs w:val="0"/>
          <w:sz w:val="21"/>
          <w:szCs w:val="21"/>
          <w:highlight w:val="yellow"/>
          <w:u w:val="single"/>
        </w:rPr>
        <w:t>37001616508050150300</w:t>
      </w:r>
    </w:p>
    <w:p w14:paraId="18C39BC0">
      <w:pPr>
        <w:pStyle w:val="72"/>
        <w:numPr>
          <w:ilvl w:val="0"/>
          <w:numId w:val="0"/>
        </w:numPr>
        <w:rPr>
          <w:rFonts w:ascii="宋体" w:hAnsi="宋体" w:eastAsia="宋体" w:cs="宋体"/>
          <w:b w:val="0"/>
          <w:bCs w:val="0"/>
          <w:sz w:val="21"/>
          <w:szCs w:val="21"/>
          <w:highlight w:val="yellow"/>
          <w:u w:val="single"/>
        </w:rPr>
      </w:pPr>
      <w:r>
        <w:rPr>
          <w:rFonts w:hint="eastAsia" w:ascii="宋体" w:hAnsi="宋体" w:eastAsia="宋体" w:cs="宋体"/>
          <w:b w:val="0"/>
          <w:bCs w:val="0"/>
          <w:sz w:val="21"/>
          <w:szCs w:val="21"/>
          <w:highlight w:val="yellow"/>
        </w:rPr>
        <w:t>开户行联号：</w:t>
      </w:r>
      <w:r>
        <w:rPr>
          <w:rFonts w:hint="eastAsia" w:ascii="宋体" w:hAnsi="宋体" w:eastAsia="宋体" w:cs="宋体"/>
          <w:b w:val="0"/>
          <w:bCs w:val="0"/>
          <w:sz w:val="21"/>
          <w:szCs w:val="21"/>
          <w:highlight w:val="yellow"/>
          <w:u w:val="single"/>
        </w:rPr>
        <w:t>105451000362</w:t>
      </w:r>
    </w:p>
    <w:p w14:paraId="5F4E867C">
      <w:pPr>
        <w:pStyle w:val="75"/>
        <w:numPr>
          <w:ilvl w:val="0"/>
          <w:numId w:val="19"/>
        </w:numPr>
        <w:ind w:left="10" w:firstLine="0"/>
        <w:rPr>
          <w:bCs/>
        </w:rPr>
      </w:pPr>
      <w:r>
        <w:rPr>
          <w:rFonts w:hint="eastAsia"/>
          <w:bCs/>
        </w:rPr>
        <w:t>转账附言：公司名称+项目名称+投标保证金。</w:t>
      </w:r>
    </w:p>
    <w:p w14:paraId="7DBEF5C2">
      <w:pPr>
        <w:pStyle w:val="72"/>
        <w:numPr>
          <w:ilvl w:val="0"/>
          <w:numId w:val="0"/>
        </w:numPr>
        <w:ind w:left="425" w:hanging="425"/>
        <w:rPr>
          <w:rFonts w:ascii="宋体" w:hAnsi="宋体" w:eastAsia="宋体" w:cs="宋体"/>
          <w:b w:val="0"/>
          <w:bCs w:val="0"/>
          <w:sz w:val="21"/>
          <w:szCs w:val="21"/>
        </w:rPr>
      </w:pPr>
      <w:r>
        <w:rPr>
          <w:rFonts w:ascii="宋体" w:hAnsi="宋体" w:eastAsia="宋体" w:cs="宋体"/>
          <w:b w:val="0"/>
          <w:bCs w:val="0"/>
          <w:sz w:val="21"/>
          <w:szCs w:val="21"/>
        </w:rPr>
        <w:t>(</w:t>
      </w:r>
      <w:r>
        <w:rPr>
          <w:rFonts w:hint="eastAsia" w:ascii="宋体" w:hAnsi="宋体" w:eastAsia="宋体" w:cs="宋体"/>
          <w:b w:val="0"/>
          <w:bCs w:val="0"/>
          <w:sz w:val="21"/>
          <w:szCs w:val="21"/>
        </w:rPr>
        <w:t>4</w:t>
      </w:r>
      <w:r>
        <w:rPr>
          <w:rFonts w:ascii="宋体" w:hAnsi="宋体" w:eastAsia="宋体" w:cs="宋体"/>
          <w:b w:val="0"/>
          <w:bCs w:val="0"/>
          <w:sz w:val="21"/>
          <w:szCs w:val="21"/>
        </w:rPr>
        <w:t>)</w:t>
      </w:r>
      <w:r>
        <w:rPr>
          <w:rFonts w:hint="eastAsia" w:ascii="宋体" w:hAnsi="宋体" w:eastAsia="宋体" w:cs="宋体"/>
          <w:b w:val="0"/>
          <w:bCs w:val="0"/>
          <w:sz w:val="21"/>
          <w:szCs w:val="21"/>
        </w:rPr>
        <w:t>保证金缴纳截止时间：</w:t>
      </w:r>
      <w:r>
        <w:rPr>
          <w:rFonts w:hint="eastAsia" w:ascii="宋体" w:hAnsi="宋体" w:eastAsia="宋体" w:cs="宋体"/>
          <w:b w:val="0"/>
          <w:bCs w:val="0"/>
          <w:sz w:val="21"/>
          <w:szCs w:val="21"/>
          <w:highlight w:val="yellow"/>
        </w:rPr>
        <w:t>2025年11月19日9：00前</w:t>
      </w:r>
      <w:r>
        <w:rPr>
          <w:rFonts w:hint="eastAsia" w:ascii="宋体" w:hAnsi="宋体" w:eastAsia="宋体" w:cs="宋体"/>
          <w:b w:val="0"/>
          <w:bCs w:val="0"/>
          <w:sz w:val="21"/>
          <w:szCs w:val="21"/>
        </w:rPr>
        <w:t>（同</w:t>
      </w:r>
      <w:r>
        <w:rPr>
          <w:rFonts w:hint="eastAsia" w:ascii="宋体" w:hAnsi="宋体" w:eastAsia="宋体" w:cs="宋体"/>
          <w:sz w:val="21"/>
          <w:szCs w:val="21"/>
        </w:rPr>
        <w:t>投标文件递交截止</w:t>
      </w:r>
      <w:r>
        <w:rPr>
          <w:rFonts w:hint="eastAsia" w:ascii="宋体" w:hAnsi="宋体" w:eastAsia="宋体" w:cs="宋体"/>
          <w:b w:val="0"/>
          <w:bCs w:val="0"/>
          <w:sz w:val="21"/>
          <w:szCs w:val="21"/>
        </w:rPr>
        <w:t>时间）</w:t>
      </w:r>
    </w:p>
    <w:p w14:paraId="230CAD95">
      <w:pPr>
        <w:pStyle w:val="72"/>
        <w:numPr>
          <w:ilvl w:val="0"/>
          <w:numId w:val="23"/>
        </w:numPr>
        <w:ind w:left="0" w:firstLine="0"/>
        <w:rPr>
          <w:rFonts w:ascii="宋体" w:hAnsi="宋体" w:eastAsia="宋体" w:cs="宋体"/>
          <w:b w:val="0"/>
          <w:bCs w:val="0"/>
          <w:sz w:val="21"/>
          <w:szCs w:val="21"/>
        </w:rPr>
      </w:pPr>
      <w:r>
        <w:rPr>
          <w:rFonts w:hint="eastAsia" w:ascii="宋体" w:hAnsi="宋体" w:eastAsia="宋体" w:cs="宋体"/>
          <w:b w:val="0"/>
          <w:bCs w:val="0"/>
          <w:sz w:val="21"/>
          <w:szCs w:val="21"/>
        </w:rPr>
        <w:t>选择提交银行投标保函的拟投标人，应在开标时提交投标保函正本，作为《投标文件》的一部分，该投标保函应是不可撤销的“见索即付”保函，保函有效期应满足投标有效期要求，由招标人留存保函正本。</w:t>
      </w:r>
    </w:p>
    <w:p w14:paraId="286C4E5E">
      <w:pPr>
        <w:pStyle w:val="72"/>
        <w:numPr>
          <w:ilvl w:val="0"/>
          <w:numId w:val="23"/>
        </w:numPr>
        <w:ind w:left="0" w:firstLine="0"/>
        <w:rPr>
          <w:rFonts w:ascii="宋体" w:hAnsi="宋体" w:eastAsia="仿宋_GB2312" w:cs="宋体"/>
          <w:b w:val="0"/>
          <w:bCs w:val="0"/>
          <w:sz w:val="24"/>
          <w:szCs w:val="24"/>
        </w:rPr>
      </w:pPr>
      <w:r>
        <w:rPr>
          <w:rFonts w:hint="eastAsia" w:ascii="宋体" w:hAnsi="宋体" w:eastAsia="宋体" w:cs="宋体"/>
          <w:b w:val="0"/>
          <w:bCs w:val="0"/>
          <w:sz w:val="21"/>
          <w:szCs w:val="21"/>
        </w:rPr>
        <w:t>选择从银行基本账户转账的拟投标人，须在规定的时间之前将投标保证金从其单位基本帐户转出并到账，否则视为无效投标；未按规定提交保证金的拟投标人，其投标文件视为无效投标。拟投标人应充分考虑银行信息交换时间，由此带来的保证金不能按时到帐的责任由拟投标人自行承担。</w:t>
      </w:r>
    </w:p>
    <w:p w14:paraId="56C224C4">
      <w:pPr>
        <w:pStyle w:val="72"/>
        <w:numPr>
          <w:ilvl w:val="0"/>
          <w:numId w:val="23"/>
        </w:numPr>
        <w:ind w:left="0" w:firstLine="0"/>
        <w:rPr>
          <w:rFonts w:ascii="宋体" w:hAnsi="宋体" w:eastAsia="仿宋_GB2312" w:cs="宋体"/>
          <w:b w:val="0"/>
          <w:bCs w:val="0"/>
          <w:sz w:val="24"/>
          <w:szCs w:val="24"/>
        </w:rPr>
      </w:pPr>
      <w:r>
        <w:rPr>
          <w:rFonts w:hint="eastAsia" w:ascii="宋体" w:hAnsi="宋体" w:eastAsia="宋体" w:cs="宋体"/>
          <w:b w:val="0"/>
          <w:bCs w:val="0"/>
          <w:sz w:val="21"/>
          <w:szCs w:val="21"/>
        </w:rPr>
        <w:t>对于没有中标的投标人，投标保证金将于招标人内部完成中标人评审并确认最终中标人后在</w:t>
      </w:r>
      <w:r>
        <w:rPr>
          <w:rFonts w:hint="eastAsia" w:ascii="宋体" w:hAnsi="宋体" w:eastAsia="宋体" w:cs="宋体"/>
          <w:b w:val="0"/>
          <w:bCs w:val="0"/>
          <w:sz w:val="21"/>
          <w:szCs w:val="21"/>
          <w:highlight w:val="yellow"/>
          <w:u w:val="single"/>
        </w:rPr>
        <w:t xml:space="preserve"> 30 </w:t>
      </w:r>
      <w:r>
        <w:rPr>
          <w:rFonts w:hint="eastAsia" w:ascii="宋体" w:hAnsi="宋体" w:eastAsia="宋体" w:cs="宋体"/>
          <w:b w:val="0"/>
          <w:bCs w:val="0"/>
          <w:sz w:val="21"/>
          <w:szCs w:val="21"/>
        </w:rPr>
        <w:t>工作日内予以原路返还（无息）；对于中标方，投标保证金将在签订合同后</w:t>
      </w:r>
      <w:r>
        <w:rPr>
          <w:rFonts w:hint="eastAsia" w:ascii="宋体" w:hAnsi="宋体" w:eastAsia="宋体" w:cs="宋体"/>
          <w:b w:val="0"/>
          <w:bCs w:val="0"/>
          <w:sz w:val="21"/>
          <w:szCs w:val="21"/>
          <w:highlight w:val="yellow"/>
          <w:u w:val="single"/>
        </w:rPr>
        <w:t xml:space="preserve"> 30 </w:t>
      </w:r>
      <w:r>
        <w:rPr>
          <w:rFonts w:hint="eastAsia" w:ascii="宋体" w:hAnsi="宋体" w:eastAsia="宋体" w:cs="宋体"/>
          <w:b w:val="0"/>
          <w:bCs w:val="0"/>
          <w:sz w:val="21"/>
          <w:szCs w:val="21"/>
        </w:rPr>
        <w:t>个工作日内原路返还（无息）。</w:t>
      </w:r>
    </w:p>
    <w:p w14:paraId="10EFF3B8">
      <w:pPr>
        <w:pStyle w:val="72"/>
        <w:numPr>
          <w:ilvl w:val="0"/>
          <w:numId w:val="23"/>
        </w:numPr>
        <w:ind w:left="0" w:firstLine="0"/>
        <w:rPr>
          <w:rFonts w:ascii="宋体" w:hAnsi="宋体" w:eastAsia="仿宋_GB2312" w:cs="宋体"/>
          <w:b w:val="0"/>
          <w:bCs w:val="0"/>
          <w:sz w:val="24"/>
          <w:szCs w:val="24"/>
        </w:rPr>
      </w:pPr>
      <w:r>
        <w:rPr>
          <w:rFonts w:hint="eastAsia" w:ascii="宋体" w:hAnsi="宋体" w:eastAsia="宋体" w:cs="宋体"/>
          <w:b w:val="0"/>
          <w:bCs w:val="0"/>
          <w:sz w:val="21"/>
          <w:szCs w:val="21"/>
        </w:rPr>
        <w:t>发生以下情况时，有权没收保证金：</w:t>
      </w:r>
      <w:r>
        <w:rPr>
          <w:rFonts w:hint="eastAsia" w:ascii="宋体" w:hAnsi="宋体" w:eastAsia="宋体" w:cs="宋体"/>
          <w:b w:val="0"/>
          <w:bCs w:val="0"/>
          <w:sz w:val="21"/>
          <w:szCs w:val="21"/>
        </w:rPr>
        <w:br w:type="textWrapping"/>
      </w:r>
      <w:r>
        <w:rPr>
          <w:rFonts w:hint="eastAsia" w:ascii="宋体" w:hAnsi="宋体" w:eastAsia="宋体" w:cs="宋体"/>
          <w:b w:val="0"/>
          <w:bCs w:val="0"/>
          <w:sz w:val="21"/>
          <w:szCs w:val="21"/>
        </w:rPr>
        <w:t>①供应商在提交响应文件截止时间后撤回响应文件的；</w:t>
      </w:r>
      <w:r>
        <w:rPr>
          <w:rFonts w:hint="eastAsia" w:ascii="宋体" w:hAnsi="宋体" w:eastAsia="宋体" w:cs="宋体"/>
          <w:b w:val="0"/>
          <w:bCs w:val="0"/>
          <w:sz w:val="21"/>
          <w:szCs w:val="21"/>
        </w:rPr>
        <w:br w:type="textWrapping"/>
      </w:r>
      <w:r>
        <w:rPr>
          <w:rFonts w:hint="eastAsia" w:ascii="宋体" w:hAnsi="宋体" w:eastAsia="宋体" w:cs="宋体"/>
          <w:b w:val="0"/>
          <w:bCs w:val="0"/>
          <w:sz w:val="21"/>
          <w:szCs w:val="21"/>
        </w:rPr>
        <w:t>②供应商在响应文件中提供虚假材料的；</w:t>
      </w:r>
      <w:r>
        <w:rPr>
          <w:rFonts w:hint="eastAsia" w:ascii="宋体" w:hAnsi="宋体" w:eastAsia="宋体" w:cs="宋体"/>
          <w:b w:val="0"/>
          <w:bCs w:val="0"/>
          <w:sz w:val="21"/>
          <w:szCs w:val="21"/>
        </w:rPr>
        <w:br w:type="textWrapping"/>
      </w:r>
      <w:r>
        <w:rPr>
          <w:rFonts w:hint="eastAsia" w:ascii="宋体" w:hAnsi="宋体" w:eastAsia="宋体" w:cs="宋体"/>
          <w:b w:val="0"/>
          <w:bCs w:val="0"/>
          <w:sz w:val="21"/>
          <w:szCs w:val="21"/>
        </w:rPr>
        <w:t>③除因不可抗力或谈判文件、询价通知书认可的情形以外，成交供应商不与采购人签订合同的；</w:t>
      </w:r>
      <w:r>
        <w:rPr>
          <w:rFonts w:hint="eastAsia" w:ascii="宋体" w:hAnsi="宋体" w:eastAsia="宋体" w:cs="宋体"/>
          <w:b w:val="0"/>
          <w:bCs w:val="0"/>
          <w:sz w:val="21"/>
          <w:szCs w:val="21"/>
        </w:rPr>
        <w:br w:type="textWrapping"/>
      </w:r>
      <w:r>
        <w:rPr>
          <w:rFonts w:hint="eastAsia" w:ascii="宋体" w:hAnsi="宋体" w:eastAsia="宋体" w:cs="宋体"/>
          <w:b w:val="0"/>
          <w:bCs w:val="0"/>
          <w:sz w:val="21"/>
          <w:szCs w:val="21"/>
        </w:rPr>
        <w:t>④供应商与采购人、其他供应商或者采购代理机构恶意串通、围标、陪标的；</w:t>
      </w:r>
      <w:r>
        <w:rPr>
          <w:rFonts w:hint="eastAsia" w:ascii="宋体" w:hAnsi="宋体" w:eastAsia="宋体" w:cs="宋体"/>
          <w:b w:val="0"/>
          <w:bCs w:val="0"/>
          <w:sz w:val="21"/>
          <w:szCs w:val="21"/>
        </w:rPr>
        <w:br w:type="textWrapping"/>
      </w:r>
      <w:r>
        <w:rPr>
          <w:rFonts w:hint="eastAsia" w:ascii="宋体" w:hAnsi="宋体" w:eastAsia="宋体" w:cs="宋体"/>
          <w:b w:val="0"/>
          <w:bCs w:val="0"/>
          <w:sz w:val="21"/>
          <w:szCs w:val="21"/>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rPr>
        <w:br w:type="textWrapping"/>
      </w:r>
      <w:r>
        <w:rPr>
          <w:rFonts w:hint="eastAsia" w:ascii="宋体" w:hAnsi="宋体" w:eastAsia="宋体" w:cs="宋体"/>
          <w:b w:val="0"/>
          <w:bCs w:val="0"/>
          <w:sz w:val="21"/>
          <w:szCs w:val="21"/>
        </w:rPr>
        <w:t>⑥截至开标前3天，投标人无正当理由、未以书面形式向招标人递交说明而在投标截止日不来投标的。</w:t>
      </w:r>
      <w:r>
        <w:rPr>
          <w:rFonts w:hint="eastAsia" w:ascii="宋体" w:hAnsi="宋体" w:eastAsia="宋体" w:cs="宋体"/>
          <w:b w:val="0"/>
          <w:bCs w:val="0"/>
          <w:sz w:val="21"/>
          <w:szCs w:val="21"/>
        </w:rPr>
        <w:br w:type="textWrapping"/>
      </w:r>
      <w:r>
        <w:rPr>
          <w:rFonts w:hint="eastAsia" w:ascii="宋体" w:hAnsi="宋体" w:eastAsia="宋体" w:cs="宋体"/>
          <w:b w:val="0"/>
          <w:bCs w:val="0"/>
          <w:sz w:val="21"/>
          <w:szCs w:val="21"/>
        </w:rPr>
        <w:t>⑦自中标通知书发出之日起30日内，中标人无正当理由投标人无正当签订合同的；</w:t>
      </w:r>
      <w:r>
        <w:rPr>
          <w:rFonts w:hint="eastAsia" w:ascii="宋体" w:hAnsi="宋体" w:eastAsia="宋体" w:cs="宋体"/>
          <w:b w:val="0"/>
          <w:bCs w:val="0"/>
          <w:sz w:val="21"/>
          <w:szCs w:val="21"/>
        </w:rPr>
        <w:br w:type="textWrapping"/>
      </w:r>
      <w:r>
        <w:rPr>
          <w:rFonts w:hint="eastAsia" w:ascii="宋体" w:hAnsi="宋体" w:eastAsia="宋体" w:cs="宋体"/>
          <w:b w:val="0"/>
          <w:bCs w:val="0"/>
          <w:sz w:val="21"/>
          <w:szCs w:val="21"/>
        </w:rPr>
        <w:t>⑧采购文件规定的其他情形。</w:t>
      </w:r>
    </w:p>
    <w:bookmarkEnd w:id="15"/>
    <w:p w14:paraId="79E8B64C">
      <w:pPr>
        <w:pStyle w:val="72"/>
      </w:pPr>
      <w:r>
        <w:rPr>
          <w:rFonts w:hint="eastAsia"/>
        </w:rPr>
        <w:t>开评标</w:t>
      </w:r>
    </w:p>
    <w:p w14:paraId="7D70F083">
      <w:pPr>
        <w:pStyle w:val="72"/>
        <w:numPr>
          <w:ilvl w:val="0"/>
          <w:numId w:val="25"/>
        </w:numPr>
        <w:ind w:firstLine="0"/>
        <w:rPr>
          <w:rFonts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开标时间：2025年11月19日9:00:00</w:t>
      </w:r>
    </w:p>
    <w:p w14:paraId="79DD4D7D">
      <w:pPr>
        <w:pStyle w:val="72"/>
        <w:numPr>
          <w:ilvl w:val="0"/>
          <w:numId w:val="25"/>
        </w:numPr>
        <w:ind w:firstLine="0"/>
        <w:rPr>
          <w:rFonts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开标地点：济南市历城区华奥路777号重汽科技大厦</w:t>
      </w:r>
    </w:p>
    <w:p w14:paraId="09E66380">
      <w:pPr>
        <w:pStyle w:val="72"/>
        <w:numPr>
          <w:ilvl w:val="0"/>
          <w:numId w:val="25"/>
        </w:numPr>
        <w:ind w:firstLine="0"/>
        <w:rPr>
          <w:rFonts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开标方式：</w:t>
      </w:r>
    </w:p>
    <w:p w14:paraId="4D9C18C0">
      <w:pPr>
        <w:pStyle w:val="72"/>
        <w:numPr>
          <w:ilvl w:val="0"/>
          <w:numId w:val="26"/>
        </w:numPr>
        <w:ind w:left="11" w:firstLine="0"/>
        <w:rPr>
          <w:rFonts w:ascii="宋体" w:hAnsi="宋体" w:eastAsia="宋体" w:cs="宋体"/>
          <w:color w:val="000000"/>
          <w:sz w:val="21"/>
          <w:szCs w:val="21"/>
        </w:rPr>
      </w:pPr>
      <w:r>
        <w:rPr>
          <w:rFonts w:hint="eastAsia" w:ascii="宋体" w:eastAsia="宋体"/>
          <w:b w:val="0"/>
          <w:sz w:val="21"/>
        </w:rPr>
        <w:t>线上招标：</w:t>
      </w:r>
      <w:r>
        <w:rPr>
          <w:rFonts w:hint="eastAsia" w:ascii="宋体" w:hAnsi="宋体" w:eastAsia="宋体" w:cs="宋体"/>
          <w:b w:val="0"/>
          <w:bCs w:val="0"/>
          <w:sz w:val="21"/>
          <w:szCs w:val="21"/>
        </w:rPr>
        <w:t>因招标人原因，允许各投标方通过视频会议等形式线上招标，所需过程资料均通过e采通进行提报，由</w:t>
      </w:r>
      <w:r>
        <w:rPr>
          <w:rFonts w:hint="eastAsia" w:ascii="宋体" w:hAnsi="宋体" w:eastAsia="宋体" w:cs="宋体"/>
          <w:color w:val="000000"/>
          <w:sz w:val="21"/>
          <w:szCs w:val="21"/>
        </w:rPr>
        <w:t>招标人创建视频链接，并在报名结束后统一通知。</w:t>
      </w:r>
    </w:p>
    <w:p w14:paraId="1EE18E7F">
      <w:pPr>
        <w:pStyle w:val="72"/>
        <w:numPr>
          <w:ilvl w:val="0"/>
          <w:numId w:val="25"/>
        </w:numPr>
        <w:ind w:firstLine="0"/>
        <w:rPr>
          <w:rFonts w:ascii="宋体" w:hAnsi="宋体" w:eastAsia="宋体" w:cs="宋体"/>
          <w:b w:val="0"/>
          <w:bCs w:val="0"/>
          <w:sz w:val="21"/>
          <w:szCs w:val="21"/>
        </w:rPr>
      </w:pPr>
      <w:r>
        <w:rPr>
          <w:rFonts w:hint="eastAsia" w:ascii="宋体" w:hAnsi="宋体" w:eastAsia="宋体" w:cs="宋体"/>
          <w:b w:val="0"/>
          <w:bCs w:val="0"/>
          <w:sz w:val="21"/>
          <w:szCs w:val="21"/>
        </w:rPr>
        <w:t>评标</w:t>
      </w:r>
    </w:p>
    <w:p w14:paraId="1AC42564">
      <w:pPr>
        <w:pStyle w:val="72"/>
        <w:numPr>
          <w:ilvl w:val="0"/>
          <w:numId w:val="27"/>
        </w:numPr>
        <w:ind w:left="0" w:firstLine="0"/>
        <w:rPr>
          <w:rFonts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评标方法</w:t>
      </w:r>
    </w:p>
    <w:p w14:paraId="17513206">
      <w:pPr>
        <w:pStyle w:val="75"/>
        <w:numPr>
          <w:ilvl w:val="0"/>
          <w:numId w:val="19"/>
        </w:numPr>
        <w:ind w:left="10" w:firstLine="0"/>
        <w:rPr>
          <w:bCs/>
        </w:rPr>
      </w:pPr>
      <w:r>
        <w:rPr>
          <w:rFonts w:hint="eastAsia"/>
          <w:bCs/>
        </w:rPr>
        <w:t>评标方法（合理最低价中标）</w:t>
      </w:r>
    </w:p>
    <w:p w14:paraId="150386A0">
      <w:pPr>
        <w:pStyle w:val="72"/>
        <w:numPr>
          <w:ilvl w:val="0"/>
          <w:numId w:val="0"/>
        </w:numPr>
        <w:rPr>
          <w:rFonts w:ascii="宋体" w:hAnsi="宋体" w:eastAsia="宋体" w:cs="宋体"/>
          <w:b w:val="0"/>
          <w:bCs w:val="0"/>
          <w:sz w:val="21"/>
          <w:szCs w:val="21"/>
        </w:rPr>
      </w:pPr>
      <w:r>
        <w:rPr>
          <w:rFonts w:hint="eastAsia" w:ascii="宋体" w:hAnsi="宋体" w:eastAsia="宋体" w:cs="宋体"/>
          <w:b w:val="0"/>
          <w:bCs w:val="0"/>
          <w:sz w:val="21"/>
          <w:szCs w:val="21"/>
        </w:rPr>
        <w:t>本次招标采用技术标入围后，原则上合理最低价中标。本着公平、公正、公开的原则，在通过技术标综合评审后入围的前提下，选择合理最低价确定中标人，对未中标单位不做任何解释。</w:t>
      </w:r>
    </w:p>
    <w:p w14:paraId="216CE650">
      <w:pPr>
        <w:pStyle w:val="72"/>
        <w:numPr>
          <w:ilvl w:val="0"/>
          <w:numId w:val="27"/>
        </w:numPr>
        <w:ind w:left="0" w:firstLine="0"/>
        <w:rPr>
          <w:rFonts w:ascii="宋体" w:hAnsi="宋体" w:eastAsia="宋体" w:cs="宋体"/>
          <w:b w:val="0"/>
          <w:bCs w:val="0"/>
          <w:sz w:val="21"/>
          <w:szCs w:val="21"/>
        </w:rPr>
      </w:pPr>
      <w:r>
        <w:rPr>
          <w:rFonts w:hint="eastAsia" w:ascii="宋体" w:hAnsi="宋体" w:eastAsia="宋体" w:cs="宋体"/>
          <w:b w:val="0"/>
          <w:bCs w:val="0"/>
          <w:sz w:val="21"/>
          <w:szCs w:val="21"/>
        </w:rPr>
        <w:t>评标流程</w:t>
      </w:r>
    </w:p>
    <w:p w14:paraId="35AEAF91">
      <w:pPr>
        <w:numPr>
          <w:ilvl w:val="0"/>
          <w:numId w:val="28"/>
        </w:numPr>
        <w:spacing w:line="360" w:lineRule="auto"/>
        <w:rPr>
          <w:rFonts w:ascii="宋体" w:hAnsi="宋体" w:cs="宋体"/>
          <w:b/>
          <w:color w:val="000000"/>
          <w:szCs w:val="21"/>
        </w:rPr>
      </w:pPr>
      <w:r>
        <w:rPr>
          <w:rFonts w:hint="eastAsia" w:ascii="宋体" w:hAnsi="宋体" w:cs="宋体"/>
          <w:b/>
          <w:color w:val="000000"/>
          <w:szCs w:val="21"/>
        </w:rPr>
        <w:t>应标资格审查：在“中国重汽e采通”应标报名时，</w:t>
      </w:r>
      <w:r>
        <w:rPr>
          <w:rFonts w:hint="eastAsia" w:ascii="宋体" w:hAnsi="宋体" w:cs="宋体"/>
          <w:b/>
          <w:bCs/>
          <w:color w:val="000000"/>
          <w:szCs w:val="21"/>
        </w:rPr>
        <w:t>按照第一部分第四条投标文件编制资格证明文件中的1.1-1.11准备资料，上传完毕后，等待审核</w:t>
      </w:r>
      <w:r>
        <w:rPr>
          <w:rFonts w:hint="eastAsia" w:ascii="宋体" w:hAnsi="宋体" w:cs="宋体"/>
          <w:b/>
          <w:color w:val="000000"/>
          <w:szCs w:val="21"/>
        </w:rPr>
        <w:t>；</w:t>
      </w:r>
    </w:p>
    <w:p w14:paraId="68A7441E">
      <w:pPr>
        <w:numPr>
          <w:ilvl w:val="0"/>
          <w:numId w:val="28"/>
        </w:numPr>
        <w:spacing w:line="360" w:lineRule="auto"/>
        <w:rPr>
          <w:rFonts w:ascii="宋体" w:hAnsi="宋体" w:cs="宋体"/>
          <w:b/>
          <w:bCs/>
          <w:color w:val="000000"/>
          <w:szCs w:val="21"/>
        </w:rPr>
      </w:pPr>
      <w:r>
        <w:rPr>
          <w:rFonts w:hint="eastAsia" w:ascii="宋体" w:hAnsi="宋体" w:cs="宋体"/>
          <w:b/>
          <w:bCs/>
          <w:color w:val="000000"/>
          <w:szCs w:val="21"/>
        </w:rPr>
        <w:t>通过应标资格审查的单位进入投标环节，按照“SRM系统供应商用户手册”，在重汽e采通平台投递电子标书（包含资质标、技术标、商务标）；没有通过应标资质审查的单位不能进入投标环节；</w:t>
      </w:r>
    </w:p>
    <w:p w14:paraId="3F47BAF4">
      <w:pPr>
        <w:numPr>
          <w:ilvl w:val="0"/>
          <w:numId w:val="28"/>
        </w:numPr>
        <w:spacing w:line="360" w:lineRule="auto"/>
        <w:rPr>
          <w:rFonts w:ascii="宋体" w:hAnsi="宋体" w:cs="宋体"/>
          <w:b/>
          <w:bCs/>
          <w:color w:val="000000"/>
          <w:szCs w:val="21"/>
        </w:rPr>
      </w:pPr>
      <w:r>
        <w:rPr>
          <w:rFonts w:hint="eastAsia" w:ascii="宋体" w:hAnsi="宋体" w:cs="宋体"/>
          <w:b/>
          <w:bCs/>
          <w:color w:val="000000"/>
          <w:szCs w:val="21"/>
        </w:rPr>
        <w:t>资质标评审：资质标审核通过的单位，可以进入公开唱标环节；</w:t>
      </w:r>
    </w:p>
    <w:p w14:paraId="40185FBC">
      <w:pPr>
        <w:numPr>
          <w:ilvl w:val="0"/>
          <w:numId w:val="28"/>
        </w:numPr>
        <w:spacing w:line="360" w:lineRule="auto"/>
        <w:rPr>
          <w:rFonts w:ascii="宋体" w:hAnsi="宋体" w:cs="宋体"/>
          <w:b/>
          <w:bCs/>
          <w:color w:val="000000"/>
          <w:szCs w:val="21"/>
        </w:rPr>
      </w:pPr>
      <w:r>
        <w:rPr>
          <w:rFonts w:hint="eastAsia" w:ascii="宋体" w:hAnsi="宋体" w:cs="宋体"/>
          <w:b/>
          <w:bCs/>
          <w:color w:val="000000"/>
          <w:szCs w:val="21"/>
        </w:rPr>
        <w:t>公开唱标：公示资质标入围单位的开标价格及商务条款响应情况；</w:t>
      </w:r>
    </w:p>
    <w:p w14:paraId="3A3F3BD3">
      <w:pPr>
        <w:numPr>
          <w:ilvl w:val="0"/>
          <w:numId w:val="28"/>
        </w:numPr>
        <w:spacing w:line="360" w:lineRule="auto"/>
        <w:rPr>
          <w:rFonts w:ascii="宋体" w:hAnsi="宋体" w:cs="宋体"/>
          <w:b/>
          <w:bCs/>
          <w:color w:val="000000"/>
          <w:szCs w:val="21"/>
        </w:rPr>
      </w:pPr>
      <w:r>
        <w:rPr>
          <w:rFonts w:hint="eastAsia" w:ascii="宋体" w:hAnsi="宋体" w:cs="宋体"/>
          <w:b/>
          <w:bCs/>
          <w:color w:val="000000"/>
          <w:szCs w:val="21"/>
        </w:rPr>
        <w:t>技术标评审：技术标评标专家组，通过重汽e采通，对各投标人的《投标文件（技术标）》进行综合评审；评审期间产生的技术澄清均由投标人在重汽e采通平台内完成提交；评审合格的单位进入商务标评审环节，评审不合格的单位被淘汰；具体评分详见评分标准；</w:t>
      </w:r>
    </w:p>
    <w:p w14:paraId="0D50C307">
      <w:pPr>
        <w:numPr>
          <w:ilvl w:val="0"/>
          <w:numId w:val="28"/>
        </w:numPr>
        <w:spacing w:line="360" w:lineRule="auto"/>
        <w:rPr>
          <w:rFonts w:ascii="宋体" w:hAnsi="宋体" w:cs="宋体"/>
          <w:b/>
          <w:bCs/>
          <w:color w:val="000000"/>
          <w:szCs w:val="21"/>
        </w:rPr>
      </w:pPr>
      <w:r>
        <w:rPr>
          <w:rFonts w:hint="eastAsia" w:ascii="宋体" w:hAnsi="宋体" w:cs="宋体"/>
          <w:b/>
          <w:bCs/>
          <w:color w:val="000000"/>
          <w:szCs w:val="21"/>
        </w:rPr>
        <w:t>商务标评审：商务条款相应确认→价格澄清→商务标评审；评审期间产生的商务价格澄清均由投标人在重汽e采通平台限时内完成提交；</w:t>
      </w:r>
    </w:p>
    <w:p w14:paraId="58E3BBC8">
      <w:pPr>
        <w:pStyle w:val="75"/>
        <w:numPr>
          <w:ilvl w:val="0"/>
          <w:numId w:val="19"/>
        </w:numPr>
        <w:ind w:left="10" w:firstLine="0"/>
        <w:rPr>
          <w:b/>
        </w:rPr>
      </w:pPr>
      <w:r>
        <w:rPr>
          <w:rFonts w:hint="eastAsia"/>
          <w:b/>
        </w:rPr>
        <w:t>注意：投标人均需要自带笔记本电脑在重汽e采通进行自主投标和提交澄清函；投标和提交澄清函均有时间限制，超时未提交的按无效处理。</w:t>
      </w:r>
    </w:p>
    <w:p w14:paraId="4F08676C">
      <w:pPr>
        <w:pStyle w:val="72"/>
        <w:numPr>
          <w:ilvl w:val="0"/>
          <w:numId w:val="27"/>
        </w:numPr>
        <w:ind w:left="0" w:firstLine="0"/>
        <w:rPr>
          <w:rFonts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评分标准</w:t>
      </w:r>
    </w:p>
    <w:p w14:paraId="75EC9081">
      <w:pPr>
        <w:pStyle w:val="72"/>
        <w:numPr>
          <w:ilvl w:val="0"/>
          <w:numId w:val="0"/>
        </w:numPr>
        <w:rPr>
          <w:rFonts w:ascii="宋体" w:hAnsi="宋体" w:eastAsia="宋体" w:cs="宋体"/>
          <w:b w:val="0"/>
          <w:bCs w:val="0"/>
          <w:sz w:val="24"/>
          <w:szCs w:val="24"/>
        </w:rPr>
      </w:pPr>
      <w:r>
        <w:drawing>
          <wp:inline distT="0" distB="0" distL="114300" distR="114300">
            <wp:extent cx="5750560" cy="3406140"/>
            <wp:effectExtent l="0" t="0" r="0" b="0"/>
            <wp:docPr id="10"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3"/>
                    <pic:cNvPicPr>
                      <a:picLocks noChangeAspect="1"/>
                    </pic:cNvPicPr>
                  </pic:nvPicPr>
                  <pic:blipFill>
                    <a:blip r:embed="rId14"/>
                    <a:stretch>
                      <a:fillRect/>
                    </a:stretch>
                  </pic:blipFill>
                  <pic:spPr>
                    <a:xfrm>
                      <a:off x="0" y="0"/>
                      <a:ext cx="5750560" cy="3406140"/>
                    </a:xfrm>
                    <a:prstGeom prst="rect">
                      <a:avLst/>
                    </a:prstGeom>
                    <a:noFill/>
                    <a:ln>
                      <a:noFill/>
                    </a:ln>
                  </pic:spPr>
                </pic:pic>
              </a:graphicData>
            </a:graphic>
          </wp:inline>
        </w:drawing>
      </w:r>
    </w:p>
    <w:p w14:paraId="24AC919C">
      <w:pPr>
        <w:pStyle w:val="72"/>
      </w:pPr>
      <w:r>
        <w:rPr>
          <w:rFonts w:hint="eastAsia"/>
        </w:rPr>
        <w:t>定标</w:t>
      </w:r>
    </w:p>
    <w:p w14:paraId="0FA9F2E7">
      <w:pPr>
        <w:pStyle w:val="72"/>
        <w:numPr>
          <w:ilvl w:val="0"/>
          <w:numId w:val="0"/>
        </w:numPr>
        <w:rPr>
          <w:rFonts w:ascii="宋体" w:hAnsi="宋体" w:eastAsia="宋体" w:cs="宋体"/>
          <w:b w:val="0"/>
          <w:bCs w:val="0"/>
          <w:sz w:val="21"/>
          <w:szCs w:val="21"/>
        </w:rPr>
      </w:pPr>
      <w:r>
        <w:rPr>
          <w:rFonts w:hint="eastAsia" w:ascii="宋体" w:hAnsi="宋体" w:eastAsia="宋体" w:cs="宋体"/>
          <w:b w:val="0"/>
          <w:bCs w:val="0"/>
          <w:sz w:val="21"/>
          <w:szCs w:val="21"/>
        </w:rPr>
        <w:t>本项目只产生</w:t>
      </w:r>
      <w:r>
        <w:rPr>
          <w:rFonts w:hint="eastAsia" w:ascii="宋体" w:hAnsi="宋体" w:eastAsia="宋体" w:cs="宋体"/>
          <w:b w:val="0"/>
          <w:bCs w:val="0"/>
          <w:sz w:val="21"/>
          <w:szCs w:val="21"/>
          <w:highlight w:val="yellow"/>
          <w:u w:val="single"/>
        </w:rPr>
        <w:t xml:space="preserve"> 1 </w:t>
      </w:r>
      <w:r>
        <w:rPr>
          <w:rFonts w:hint="eastAsia" w:ascii="宋体" w:hAnsi="宋体" w:eastAsia="宋体" w:cs="宋体"/>
          <w:b w:val="0"/>
          <w:bCs w:val="0"/>
          <w:sz w:val="21"/>
          <w:szCs w:val="21"/>
        </w:rPr>
        <w:t>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变更意向中标人。</w:t>
      </w:r>
    </w:p>
    <w:p w14:paraId="751E40E4">
      <w:pPr>
        <w:pStyle w:val="72"/>
      </w:pPr>
      <w:r>
        <w:rPr>
          <w:rFonts w:hint="eastAsia"/>
        </w:rPr>
        <w:t>废标及终止招标</w:t>
      </w:r>
    </w:p>
    <w:p w14:paraId="48228752">
      <w:pPr>
        <w:spacing w:line="360" w:lineRule="auto"/>
        <w:rPr>
          <w:rFonts w:ascii="宋体" w:hAnsi="宋体" w:cs="宋体"/>
          <w:color w:val="000000"/>
          <w:szCs w:val="21"/>
        </w:rPr>
      </w:pPr>
      <w:r>
        <w:rPr>
          <w:rFonts w:ascii="宋体" w:hAnsi="宋体" w:cs="宋体"/>
          <w:color w:val="000000"/>
          <w:szCs w:val="21"/>
        </w:rPr>
        <w:t>1.</w:t>
      </w:r>
      <w:r>
        <w:rPr>
          <w:rFonts w:hint="eastAsia" w:ascii="宋体" w:hAnsi="宋体" w:cs="宋体"/>
          <w:color w:val="000000"/>
          <w:szCs w:val="21"/>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2E97FD28">
      <w:pPr>
        <w:spacing w:line="360" w:lineRule="auto"/>
        <w:ind w:left="425" w:right="2" w:hanging="425"/>
        <w:rPr>
          <w:rFonts w:ascii="宋体" w:hAnsi="宋体" w:cs="宋体"/>
          <w:color w:val="000000"/>
          <w:szCs w:val="21"/>
        </w:rPr>
      </w:pPr>
      <w:r>
        <w:rPr>
          <w:rFonts w:ascii="宋体" w:hAnsi="宋体" w:cs="宋体"/>
          <w:color w:val="000000"/>
          <w:szCs w:val="21"/>
        </w:rPr>
        <w:t>(1)</w:t>
      </w:r>
      <w:r>
        <w:rPr>
          <w:rFonts w:hint="eastAsia" w:ascii="宋体" w:hAnsi="宋体" w:cs="宋体"/>
          <w:color w:val="000000"/>
          <w:szCs w:val="21"/>
        </w:rPr>
        <w:t>投标人提供的有关资格、资质证明文件不合格、不真实或提供虚假投标材料；</w:t>
      </w:r>
    </w:p>
    <w:p w14:paraId="0288C46C">
      <w:pPr>
        <w:spacing w:line="360" w:lineRule="auto"/>
        <w:ind w:left="425" w:right="2" w:hanging="425"/>
        <w:rPr>
          <w:rFonts w:ascii="宋体" w:hAnsi="宋体" w:cs="宋体"/>
          <w:color w:val="000000"/>
          <w:szCs w:val="21"/>
        </w:rPr>
      </w:pPr>
      <w:r>
        <w:rPr>
          <w:rFonts w:ascii="宋体" w:hAnsi="宋体" w:cs="宋体"/>
          <w:color w:val="000000"/>
          <w:szCs w:val="21"/>
        </w:rPr>
        <w:t>(2)</w:t>
      </w:r>
      <w:r>
        <w:rPr>
          <w:rFonts w:hint="eastAsia" w:ascii="宋体" w:hAnsi="宋体" w:cs="宋体"/>
          <w:color w:val="000000"/>
          <w:szCs w:val="21"/>
        </w:rPr>
        <w:t>投标人在报价有效期内撤回投标；</w:t>
      </w:r>
    </w:p>
    <w:p w14:paraId="093B2620">
      <w:pPr>
        <w:spacing w:line="360" w:lineRule="auto"/>
        <w:ind w:left="425" w:right="2" w:hanging="425"/>
        <w:rPr>
          <w:rFonts w:ascii="宋体" w:hAnsi="宋体" w:cs="宋体"/>
          <w:color w:val="000000"/>
          <w:szCs w:val="21"/>
        </w:rPr>
      </w:pPr>
      <w:r>
        <w:rPr>
          <w:rFonts w:ascii="宋体" w:hAnsi="宋体" w:cs="宋体"/>
          <w:color w:val="000000"/>
          <w:szCs w:val="21"/>
        </w:rPr>
        <w:t>(3)</w:t>
      </w:r>
      <w:r>
        <w:rPr>
          <w:rFonts w:hint="eastAsia" w:ascii="宋体" w:hAnsi="宋体" w:cs="宋体"/>
          <w:color w:val="000000"/>
          <w:szCs w:val="21"/>
        </w:rPr>
        <w:t>在整个评标过程中，投标人有企图影响评标结果公正性的任何活动；</w:t>
      </w:r>
    </w:p>
    <w:p w14:paraId="21808CBD">
      <w:pPr>
        <w:spacing w:line="360" w:lineRule="auto"/>
        <w:ind w:left="425" w:right="2" w:hanging="425"/>
        <w:rPr>
          <w:rFonts w:ascii="宋体" w:hAnsi="宋体" w:cs="宋体"/>
          <w:color w:val="000000"/>
          <w:szCs w:val="21"/>
        </w:rPr>
      </w:pPr>
      <w:r>
        <w:rPr>
          <w:rFonts w:ascii="宋体" w:hAnsi="宋体" w:cs="宋体"/>
          <w:color w:val="000000"/>
          <w:szCs w:val="21"/>
        </w:rPr>
        <w:t>(4)</w:t>
      </w:r>
      <w:r>
        <w:rPr>
          <w:rFonts w:hint="eastAsia" w:ascii="宋体" w:hAnsi="宋体" w:cs="宋体"/>
          <w:color w:val="000000"/>
          <w:szCs w:val="21"/>
        </w:rPr>
        <w:t>投标人以任何方式诋毁其他投标人；</w:t>
      </w:r>
    </w:p>
    <w:p w14:paraId="4B2C671F">
      <w:pPr>
        <w:spacing w:line="360" w:lineRule="auto"/>
        <w:ind w:left="425" w:right="2" w:hanging="425"/>
        <w:rPr>
          <w:rFonts w:ascii="宋体" w:hAnsi="宋体" w:cs="宋体"/>
          <w:color w:val="000000"/>
          <w:szCs w:val="21"/>
        </w:rPr>
      </w:pPr>
      <w:r>
        <w:rPr>
          <w:rFonts w:ascii="宋体" w:hAnsi="宋体" w:cs="宋体"/>
          <w:color w:val="000000"/>
          <w:szCs w:val="21"/>
        </w:rPr>
        <w:t>(5)</w:t>
      </w:r>
      <w:r>
        <w:rPr>
          <w:rFonts w:hint="eastAsia" w:ascii="宋体" w:hAnsi="宋体" w:cs="宋体"/>
          <w:color w:val="000000"/>
          <w:szCs w:val="21"/>
        </w:rPr>
        <w:t>投标人串通投标；</w:t>
      </w:r>
    </w:p>
    <w:p w14:paraId="44880F10">
      <w:pPr>
        <w:pStyle w:val="2"/>
        <w:spacing w:line="360" w:lineRule="auto"/>
        <w:ind w:left="425" w:hanging="425"/>
        <w:rPr>
          <w:rFonts w:hAnsi="宋体" w:cs="宋体"/>
          <w:szCs w:val="21"/>
        </w:rPr>
      </w:pPr>
      <w:r>
        <w:rPr>
          <w:rFonts w:hAnsi="宋体" w:cs="宋体"/>
          <w:szCs w:val="21"/>
        </w:rPr>
        <w:t>(6)</w:t>
      </w:r>
      <w:r>
        <w:rPr>
          <w:rFonts w:hint="eastAsia" w:hAnsi="宋体" w:cs="宋体"/>
          <w:color w:val="000000"/>
          <w:szCs w:val="21"/>
        </w:rPr>
        <w:t>投标人被举报、检举，并经招标人查实无误的；</w:t>
      </w:r>
    </w:p>
    <w:p w14:paraId="56DAF5C3">
      <w:pPr>
        <w:spacing w:line="360" w:lineRule="auto"/>
        <w:ind w:left="425" w:right="2" w:hanging="425"/>
        <w:rPr>
          <w:rFonts w:ascii="宋体" w:hAnsi="宋体" w:cs="宋体"/>
          <w:color w:val="000000"/>
          <w:szCs w:val="21"/>
        </w:rPr>
      </w:pPr>
      <w:r>
        <w:rPr>
          <w:rFonts w:ascii="宋体" w:hAnsi="宋体" w:cs="宋体"/>
          <w:color w:val="000000"/>
          <w:szCs w:val="21"/>
        </w:rPr>
        <w:t>(7)</w:t>
      </w:r>
      <w:r>
        <w:rPr>
          <w:rFonts w:hint="eastAsia" w:ascii="宋体" w:hAnsi="宋体" w:cs="宋体"/>
          <w:color w:val="000000"/>
          <w:szCs w:val="21"/>
        </w:rPr>
        <w:t>以他人名义投标或者以其他方式弄虚作假，骗取中标的；</w:t>
      </w:r>
    </w:p>
    <w:p w14:paraId="28A27AAF">
      <w:pPr>
        <w:spacing w:line="360" w:lineRule="auto"/>
        <w:rPr>
          <w:rFonts w:ascii="宋体" w:hAnsi="宋体" w:cs="宋体"/>
          <w:szCs w:val="21"/>
        </w:rPr>
      </w:pPr>
      <w:r>
        <w:rPr>
          <w:rFonts w:ascii="宋体" w:hAnsi="宋体" w:cs="宋体"/>
          <w:szCs w:val="21"/>
        </w:rPr>
        <w:t>(8)</w:t>
      </w:r>
      <w:r>
        <w:rPr>
          <w:rFonts w:hint="eastAsia" w:ascii="宋体" w:hAnsi="宋体" w:cs="宋体"/>
          <w:szCs w:val="21"/>
        </w:rPr>
        <w:t>投标人负责人为同一人或者存在控股、管理关系的不同单位；</w:t>
      </w:r>
    </w:p>
    <w:p w14:paraId="66C93168">
      <w:pPr>
        <w:rPr>
          <w:rFonts w:ascii="宋体" w:hAnsi="宋体" w:cs="宋体"/>
          <w:szCs w:val="21"/>
        </w:rPr>
      </w:pPr>
      <w:r>
        <w:rPr>
          <w:rFonts w:ascii="宋体" w:hAnsi="宋体" w:cs="宋体"/>
          <w:szCs w:val="21"/>
        </w:rPr>
        <w:t>(9)</w:t>
      </w:r>
      <w:r>
        <w:rPr>
          <w:rFonts w:hint="eastAsia" w:ascii="宋体" w:hAnsi="宋体" w:cs="宋体"/>
          <w:szCs w:val="21"/>
        </w:rPr>
        <w:t>有效投标不足三家；</w:t>
      </w:r>
    </w:p>
    <w:p w14:paraId="4D930D1F">
      <w:pPr>
        <w:spacing w:line="360" w:lineRule="auto"/>
        <w:ind w:left="425" w:right="2" w:hanging="425"/>
        <w:rPr>
          <w:rFonts w:ascii="宋体" w:hAnsi="宋体" w:cs="宋体"/>
          <w:szCs w:val="21"/>
        </w:rPr>
      </w:pPr>
      <w:r>
        <w:rPr>
          <w:rFonts w:ascii="宋体" w:hAnsi="宋体" w:cs="宋体"/>
          <w:szCs w:val="21"/>
        </w:rPr>
        <w:t>(10)</w:t>
      </w:r>
      <w:r>
        <w:rPr>
          <w:rFonts w:hint="eastAsia" w:ascii="宋体" w:hAnsi="宋体" w:cs="宋体"/>
          <w:szCs w:val="21"/>
        </w:rPr>
        <w:t>不同投标人的投标文件异常一致或者投标报价呈规律性差异的；</w:t>
      </w:r>
    </w:p>
    <w:p w14:paraId="47633E0F">
      <w:pPr>
        <w:spacing w:line="360" w:lineRule="auto"/>
        <w:ind w:left="425" w:right="2" w:hanging="425"/>
        <w:rPr>
          <w:rFonts w:ascii="宋体" w:hAnsi="宋体" w:cs="宋体"/>
          <w:szCs w:val="21"/>
        </w:rPr>
      </w:pPr>
      <w:r>
        <w:rPr>
          <w:rFonts w:ascii="宋体" w:hAnsi="宋体" w:cs="宋体"/>
          <w:szCs w:val="21"/>
        </w:rPr>
        <w:t>(11)</w:t>
      </w:r>
      <w:r>
        <w:rPr>
          <w:rFonts w:hint="eastAsia" w:ascii="宋体" w:hAnsi="宋体" w:cs="宋体"/>
          <w:szCs w:val="21"/>
        </w:rPr>
        <w:t>投标人报价均超过最高限价的；</w:t>
      </w:r>
    </w:p>
    <w:p w14:paraId="5CCF5A54">
      <w:pPr>
        <w:spacing w:line="360" w:lineRule="auto"/>
        <w:ind w:left="425" w:right="2" w:hanging="425"/>
        <w:rPr>
          <w:rFonts w:ascii="宋体" w:hAnsi="宋体" w:cs="宋体"/>
          <w:color w:val="000000"/>
          <w:szCs w:val="21"/>
        </w:rPr>
      </w:pPr>
      <w:r>
        <w:rPr>
          <w:rFonts w:ascii="宋体" w:hAnsi="宋体" w:cs="宋体"/>
          <w:color w:val="000000"/>
          <w:szCs w:val="21"/>
        </w:rPr>
        <w:t>(12)</w:t>
      </w:r>
      <w:r>
        <w:rPr>
          <w:rFonts w:hint="eastAsia" w:ascii="宋体" w:hAnsi="宋体" w:cs="宋体"/>
          <w:color w:val="000000"/>
          <w:szCs w:val="21"/>
        </w:rPr>
        <w:t>未按要求填报商务报价资料，对招标开展造成较大影响；</w:t>
      </w:r>
    </w:p>
    <w:p w14:paraId="325EAAA4">
      <w:pPr>
        <w:spacing w:line="360" w:lineRule="auto"/>
        <w:ind w:left="425" w:right="2" w:hanging="425"/>
        <w:rPr>
          <w:rFonts w:ascii="宋体" w:hAnsi="宋体" w:cs="宋体"/>
          <w:color w:val="000000"/>
          <w:szCs w:val="21"/>
        </w:rPr>
      </w:pPr>
      <w:r>
        <w:rPr>
          <w:rFonts w:ascii="宋体" w:hAnsi="宋体" w:cs="宋体"/>
          <w:color w:val="000000"/>
          <w:szCs w:val="21"/>
        </w:rPr>
        <w:t>(13)</w:t>
      </w:r>
      <w:r>
        <w:rPr>
          <w:rFonts w:hint="eastAsia" w:ascii="宋体" w:hAnsi="宋体" w:cs="宋体"/>
          <w:szCs w:val="21"/>
        </w:rPr>
        <w:t>未按照招标人规定的时间内在中国重汽e采通完成投标的；</w:t>
      </w:r>
    </w:p>
    <w:p w14:paraId="55A03DCB">
      <w:pPr>
        <w:spacing w:line="360" w:lineRule="auto"/>
        <w:ind w:left="425" w:right="2" w:hanging="425"/>
        <w:rPr>
          <w:rFonts w:ascii="宋体" w:hAnsi="宋体" w:cs="宋体"/>
          <w:color w:val="000000"/>
          <w:szCs w:val="21"/>
        </w:rPr>
      </w:pPr>
      <w:r>
        <w:rPr>
          <w:rFonts w:ascii="宋体" w:hAnsi="宋体" w:cs="宋体"/>
          <w:color w:val="000000"/>
          <w:szCs w:val="21"/>
        </w:rPr>
        <w:t>(14)</w:t>
      </w:r>
      <w:r>
        <w:rPr>
          <w:rFonts w:hint="eastAsia" w:ascii="宋体" w:hAnsi="宋体" w:cs="宋体"/>
          <w:color w:val="000000"/>
          <w:szCs w:val="21"/>
        </w:rPr>
        <w:t>法律、法规规定的其他情况。</w:t>
      </w:r>
    </w:p>
    <w:p w14:paraId="4F791498">
      <w:pPr>
        <w:spacing w:line="360" w:lineRule="auto"/>
        <w:ind w:left="425" w:right="2" w:hanging="425"/>
        <w:rPr>
          <w:rFonts w:ascii="宋体" w:hAnsi="宋体" w:cs="宋体"/>
          <w:szCs w:val="21"/>
        </w:rPr>
      </w:pPr>
      <w:r>
        <w:rPr>
          <w:rFonts w:hint="eastAsia" w:ascii="宋体" w:hAnsi="宋体" w:cs="宋体"/>
          <w:szCs w:val="21"/>
        </w:rPr>
        <w:t>2</w:t>
      </w:r>
      <w:r>
        <w:rPr>
          <w:rFonts w:ascii="宋体" w:hAnsi="宋体" w:cs="宋体"/>
          <w:szCs w:val="21"/>
        </w:rPr>
        <w:t>.</w:t>
      </w:r>
      <w:r>
        <w:rPr>
          <w:rFonts w:hint="eastAsia" w:ascii="宋体" w:hAnsi="宋体" w:cs="宋体"/>
          <w:szCs w:val="21"/>
        </w:rPr>
        <w:t>出现下列情形之一，招标人有权否决所有投标人的投标，并终止招标。</w:t>
      </w:r>
    </w:p>
    <w:p w14:paraId="78A1443D">
      <w:pPr>
        <w:rPr>
          <w:rFonts w:ascii="宋体" w:hAnsi="宋体" w:cs="宋体"/>
          <w:b/>
          <w:bCs/>
          <w:color w:val="FF0000"/>
          <w:sz w:val="18"/>
          <w:szCs w:val="18"/>
        </w:rPr>
      </w:pPr>
      <w:r>
        <w:rPr>
          <w:rFonts w:ascii="宋体" w:hAnsi="宋体" w:cs="宋体"/>
          <w:szCs w:val="21"/>
        </w:rPr>
        <w:t>(</w:t>
      </w:r>
      <w:r>
        <w:rPr>
          <w:rFonts w:hint="eastAsia" w:ascii="宋体" w:hAnsi="宋体" w:cs="宋体"/>
          <w:szCs w:val="21"/>
        </w:rPr>
        <w:t>1</w:t>
      </w:r>
      <w:r>
        <w:rPr>
          <w:rFonts w:ascii="宋体" w:hAnsi="宋体" w:cs="宋体"/>
          <w:szCs w:val="21"/>
        </w:rPr>
        <w:t>)</w:t>
      </w:r>
      <w:r>
        <w:rPr>
          <w:rFonts w:hint="eastAsia" w:ascii="宋体" w:hAnsi="宋体" w:cs="宋体"/>
          <w:szCs w:val="21"/>
          <w:highlight w:val="yellow"/>
        </w:rPr>
        <w:t>符合条件的投标人或者对招标文件做实质响应的投标人不足三家的；</w:t>
      </w:r>
    </w:p>
    <w:p w14:paraId="5A4E0BA7">
      <w:pPr>
        <w:spacing w:line="360" w:lineRule="auto"/>
        <w:ind w:left="425" w:right="2" w:hanging="425"/>
        <w:rPr>
          <w:rFonts w:ascii="宋体" w:hAnsi="宋体" w:cs="宋体"/>
          <w:szCs w:val="21"/>
        </w:rPr>
      </w:pPr>
      <w:r>
        <w:rPr>
          <w:rFonts w:ascii="宋体" w:hAnsi="宋体" w:cs="宋体"/>
          <w:szCs w:val="21"/>
        </w:rPr>
        <w:t>(</w:t>
      </w:r>
      <w:r>
        <w:rPr>
          <w:rFonts w:hint="eastAsia" w:ascii="宋体" w:hAnsi="宋体" w:cs="宋体"/>
          <w:szCs w:val="21"/>
        </w:rPr>
        <w:t>2</w:t>
      </w:r>
      <w:r>
        <w:rPr>
          <w:rFonts w:ascii="宋体" w:hAnsi="宋体" w:cs="宋体"/>
          <w:szCs w:val="21"/>
        </w:rPr>
        <w:t>)</w:t>
      </w:r>
      <w:r>
        <w:rPr>
          <w:rFonts w:hint="eastAsia" w:ascii="宋体" w:hAnsi="宋体" w:cs="宋体"/>
          <w:szCs w:val="21"/>
        </w:rPr>
        <w:t>出现影响采购公正的违法、违规行为的；</w:t>
      </w:r>
    </w:p>
    <w:p w14:paraId="219C0233">
      <w:pPr>
        <w:spacing w:line="360" w:lineRule="auto"/>
        <w:ind w:left="425" w:right="2" w:hanging="425"/>
        <w:rPr>
          <w:rFonts w:ascii="宋体" w:hAnsi="宋体" w:cs="宋体"/>
          <w:bCs/>
          <w:szCs w:val="21"/>
        </w:rPr>
      </w:pPr>
      <w:r>
        <w:rPr>
          <w:rFonts w:ascii="宋体" w:hAnsi="宋体" w:cs="宋体"/>
          <w:bCs/>
          <w:szCs w:val="21"/>
        </w:rPr>
        <w:t>(</w:t>
      </w:r>
      <w:r>
        <w:rPr>
          <w:rFonts w:hint="eastAsia" w:ascii="宋体" w:hAnsi="宋体" w:cs="宋体"/>
          <w:bCs/>
          <w:szCs w:val="21"/>
        </w:rPr>
        <w:t>3</w:t>
      </w:r>
      <w:r>
        <w:rPr>
          <w:rFonts w:ascii="宋体" w:hAnsi="宋体" w:cs="宋体"/>
          <w:bCs/>
          <w:szCs w:val="21"/>
        </w:rPr>
        <w:t>)</w:t>
      </w:r>
      <w:r>
        <w:rPr>
          <w:rFonts w:hint="eastAsia" w:ascii="宋体" w:hAnsi="宋体" w:cs="宋体"/>
          <w:bCs/>
          <w:szCs w:val="21"/>
        </w:rPr>
        <w:t>评标委员会经评审，认为所有投标都不符合招标文件要求的；</w:t>
      </w:r>
    </w:p>
    <w:p w14:paraId="06B00B6F">
      <w:pPr>
        <w:spacing w:line="360" w:lineRule="auto"/>
        <w:ind w:left="425" w:right="2" w:hanging="425"/>
        <w:rPr>
          <w:rFonts w:ascii="宋体" w:hAnsi="宋体" w:cs="宋体"/>
          <w:bCs/>
          <w:szCs w:val="21"/>
        </w:rPr>
      </w:pPr>
      <w:r>
        <w:rPr>
          <w:rFonts w:ascii="宋体" w:hAnsi="宋体" w:cs="宋体"/>
          <w:bCs/>
          <w:szCs w:val="21"/>
        </w:rPr>
        <w:t>(</w:t>
      </w:r>
      <w:r>
        <w:rPr>
          <w:rFonts w:hint="eastAsia" w:ascii="宋体" w:hAnsi="宋体" w:cs="宋体"/>
          <w:bCs/>
          <w:szCs w:val="21"/>
        </w:rPr>
        <w:t>4</w:t>
      </w:r>
      <w:r>
        <w:rPr>
          <w:rFonts w:ascii="宋体" w:hAnsi="宋体" w:cs="宋体"/>
          <w:bCs/>
          <w:szCs w:val="21"/>
        </w:rPr>
        <w:t>)</w:t>
      </w:r>
      <w:r>
        <w:rPr>
          <w:rFonts w:hint="eastAsia" w:ascii="宋体" w:hAnsi="宋体" w:cs="宋体"/>
          <w:bCs/>
          <w:szCs w:val="21"/>
        </w:rPr>
        <w:t>因重大变故，采购任务取消的</w:t>
      </w:r>
      <w:bookmarkStart w:id="16" w:name="OLE_LINK29"/>
      <w:bookmarkStart w:id="17" w:name="OLE_LINK25"/>
      <w:bookmarkStart w:id="18" w:name="OLE_LINK28"/>
      <w:bookmarkStart w:id="19" w:name="OLE_LINK26"/>
      <w:bookmarkStart w:id="20" w:name="OLE_LINK27"/>
      <w:r>
        <w:rPr>
          <w:rFonts w:hint="eastAsia" w:ascii="宋体" w:hAnsi="宋体" w:cs="宋体"/>
          <w:bCs/>
          <w:szCs w:val="21"/>
        </w:rPr>
        <w:t>；</w:t>
      </w:r>
      <w:bookmarkEnd w:id="16"/>
      <w:bookmarkEnd w:id="17"/>
      <w:bookmarkEnd w:id="18"/>
      <w:bookmarkEnd w:id="19"/>
      <w:bookmarkEnd w:id="20"/>
    </w:p>
    <w:p w14:paraId="77BE0110">
      <w:pPr>
        <w:pStyle w:val="2"/>
        <w:spacing w:line="360" w:lineRule="auto"/>
        <w:ind w:left="425" w:hanging="425"/>
        <w:rPr>
          <w:rFonts w:hAnsi="宋体" w:cs="宋体"/>
          <w:bCs/>
          <w:szCs w:val="21"/>
        </w:rPr>
      </w:pPr>
      <w:r>
        <w:rPr>
          <w:rFonts w:hAnsi="宋体" w:cs="宋体"/>
          <w:bCs/>
          <w:szCs w:val="21"/>
        </w:rPr>
        <w:t>(</w:t>
      </w:r>
      <w:r>
        <w:rPr>
          <w:rFonts w:hint="eastAsia" w:hAnsi="宋体" w:cs="宋体"/>
          <w:bCs/>
          <w:szCs w:val="21"/>
        </w:rPr>
        <w:t>5</w:t>
      </w:r>
      <w:r>
        <w:rPr>
          <w:rFonts w:hAnsi="宋体" w:cs="宋体"/>
          <w:bCs/>
          <w:szCs w:val="21"/>
        </w:rPr>
        <w:t>)</w:t>
      </w:r>
      <w:r>
        <w:rPr>
          <w:rFonts w:hint="eastAsia" w:hAnsi="宋体" w:cs="宋体"/>
          <w:bCs/>
          <w:szCs w:val="21"/>
        </w:rPr>
        <w:t>招标人认为其他应终止招标的情形。</w:t>
      </w:r>
    </w:p>
    <w:p w14:paraId="455B030A">
      <w:pPr>
        <w:spacing w:line="360" w:lineRule="auto"/>
        <w:rPr>
          <w:szCs w:val="21"/>
        </w:rPr>
      </w:pPr>
      <w:r>
        <w:rPr>
          <w:rFonts w:hint="eastAsia" w:ascii="宋体" w:hAnsi="宋体" w:cs="宋体"/>
          <w:szCs w:val="21"/>
        </w:rPr>
        <w:t>3</w:t>
      </w:r>
      <w:r>
        <w:rPr>
          <w:szCs w:val="21"/>
        </w:rPr>
        <w:t>.</w:t>
      </w:r>
      <w:r>
        <w:rPr>
          <w:rFonts w:hint="eastAsia" w:ascii="宋体" w:hAnsi="宋体" w:cs="宋体"/>
          <w:color w:val="000000"/>
          <w:szCs w:val="21"/>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42091B14">
      <w:pPr>
        <w:pStyle w:val="72"/>
      </w:pPr>
      <w:r>
        <w:rPr>
          <w:rFonts w:hint="eastAsia"/>
        </w:rPr>
        <w:t>合同签订</w:t>
      </w:r>
    </w:p>
    <w:p w14:paraId="0797A0EF">
      <w:pPr>
        <w:spacing w:line="360" w:lineRule="auto"/>
        <w:rPr>
          <w:rFonts w:ascii="宋体" w:hAnsi="宋体" w:cs="宋体"/>
          <w:color w:val="000000"/>
          <w:szCs w:val="21"/>
        </w:rPr>
      </w:pPr>
      <w:r>
        <w:rPr>
          <w:rFonts w:hint="eastAsia" w:ascii="宋体" w:hAnsi="宋体" w:cs="宋体"/>
          <w:color w:val="000000"/>
          <w:szCs w:val="21"/>
        </w:rPr>
        <w:t>1.招标人根据评标工作小组的评标结果确定中标人，在重汽e采通平台公布中标结果，并发送中标通知。</w:t>
      </w:r>
    </w:p>
    <w:p w14:paraId="3C526D3F">
      <w:pPr>
        <w:spacing w:line="360" w:lineRule="auto"/>
        <w:rPr>
          <w:rFonts w:ascii="宋体" w:hAnsi="宋体" w:cs="宋体"/>
          <w:color w:val="000000"/>
          <w:szCs w:val="21"/>
        </w:rPr>
      </w:pPr>
      <w:r>
        <w:rPr>
          <w:rFonts w:hint="eastAsia" w:ascii="宋体" w:hAnsi="宋体" w:cs="宋体"/>
          <w:color w:val="000000"/>
          <w:szCs w:val="21"/>
        </w:rPr>
        <w:t>2.中标人应该在中标通知书规定的时间、地点与招标人签订采购合同，否则按照开标后撤回投标处理。</w:t>
      </w:r>
    </w:p>
    <w:p w14:paraId="238BB3D6">
      <w:pPr>
        <w:spacing w:line="360" w:lineRule="auto"/>
        <w:rPr>
          <w:rFonts w:ascii="宋体" w:hAnsi="宋体" w:cs="宋体"/>
          <w:color w:val="000000"/>
          <w:szCs w:val="21"/>
        </w:rPr>
      </w:pPr>
      <w:r>
        <w:rPr>
          <w:rFonts w:hint="eastAsia" w:ascii="宋体" w:hAnsi="宋体" w:cs="宋体"/>
          <w:color w:val="000000"/>
          <w:szCs w:val="21"/>
        </w:rPr>
        <w:t>3.中标人应当按照合同约定的履约责任，在保证质量的前提下完成中标项目，不得将中标项目转包或分包给他人，否则视为违约，招标人有权解除合同。</w:t>
      </w:r>
    </w:p>
    <w:p w14:paraId="49C7832B">
      <w:pPr>
        <w:spacing w:line="360" w:lineRule="auto"/>
        <w:rPr>
          <w:rFonts w:ascii="宋体" w:hAnsi="宋体" w:cs="宋体"/>
          <w:b/>
          <w:szCs w:val="21"/>
        </w:rPr>
      </w:pPr>
      <w:r>
        <w:rPr>
          <w:rFonts w:hint="eastAsia" w:ascii="宋体" w:hAnsi="宋体" w:cs="宋体"/>
          <w:b/>
          <w:szCs w:val="21"/>
        </w:rPr>
        <w:t>4.中标人由于履行义务的能力或信用有严重缺陷，招标人有权取消其中标资格，招标人将从中标候选单位中依序重新确定中标人，或重新组织招标；</w:t>
      </w:r>
    </w:p>
    <w:p w14:paraId="286D0CF8">
      <w:pPr>
        <w:spacing w:line="360" w:lineRule="auto"/>
        <w:rPr>
          <w:rFonts w:hint="eastAsia" w:ascii="宋体" w:hAnsi="宋体" w:cs="宋体"/>
          <w:b/>
          <w:szCs w:val="21"/>
        </w:rPr>
      </w:pPr>
      <w:r>
        <w:rPr>
          <w:rFonts w:hint="eastAsia" w:ascii="宋体" w:hAnsi="宋体" w:cs="宋体"/>
          <w:b/>
          <w:szCs w:val="21"/>
        </w:rPr>
        <w:t>5.合同以双方最终签署的版本为准。</w:t>
      </w:r>
    </w:p>
    <w:p w14:paraId="03317BCB">
      <w:pPr>
        <w:pStyle w:val="2"/>
        <w:rPr>
          <w:rFonts w:hint="default" w:eastAsia="宋体"/>
          <w:sz w:val="21"/>
          <w:szCs w:val="21"/>
          <w:lang w:val="en-US" w:eastAsia="zh-CN"/>
        </w:rPr>
      </w:pPr>
      <w:r>
        <w:rPr>
          <w:rFonts w:hint="eastAsia" w:hAnsi="宋体" w:cs="宋体"/>
          <w:b/>
          <w:szCs w:val="21"/>
          <w:lang w:val="en-US" w:eastAsia="zh-CN"/>
        </w:rPr>
        <w:t>6.</w:t>
      </w:r>
      <w:r>
        <w:rPr>
          <w:rFonts w:ascii="宋体" w:hAnsi="宋体" w:eastAsia="宋体" w:cs="宋体"/>
          <w:sz w:val="21"/>
          <w:szCs w:val="21"/>
        </w:rPr>
        <w:t>招标人有权指定招标人的关联单位作为合同签订人，与中标人签署相关合同，且具体权利义务以中标人与招标人的关联公司最终签署的合同</w:t>
      </w:r>
      <w:bookmarkStart w:id="43" w:name="_GoBack"/>
      <w:bookmarkEnd w:id="43"/>
      <w:r>
        <w:rPr>
          <w:rFonts w:ascii="宋体" w:hAnsi="宋体" w:eastAsia="宋体" w:cs="宋体"/>
          <w:sz w:val="21"/>
          <w:szCs w:val="21"/>
        </w:rPr>
        <w:t>为准</w:t>
      </w:r>
    </w:p>
    <w:p w14:paraId="1E22D9D4">
      <w:pPr>
        <w:pStyle w:val="72"/>
      </w:pPr>
      <w:r>
        <w:rPr>
          <w:rFonts w:hint="eastAsia"/>
        </w:rPr>
        <w:t>交货及付款</w:t>
      </w:r>
    </w:p>
    <w:p w14:paraId="58AD2FF4">
      <w:pPr>
        <w:pStyle w:val="72"/>
        <w:numPr>
          <w:ilvl w:val="0"/>
          <w:numId w:val="29"/>
        </w:numPr>
        <w:rPr>
          <w:rFonts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付款方式：</w:t>
      </w:r>
    </w:p>
    <w:p w14:paraId="622ED0A6">
      <w:pPr>
        <w:pStyle w:val="72"/>
        <w:numPr>
          <w:ilvl w:val="0"/>
          <w:numId w:val="0"/>
        </w:numPr>
        <w:ind w:left="59"/>
        <w:rPr>
          <w:rFonts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半年期商业汇票（包括银行承兑汇票和商业承兑汇票）；</w:t>
      </w:r>
    </w:p>
    <w:p w14:paraId="3160031D">
      <w:pPr>
        <w:pStyle w:val="72"/>
        <w:numPr>
          <w:ilvl w:val="0"/>
          <w:numId w:val="0"/>
        </w:numPr>
        <w:ind w:left="59"/>
        <w:rPr>
          <w:rFonts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2.付款节点：</w:t>
      </w:r>
    </w:p>
    <w:p w14:paraId="04635AE2">
      <w:pPr>
        <w:pStyle w:val="72"/>
        <w:numPr>
          <w:ilvl w:val="0"/>
          <w:numId w:val="0"/>
        </w:numPr>
        <w:rPr>
          <w:rFonts w:ascii="宋体" w:hAnsi="宋体" w:eastAsia="宋体" w:cs="宋体"/>
          <w:b w:val="0"/>
          <w:bCs w:val="0"/>
          <w:sz w:val="21"/>
          <w:szCs w:val="21"/>
        </w:rPr>
      </w:pPr>
      <w:r>
        <w:rPr>
          <w:rFonts w:hint="eastAsia" w:ascii="宋体" w:hAnsi="宋体" w:eastAsia="宋体" w:cs="宋体"/>
          <w:b w:val="0"/>
          <w:bCs w:val="0"/>
          <w:sz w:val="21"/>
          <w:szCs w:val="21"/>
        </w:rPr>
        <w:t>1、货物完成交付后次月内支付合同金额60%；</w:t>
      </w:r>
    </w:p>
    <w:p w14:paraId="16F97A1A">
      <w:pPr>
        <w:pStyle w:val="72"/>
        <w:numPr>
          <w:ilvl w:val="0"/>
          <w:numId w:val="0"/>
        </w:numPr>
        <w:rPr>
          <w:rFonts w:ascii="宋体" w:hAnsi="宋体" w:eastAsia="宋体" w:cs="宋体"/>
          <w:b w:val="0"/>
          <w:bCs w:val="0"/>
          <w:sz w:val="21"/>
          <w:szCs w:val="21"/>
        </w:rPr>
      </w:pPr>
      <w:r>
        <w:rPr>
          <w:rFonts w:hint="eastAsia" w:ascii="宋体" w:hAnsi="宋体" w:eastAsia="宋体" w:cs="宋体"/>
          <w:b w:val="0"/>
          <w:bCs w:val="0"/>
          <w:sz w:val="21"/>
          <w:szCs w:val="21"/>
        </w:rPr>
        <w:t>2、货物完成安装调试并通过终验收后次月内支付合同金额30%；</w:t>
      </w:r>
    </w:p>
    <w:p w14:paraId="60BE2BE0">
      <w:pPr>
        <w:pStyle w:val="72"/>
        <w:numPr>
          <w:ilvl w:val="0"/>
          <w:numId w:val="0"/>
        </w:numPr>
        <w:rPr>
          <w:rFonts w:ascii="宋体" w:hAnsi="宋体" w:eastAsia="宋体" w:cs="宋体"/>
          <w:b w:val="0"/>
          <w:bCs w:val="0"/>
          <w:sz w:val="21"/>
          <w:szCs w:val="21"/>
        </w:rPr>
      </w:pPr>
      <w:r>
        <w:rPr>
          <w:rFonts w:hint="eastAsia" w:ascii="宋体" w:hAnsi="宋体" w:eastAsia="宋体" w:cs="宋体"/>
          <w:b w:val="0"/>
          <w:bCs w:val="0"/>
          <w:sz w:val="21"/>
          <w:szCs w:val="21"/>
        </w:rPr>
        <w:t>3、合同金额10%的尾款作为项目的质保金，该笔款项在货物完成终验收后第13个月内支付；</w:t>
      </w:r>
    </w:p>
    <w:p w14:paraId="0C99DFF3">
      <w:pPr>
        <w:pStyle w:val="72"/>
      </w:pPr>
      <w:r>
        <w:rPr>
          <w:rFonts w:hint="eastAsia"/>
        </w:rPr>
        <w:t>本次招标最终解释权归中国重汽集团</w:t>
      </w:r>
      <w:r>
        <w:rPr>
          <w:rFonts w:hint="eastAsia"/>
          <w:u w:val="single"/>
        </w:rPr>
        <w:t>济南动力</w:t>
      </w:r>
      <w:r>
        <w:rPr>
          <w:rFonts w:hint="eastAsia"/>
        </w:rPr>
        <w:t>有限公司。</w:t>
      </w:r>
    </w:p>
    <w:p w14:paraId="137AC3D2">
      <w:pPr>
        <w:pStyle w:val="76"/>
      </w:pPr>
    </w:p>
    <w:p w14:paraId="0EC3C9E0">
      <w:bookmarkStart w:id="21" w:name="_Toc47976607"/>
      <w:r>
        <w:rPr>
          <w:rFonts w:hint="eastAsia"/>
        </w:rPr>
        <w:br w:type="page"/>
      </w:r>
    </w:p>
    <w:p w14:paraId="479BB538">
      <w:pPr>
        <w:pStyle w:val="71"/>
      </w:pPr>
      <w:bookmarkStart w:id="22" w:name="_Toc1910"/>
      <w:r>
        <w:rPr>
          <w:rFonts w:hint="eastAsia"/>
        </w:rPr>
        <w:t>第二部分　</w:t>
      </w:r>
      <w:bookmarkEnd w:id="21"/>
      <w:r>
        <w:rPr>
          <w:rFonts w:hint="eastAsia"/>
        </w:rPr>
        <w:t>技术标书</w:t>
      </w:r>
      <w:bookmarkEnd w:id="22"/>
    </w:p>
    <w:p w14:paraId="6BC5B4B6">
      <w:pPr>
        <w:pStyle w:val="2"/>
        <w:jc w:val="center"/>
        <w:rPr>
          <w:rFonts w:ascii="Calibri"/>
          <w:b/>
          <w:bCs/>
          <w:color w:val="000000"/>
          <w:spacing w:val="-8"/>
          <w:sz w:val="52"/>
          <w:szCs w:val="52"/>
        </w:rPr>
      </w:pPr>
      <w:bookmarkStart w:id="23" w:name="_Toc169605877"/>
      <w:r>
        <w:rPr>
          <w:rFonts w:hint="eastAsia" w:ascii="Calibri"/>
          <w:b/>
          <w:bCs/>
          <w:color w:val="000000"/>
          <w:spacing w:val="-8"/>
          <w:sz w:val="52"/>
          <w:szCs w:val="52"/>
        </w:rPr>
        <w:t>中国重汽集团杭州发动机有限公司</w:t>
      </w:r>
    </w:p>
    <w:p w14:paraId="59059740">
      <w:pPr>
        <w:pStyle w:val="2"/>
        <w:jc w:val="center"/>
        <w:rPr>
          <w:rFonts w:ascii="Calibri"/>
          <w:b/>
          <w:bCs/>
          <w:color w:val="000000"/>
          <w:spacing w:val="-8"/>
          <w:sz w:val="52"/>
          <w:szCs w:val="52"/>
        </w:rPr>
      </w:pPr>
      <w:r>
        <w:rPr>
          <w:rFonts w:hint="eastAsia" w:ascii="Calibri"/>
          <w:b/>
          <w:bCs/>
          <w:color w:val="000000"/>
          <w:spacing w:val="-8"/>
          <w:sz w:val="52"/>
          <w:szCs w:val="52"/>
        </w:rPr>
        <w:t xml:space="preserve">缸盖制芯线工艺布局优化改造技改项目 </w:t>
      </w:r>
    </w:p>
    <w:p w14:paraId="42023FD5">
      <w:pPr>
        <w:pStyle w:val="2"/>
        <w:jc w:val="center"/>
        <w:rPr>
          <w:rFonts w:ascii="Calibri"/>
          <w:b/>
          <w:bCs/>
          <w:color w:val="000000"/>
          <w:spacing w:val="-8"/>
          <w:sz w:val="52"/>
          <w:szCs w:val="52"/>
        </w:rPr>
      </w:pPr>
    </w:p>
    <w:p w14:paraId="4C9B1A3C">
      <w:pPr>
        <w:jc w:val="center"/>
        <w:rPr>
          <w:rFonts w:ascii="黑体" w:hAnsi="宋体" w:eastAsia="黑体"/>
          <w:color w:val="000000"/>
          <w:sz w:val="72"/>
          <w:szCs w:val="72"/>
        </w:rPr>
      </w:pPr>
      <w:r>
        <w:rPr>
          <w:rFonts w:hint="eastAsia" w:ascii="黑体" w:hAnsi="宋体"/>
          <w:color w:val="000000"/>
          <w:sz w:val="72"/>
          <w:szCs w:val="72"/>
        </w:rPr>
        <w:t>技</w:t>
      </w:r>
    </w:p>
    <w:p w14:paraId="199F4821">
      <w:pPr>
        <w:jc w:val="center"/>
        <w:rPr>
          <w:rFonts w:ascii="黑体" w:hAnsi="宋体" w:eastAsia="黑体"/>
          <w:color w:val="000000"/>
          <w:sz w:val="72"/>
          <w:szCs w:val="72"/>
        </w:rPr>
      </w:pPr>
      <w:r>
        <w:rPr>
          <w:rFonts w:hint="eastAsia" w:ascii="黑体" w:hAnsi="宋体"/>
          <w:color w:val="000000"/>
          <w:sz w:val="72"/>
          <w:szCs w:val="72"/>
        </w:rPr>
        <w:t>术</w:t>
      </w:r>
    </w:p>
    <w:p w14:paraId="3A4EF03B">
      <w:pPr>
        <w:jc w:val="center"/>
        <w:rPr>
          <w:rFonts w:ascii="黑体" w:hAnsi="宋体" w:eastAsia="黑体"/>
          <w:color w:val="000000"/>
          <w:sz w:val="72"/>
          <w:szCs w:val="72"/>
        </w:rPr>
      </w:pPr>
      <w:r>
        <w:rPr>
          <w:rFonts w:hint="eastAsia" w:ascii="黑体" w:hAnsi="宋体"/>
          <w:color w:val="000000"/>
          <w:sz w:val="72"/>
          <w:szCs w:val="72"/>
        </w:rPr>
        <w:t>标</w:t>
      </w:r>
    </w:p>
    <w:p w14:paraId="4B68E078">
      <w:pPr>
        <w:jc w:val="center"/>
        <w:rPr>
          <w:rFonts w:ascii="黑体" w:hAnsi="宋体" w:eastAsia="黑体"/>
          <w:color w:val="000000"/>
          <w:sz w:val="72"/>
          <w:szCs w:val="72"/>
        </w:rPr>
      </w:pPr>
      <w:r>
        <w:rPr>
          <w:rFonts w:hint="eastAsia" w:ascii="黑体" w:hAnsi="宋体"/>
          <w:color w:val="000000"/>
          <w:sz w:val="72"/>
          <w:szCs w:val="72"/>
        </w:rPr>
        <w:t>书</w:t>
      </w:r>
    </w:p>
    <w:p w14:paraId="38EBA9FA">
      <w:pPr>
        <w:spacing w:line="860" w:lineRule="exact"/>
        <w:ind w:firstLine="1928" w:firstLineChars="600"/>
        <w:rPr>
          <w:rFonts w:ascii="华文仿宋" w:hAnsi="华文仿宋"/>
          <w:b/>
          <w:bCs/>
          <w:sz w:val="32"/>
          <w:szCs w:val="28"/>
        </w:rPr>
      </w:pPr>
      <w:r>
        <w:rPr>
          <w:rFonts w:hint="eastAsia" w:ascii="华文仿宋" w:hAnsi="华文仿宋"/>
          <w:b/>
          <w:bCs/>
          <w:sz w:val="32"/>
          <w:szCs w:val="28"/>
        </w:rPr>
        <w:t>编制：毛 昌 国</w:t>
      </w:r>
    </w:p>
    <w:p w14:paraId="6E01B49A">
      <w:pPr>
        <w:spacing w:line="860" w:lineRule="exact"/>
        <w:ind w:left="1890" w:leftChars="900"/>
        <w:rPr>
          <w:rFonts w:ascii="华文仿宋" w:hAnsi="华文仿宋"/>
          <w:sz w:val="32"/>
          <w:szCs w:val="28"/>
        </w:rPr>
      </w:pPr>
      <w:r>
        <w:rPr>
          <w:rFonts w:hint="eastAsia" w:ascii="华文仿宋" w:hAnsi="华文仿宋"/>
          <w:b/>
          <w:bCs/>
          <w:sz w:val="32"/>
          <w:szCs w:val="28"/>
        </w:rPr>
        <w:t>校对：宋建武</w:t>
      </w:r>
    </w:p>
    <w:p w14:paraId="103FD956">
      <w:pPr>
        <w:spacing w:line="860" w:lineRule="exact"/>
        <w:ind w:left="1890" w:leftChars="900"/>
        <w:rPr>
          <w:rFonts w:ascii="华文仿宋" w:hAnsi="华文仿宋"/>
          <w:b/>
          <w:bCs/>
          <w:sz w:val="32"/>
          <w:szCs w:val="28"/>
        </w:rPr>
      </w:pPr>
      <w:r>
        <w:rPr>
          <w:rFonts w:hint="eastAsia" w:ascii="华文仿宋" w:hAnsi="华文仿宋"/>
          <w:b/>
          <w:bCs/>
          <w:sz w:val="32"/>
          <w:szCs w:val="28"/>
        </w:rPr>
        <w:t>会签：何程</w:t>
      </w:r>
    </w:p>
    <w:p w14:paraId="0F1678F4">
      <w:pPr>
        <w:spacing w:line="860" w:lineRule="exact"/>
        <w:ind w:left="1890" w:leftChars="900"/>
        <w:rPr>
          <w:rFonts w:ascii="华文仿宋" w:hAnsi="华文仿宋"/>
          <w:b/>
          <w:bCs/>
          <w:sz w:val="32"/>
          <w:szCs w:val="28"/>
        </w:rPr>
      </w:pPr>
      <w:r>
        <w:rPr>
          <w:rFonts w:hint="eastAsia" w:ascii="华文仿宋" w:hAnsi="华文仿宋"/>
          <w:b/>
          <w:bCs/>
          <w:sz w:val="32"/>
          <w:szCs w:val="28"/>
        </w:rPr>
        <w:t>审核：钟晓渝</w:t>
      </w:r>
    </w:p>
    <w:p w14:paraId="70FDA39B">
      <w:pPr>
        <w:spacing w:line="860" w:lineRule="exact"/>
        <w:ind w:left="1890" w:leftChars="900"/>
        <w:rPr>
          <w:rFonts w:ascii="华文仿宋" w:hAnsi="华文仿宋"/>
          <w:b/>
          <w:bCs/>
          <w:sz w:val="32"/>
          <w:szCs w:val="28"/>
        </w:rPr>
      </w:pPr>
      <w:r>
        <w:rPr>
          <w:rFonts w:hint="eastAsia" w:ascii="华文仿宋" w:hAnsi="华文仿宋"/>
          <w:b/>
          <w:bCs/>
          <w:sz w:val="32"/>
          <w:szCs w:val="28"/>
        </w:rPr>
        <w:t>批准：姜爱良</w:t>
      </w:r>
    </w:p>
    <w:p w14:paraId="2A347482">
      <w:pPr>
        <w:pStyle w:val="2"/>
        <w:rPr>
          <w:rFonts w:ascii="华文仿宋" w:hAnsi="华文仿宋" w:eastAsia="华文仿宋"/>
          <w:b/>
          <w:bCs/>
          <w:sz w:val="32"/>
          <w:szCs w:val="28"/>
        </w:rPr>
      </w:pPr>
    </w:p>
    <w:p w14:paraId="48EF1DD7">
      <w:pPr>
        <w:pStyle w:val="2"/>
        <w:rPr>
          <w:b/>
          <w:bCs/>
        </w:rPr>
      </w:pPr>
    </w:p>
    <w:p w14:paraId="2F8BBC00">
      <w:pPr>
        <w:jc w:val="center"/>
        <w:rPr>
          <w:rFonts w:ascii="宋体" w:hAnsi="Calibri"/>
          <w:color w:val="000000"/>
          <w:sz w:val="28"/>
          <w:szCs w:val="28"/>
        </w:rPr>
      </w:pPr>
      <w:r>
        <w:rPr>
          <w:rFonts w:hint="eastAsia" w:ascii="宋体" w:hAnsi="宋体"/>
          <w:color w:val="000000"/>
          <w:sz w:val="28"/>
          <w:szCs w:val="28"/>
        </w:rPr>
        <w:t>招</w:t>
      </w:r>
      <w:r>
        <w:rPr>
          <w:rFonts w:ascii="宋体" w:hAnsi="宋体"/>
          <w:color w:val="000000"/>
          <w:sz w:val="28"/>
          <w:szCs w:val="28"/>
        </w:rPr>
        <w:t xml:space="preserve"> </w:t>
      </w:r>
      <w:r>
        <w:rPr>
          <w:rFonts w:hint="eastAsia" w:ascii="宋体" w:hAnsi="宋体"/>
          <w:color w:val="000000"/>
          <w:sz w:val="28"/>
          <w:szCs w:val="28"/>
        </w:rPr>
        <w:t>标</w:t>
      </w:r>
      <w:r>
        <w:rPr>
          <w:rFonts w:ascii="宋体" w:hAnsi="宋体"/>
          <w:color w:val="000000"/>
          <w:sz w:val="28"/>
          <w:szCs w:val="28"/>
        </w:rPr>
        <w:t xml:space="preserve"> </w:t>
      </w:r>
      <w:r>
        <w:rPr>
          <w:rFonts w:hint="eastAsia" w:ascii="宋体" w:hAnsi="宋体"/>
          <w:color w:val="000000"/>
          <w:sz w:val="28"/>
          <w:szCs w:val="28"/>
        </w:rPr>
        <w:t>人：中国重汽集团杭州发动机有限公司</w:t>
      </w:r>
    </w:p>
    <w:p w14:paraId="424AA222">
      <w:pPr>
        <w:jc w:val="center"/>
        <w:rPr>
          <w:rFonts w:ascii="Calibri" w:hAnsi="Calibri"/>
          <w:b/>
          <w:bCs/>
          <w:kern w:val="44"/>
          <w:sz w:val="36"/>
          <w:szCs w:val="44"/>
        </w:rPr>
      </w:pPr>
      <w:r>
        <w:rPr>
          <w:rFonts w:ascii="Calibri" w:hAnsi="Calibri"/>
          <w:color w:val="000000"/>
          <w:sz w:val="28"/>
          <w:szCs w:val="28"/>
        </w:rPr>
        <w:t>202</w:t>
      </w:r>
      <w:r>
        <w:rPr>
          <w:rFonts w:hint="eastAsia" w:ascii="Calibri" w:hAnsi="Calibri"/>
          <w:color w:val="000000"/>
          <w:sz w:val="28"/>
          <w:szCs w:val="28"/>
        </w:rPr>
        <w:t>5</w:t>
      </w:r>
      <w:r>
        <w:rPr>
          <w:rFonts w:hint="eastAsia" w:ascii="宋体" w:hAnsi="宋体"/>
          <w:color w:val="000000"/>
          <w:sz w:val="28"/>
          <w:szCs w:val="28"/>
        </w:rPr>
        <w:t>年</w:t>
      </w:r>
      <w:r>
        <w:rPr>
          <w:rFonts w:hint="eastAsia" w:ascii="Calibri" w:hAnsi="Calibri"/>
          <w:color w:val="000000"/>
          <w:sz w:val="28"/>
          <w:szCs w:val="28"/>
        </w:rPr>
        <w:t>0</w:t>
      </w:r>
      <w:r>
        <w:rPr>
          <w:rFonts w:ascii="Calibri" w:hAnsi="Calibri"/>
          <w:color w:val="000000"/>
          <w:sz w:val="28"/>
          <w:szCs w:val="28"/>
        </w:rPr>
        <w:t>9</w:t>
      </w:r>
      <w:r>
        <w:rPr>
          <w:rFonts w:hint="eastAsia" w:ascii="Calibri" w:hAnsi="Calibri"/>
          <w:color w:val="000000"/>
          <w:sz w:val="28"/>
          <w:szCs w:val="28"/>
        </w:rPr>
        <w:t>月</w:t>
      </w:r>
    </w:p>
    <w:p w14:paraId="6B47F02B">
      <w:pPr>
        <w:spacing w:line="360" w:lineRule="auto"/>
        <w:rPr>
          <w:rFonts w:ascii="宋体" w:hAnsi="宋体"/>
          <w:b/>
          <w:sz w:val="36"/>
          <w:szCs w:val="36"/>
        </w:rPr>
        <w:sectPr>
          <w:headerReference r:id="rId7" w:type="default"/>
          <w:footerReference r:id="rId8" w:type="default"/>
          <w:pgSz w:w="11907" w:h="16840"/>
          <w:pgMar w:top="1304" w:right="1418" w:bottom="1304" w:left="1418" w:header="724" w:footer="851" w:gutter="0"/>
          <w:pgNumType w:fmt="numberInDash"/>
          <w:cols w:space="720" w:num="1"/>
          <w:docGrid w:linePitch="290" w:charSpace="-3931"/>
        </w:sectPr>
      </w:pPr>
    </w:p>
    <w:p w14:paraId="18BEA426"/>
    <w:p w14:paraId="1ED7FE64">
      <w:pPr>
        <w:spacing w:line="360" w:lineRule="auto"/>
        <w:rPr>
          <w:rFonts w:hAnsi="Calibri"/>
          <w:sz w:val="24"/>
          <w:szCs w:val="24"/>
        </w:rPr>
      </w:pPr>
      <w:r>
        <w:rPr>
          <w:rFonts w:hint="eastAsia"/>
          <w:sz w:val="24"/>
          <w:szCs w:val="24"/>
        </w:rPr>
        <w:t>第一章</w:t>
      </w:r>
      <w:r>
        <w:rPr>
          <w:sz w:val="24"/>
          <w:szCs w:val="24"/>
        </w:rPr>
        <w:t xml:space="preserve">  </w:t>
      </w:r>
      <w:r>
        <w:rPr>
          <w:rFonts w:hint="eastAsia"/>
          <w:sz w:val="24"/>
          <w:szCs w:val="24"/>
        </w:rPr>
        <w:t>采购货物概况</w:t>
      </w:r>
    </w:p>
    <w:p w14:paraId="3470A01A">
      <w:pPr>
        <w:spacing w:line="360" w:lineRule="auto"/>
        <w:rPr>
          <w:rFonts w:eastAsia="黑体"/>
          <w:sz w:val="24"/>
          <w:szCs w:val="24"/>
        </w:rPr>
      </w:pPr>
      <w:r>
        <w:rPr>
          <w:rFonts w:hint="eastAsia"/>
          <w:sz w:val="24"/>
          <w:szCs w:val="24"/>
        </w:rPr>
        <w:t>第一节  使用环境</w:t>
      </w:r>
    </w:p>
    <w:p w14:paraId="7299261A">
      <w:pPr>
        <w:spacing w:line="360" w:lineRule="auto"/>
        <w:rPr>
          <w:sz w:val="24"/>
          <w:szCs w:val="24"/>
        </w:rPr>
      </w:pPr>
      <w:r>
        <w:rPr>
          <w:rFonts w:hint="eastAsia"/>
          <w:sz w:val="24"/>
          <w:szCs w:val="24"/>
        </w:rPr>
        <w:t>一、项目名称：</w:t>
      </w:r>
      <w:r>
        <w:rPr>
          <w:rFonts w:hint="eastAsia"/>
          <w:sz w:val="24"/>
          <w:szCs w:val="24"/>
          <w:u w:val="single"/>
        </w:rPr>
        <w:t>缸盖制芯线工艺布局优化改造技改项目</w:t>
      </w:r>
    </w:p>
    <w:p w14:paraId="6273A75E">
      <w:pPr>
        <w:spacing w:line="360" w:lineRule="auto"/>
        <w:rPr>
          <w:rFonts w:ascii="宋体"/>
          <w:sz w:val="24"/>
          <w:szCs w:val="24"/>
        </w:rPr>
      </w:pPr>
      <w:r>
        <w:rPr>
          <w:rFonts w:hint="eastAsia"/>
          <w:sz w:val="24"/>
          <w:szCs w:val="24"/>
        </w:rPr>
        <w:t>二、建设地点：</w:t>
      </w:r>
      <w:r>
        <w:rPr>
          <w:rFonts w:hint="eastAsia" w:ascii="宋体" w:hAnsi="宋体"/>
          <w:sz w:val="24"/>
          <w:szCs w:val="24"/>
          <w:u w:val="single"/>
        </w:rPr>
        <w:t>杭州市萧山经济技术开发区红泰六路699号</w:t>
      </w:r>
      <w:r>
        <w:rPr>
          <w:rFonts w:hint="eastAsia"/>
          <w:sz w:val="24"/>
          <w:szCs w:val="24"/>
        </w:rPr>
        <w:t xml:space="preserve"> </w:t>
      </w:r>
    </w:p>
    <w:p w14:paraId="6898BF5E">
      <w:pPr>
        <w:spacing w:line="360" w:lineRule="auto"/>
        <w:rPr>
          <w:sz w:val="24"/>
          <w:szCs w:val="24"/>
          <w:u w:val="single"/>
        </w:rPr>
      </w:pPr>
      <w:r>
        <w:rPr>
          <w:rFonts w:hint="eastAsia"/>
          <w:sz w:val="24"/>
          <w:szCs w:val="24"/>
        </w:rPr>
        <w:t>三、使用地点：</w:t>
      </w:r>
      <w:r>
        <w:rPr>
          <w:rFonts w:hint="eastAsia"/>
          <w:sz w:val="24"/>
          <w:szCs w:val="24"/>
          <w:u w:val="single"/>
        </w:rPr>
        <w:t>中国重汽集团杭州发动机有限公司</w:t>
      </w:r>
    </w:p>
    <w:p w14:paraId="1FED6DB7">
      <w:pPr>
        <w:spacing w:line="360" w:lineRule="auto"/>
        <w:rPr>
          <w:rFonts w:ascii="宋体" w:hAnsi="宋体"/>
          <w:sz w:val="24"/>
          <w:szCs w:val="24"/>
        </w:rPr>
      </w:pPr>
      <w:r>
        <w:rPr>
          <w:rFonts w:hint="eastAsia" w:ascii="黑体"/>
          <w:sz w:val="24"/>
          <w:szCs w:val="24"/>
        </w:rPr>
        <w:t>四、工作制度：</w:t>
      </w:r>
      <w:r>
        <w:rPr>
          <w:rFonts w:hint="eastAsia"/>
          <w:sz w:val="24"/>
          <w:szCs w:val="24"/>
        </w:rPr>
        <w:t>全年工作</w:t>
      </w:r>
      <w:r>
        <w:rPr>
          <w:rFonts w:hint="eastAsia" w:ascii="仿宋" w:hAnsi="仿宋" w:eastAsia="仿宋" w:cs="仿宋"/>
          <w:sz w:val="28"/>
          <w:szCs w:val="28"/>
        </w:rPr>
        <w:t>≥</w:t>
      </w:r>
      <w:r>
        <w:rPr>
          <w:rFonts w:hint="eastAsia" w:ascii="宋体" w:hAnsi="宋体"/>
          <w:sz w:val="24"/>
          <w:szCs w:val="24"/>
        </w:rPr>
        <w:t>250天</w:t>
      </w:r>
    </w:p>
    <w:p w14:paraId="14B13F8A">
      <w:pPr>
        <w:spacing w:line="360" w:lineRule="auto"/>
        <w:rPr>
          <w:color w:val="FF0000"/>
          <w:sz w:val="24"/>
          <w:szCs w:val="24"/>
        </w:rPr>
      </w:pPr>
      <w:r>
        <w:rPr>
          <w:rFonts w:hint="eastAsia"/>
          <w:sz w:val="24"/>
          <w:szCs w:val="24"/>
        </w:rPr>
        <w:t>五、使用地点区域自然环境：</w:t>
      </w:r>
      <w:r>
        <w:rPr>
          <w:color w:val="FF0000"/>
          <w:sz w:val="24"/>
          <w:szCs w:val="24"/>
        </w:rPr>
        <w:t xml:space="preserve"> </w:t>
      </w:r>
    </w:p>
    <w:p w14:paraId="6A56D060">
      <w:pPr>
        <w:pStyle w:val="62"/>
        <w:spacing w:line="360" w:lineRule="auto"/>
        <w:ind w:firstLine="480"/>
        <w:rPr>
          <w:rFonts w:ascii="宋体"/>
          <w:sz w:val="24"/>
          <w:szCs w:val="24"/>
        </w:rPr>
      </w:pPr>
      <w:r>
        <w:rPr>
          <w:sz w:val="24"/>
          <w:szCs w:val="24"/>
        </w:rPr>
        <w:t>1、海拨高度：1000m以下</w:t>
      </w:r>
      <w:r>
        <w:rPr>
          <w:rFonts w:hint="eastAsia"/>
          <w:sz w:val="24"/>
          <w:szCs w:val="24"/>
        </w:rPr>
        <w:t>。</w:t>
      </w:r>
      <w:r>
        <w:rPr>
          <w:sz w:val="24"/>
          <w:szCs w:val="24"/>
        </w:rPr>
        <w:br w:type="textWrapping"/>
      </w:r>
      <w:r>
        <w:rPr>
          <w:sz w:val="24"/>
          <w:szCs w:val="24"/>
        </w:rPr>
        <w:t>2、环境温度：室外极端最低温度-19.7℃、极端最高温度42℃，昼夜最大温差25℃；室内温度5～45℃。</w:t>
      </w:r>
      <w:r>
        <w:rPr>
          <w:sz w:val="24"/>
          <w:szCs w:val="24"/>
        </w:rPr>
        <w:br w:type="textWrapping"/>
      </w:r>
      <w:r>
        <w:rPr>
          <w:sz w:val="24"/>
          <w:szCs w:val="24"/>
        </w:rPr>
        <w:t>3、相对湿度：年平均59%，最大95%、最小15%。</w:t>
      </w:r>
      <w:r>
        <w:rPr>
          <w:sz w:val="24"/>
          <w:szCs w:val="24"/>
        </w:rPr>
        <w:br w:type="textWrapping"/>
      </w:r>
      <w:r>
        <w:rPr>
          <w:sz w:val="24"/>
          <w:szCs w:val="24"/>
        </w:rPr>
        <w:t>4、降雨量：日最大降雨量300mm、时最大降雨量100mm。</w:t>
      </w:r>
      <w:r>
        <w:rPr>
          <w:sz w:val="24"/>
          <w:szCs w:val="24"/>
        </w:rPr>
        <w:br w:type="textWrapping"/>
      </w:r>
      <w:r>
        <w:rPr>
          <w:sz w:val="24"/>
          <w:szCs w:val="24"/>
        </w:rPr>
        <w:t xml:space="preserve">5、最大风速：33.3m/s。 </w:t>
      </w:r>
      <w:r>
        <w:rPr>
          <w:sz w:val="24"/>
          <w:szCs w:val="24"/>
        </w:rPr>
        <w:br w:type="textWrapping"/>
      </w:r>
      <w:r>
        <w:rPr>
          <w:rFonts w:hint="eastAsia"/>
          <w:sz w:val="24"/>
          <w:szCs w:val="24"/>
        </w:rPr>
        <w:t>六、能源环境：</w:t>
      </w:r>
    </w:p>
    <w:p w14:paraId="0F9EE03C">
      <w:pPr>
        <w:spacing w:line="360" w:lineRule="auto"/>
        <w:rPr>
          <w:sz w:val="24"/>
          <w:szCs w:val="24"/>
        </w:rPr>
      </w:pPr>
      <w:r>
        <w:rPr>
          <w:rFonts w:hint="eastAsia"/>
          <w:sz w:val="24"/>
          <w:szCs w:val="24"/>
        </w:rPr>
        <w:t>1、电力：</w:t>
      </w:r>
      <w:r>
        <w:rPr>
          <w:sz w:val="24"/>
          <w:szCs w:val="24"/>
        </w:rPr>
        <w:t>中国制式，供电电压380V±15%/220V±15%，供电频率50Hz±2%，三相五线。</w:t>
      </w:r>
    </w:p>
    <w:p w14:paraId="7D606FF2">
      <w:pPr>
        <w:spacing w:line="360" w:lineRule="auto"/>
        <w:rPr>
          <w:sz w:val="24"/>
          <w:szCs w:val="24"/>
        </w:rPr>
      </w:pPr>
      <w:bookmarkStart w:id="24" w:name="_Toc27088"/>
      <w:bookmarkStart w:id="25" w:name="_Toc19068"/>
      <w:bookmarkStart w:id="26" w:name="_Toc13018"/>
      <w:bookmarkStart w:id="27" w:name="_Toc9838"/>
      <w:bookmarkStart w:id="28" w:name="_Toc137705867"/>
      <w:r>
        <w:rPr>
          <w:sz w:val="24"/>
          <w:szCs w:val="24"/>
        </w:rPr>
        <w:t>2</w:t>
      </w:r>
      <w:r>
        <w:rPr>
          <w:rFonts w:hint="eastAsia"/>
          <w:sz w:val="24"/>
          <w:szCs w:val="24"/>
        </w:rPr>
        <w:t>、压缩空气： 5～7bar。</w:t>
      </w:r>
    </w:p>
    <w:p w14:paraId="425B4C8F">
      <w:pPr>
        <w:spacing w:line="360" w:lineRule="auto"/>
        <w:rPr>
          <w:rFonts w:eastAsia="黑体"/>
          <w:sz w:val="24"/>
          <w:szCs w:val="24"/>
        </w:rPr>
      </w:pPr>
      <w:r>
        <w:rPr>
          <w:rFonts w:hint="eastAsia"/>
          <w:sz w:val="24"/>
          <w:szCs w:val="24"/>
        </w:rPr>
        <w:t>第二节  采购货物概况</w:t>
      </w:r>
      <w:bookmarkEnd w:id="24"/>
      <w:bookmarkEnd w:id="25"/>
      <w:bookmarkEnd w:id="26"/>
      <w:bookmarkEnd w:id="27"/>
      <w:bookmarkEnd w:id="28"/>
    </w:p>
    <w:p w14:paraId="237CE5BB">
      <w:pPr>
        <w:spacing w:line="360" w:lineRule="auto"/>
        <w:rPr>
          <w:sz w:val="24"/>
          <w:szCs w:val="24"/>
        </w:rPr>
      </w:pPr>
      <w:r>
        <w:rPr>
          <w:rFonts w:hint="eastAsia"/>
          <w:sz w:val="24"/>
          <w:szCs w:val="24"/>
        </w:rPr>
        <w:t>一、货物名称：</w:t>
      </w:r>
      <w:r>
        <w:rPr>
          <w:rFonts w:hint="eastAsia"/>
          <w:sz w:val="24"/>
          <w:szCs w:val="24"/>
          <w:u w:val="single"/>
        </w:rPr>
        <w:t>缸盖制芯线工艺布局优化改造</w:t>
      </w:r>
      <w:r>
        <w:rPr>
          <w:rFonts w:hint="eastAsia"/>
          <w:sz w:val="24"/>
          <w:szCs w:val="24"/>
        </w:rPr>
        <w:t>（详见下表）</w:t>
      </w:r>
    </w:p>
    <w:p w14:paraId="3095F254">
      <w:pPr>
        <w:spacing w:line="360" w:lineRule="auto"/>
        <w:rPr>
          <w:rFonts w:ascii="宋体" w:hAnsi="宋体" w:cs="宋体"/>
          <w:sz w:val="24"/>
          <w:szCs w:val="24"/>
        </w:rPr>
      </w:pPr>
      <w:r>
        <w:rPr>
          <w:rFonts w:hint="eastAsia"/>
          <w:sz w:val="24"/>
          <w:szCs w:val="24"/>
        </w:rPr>
        <w:t>二、货物数量：</w:t>
      </w:r>
      <w:r>
        <w:rPr>
          <w:rFonts w:hint="eastAsia" w:ascii="宋体" w:hAnsi="宋体" w:cs="宋体"/>
          <w:sz w:val="24"/>
          <w:szCs w:val="24"/>
        </w:rPr>
        <w:t xml:space="preserve"> 1台套 （详见下表）</w:t>
      </w:r>
    </w:p>
    <w:p w14:paraId="7F4FF27A">
      <w:pPr>
        <w:spacing w:line="360" w:lineRule="auto"/>
        <w:rPr>
          <w:rFonts w:ascii="宋体" w:hAnsi="宋体" w:cs="宋体"/>
          <w:sz w:val="24"/>
          <w:szCs w:val="24"/>
        </w:rPr>
      </w:pPr>
      <w:r>
        <w:rPr>
          <w:rFonts w:hint="eastAsia"/>
          <w:sz w:val="24"/>
          <w:szCs w:val="24"/>
        </w:rPr>
        <w:t>三、分投分中：</w:t>
      </w:r>
      <w:r>
        <w:rPr>
          <w:rFonts w:hint="eastAsia" w:ascii="宋体" w:hAnsi="宋体" w:cs="宋体"/>
          <w:sz w:val="24"/>
          <w:szCs w:val="24"/>
        </w:rPr>
        <w:t>不允许。</w:t>
      </w:r>
    </w:p>
    <w:p w14:paraId="69949C05">
      <w:pPr>
        <w:pStyle w:val="2"/>
        <w:spacing w:line="360" w:lineRule="auto"/>
        <w:rPr>
          <w:sz w:val="24"/>
          <w:szCs w:val="24"/>
        </w:rPr>
      </w:pPr>
      <w:r>
        <w:rPr>
          <w:rFonts w:hint="eastAsia"/>
          <w:sz w:val="24"/>
          <w:szCs w:val="24"/>
        </w:rPr>
        <w:t>四、采购货物主要构成一览表</w:t>
      </w:r>
    </w:p>
    <w:tbl>
      <w:tblPr>
        <w:tblStyle w:val="30"/>
        <w:tblW w:w="9602" w:type="dxa"/>
        <w:tblInd w:w="0" w:type="dxa"/>
        <w:tblLayout w:type="autofit"/>
        <w:tblCellMar>
          <w:top w:w="0" w:type="dxa"/>
          <w:left w:w="108" w:type="dxa"/>
          <w:bottom w:w="0" w:type="dxa"/>
          <w:right w:w="108" w:type="dxa"/>
        </w:tblCellMar>
      </w:tblPr>
      <w:tblGrid>
        <w:gridCol w:w="846"/>
        <w:gridCol w:w="1701"/>
        <w:gridCol w:w="4536"/>
        <w:gridCol w:w="850"/>
        <w:gridCol w:w="1669"/>
      </w:tblGrid>
      <w:tr w14:paraId="57B47883">
        <w:tblPrEx>
          <w:tblCellMar>
            <w:top w:w="0" w:type="dxa"/>
            <w:left w:w="108" w:type="dxa"/>
            <w:bottom w:w="0" w:type="dxa"/>
            <w:right w:w="108" w:type="dxa"/>
          </w:tblCellMar>
        </w:tblPrEx>
        <w:trPr>
          <w:trHeight w:val="270" w:hRule="atLeast"/>
        </w:trPr>
        <w:tc>
          <w:tcPr>
            <w:tcW w:w="84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BC43B5F">
            <w:pPr>
              <w:widowControl/>
              <w:jc w:val="center"/>
              <w:rPr>
                <w:rFonts w:ascii="宋体" w:hAnsi="宋体" w:cs="宋体"/>
                <w:color w:val="000000"/>
                <w:kern w:val="0"/>
                <w:sz w:val="20"/>
              </w:rPr>
            </w:pPr>
            <w:r>
              <w:rPr>
                <w:rFonts w:hint="eastAsia" w:ascii="宋体" w:hAnsi="宋体" w:cs="宋体"/>
                <w:color w:val="000000"/>
                <w:kern w:val="0"/>
                <w:sz w:val="20"/>
              </w:rPr>
              <w:t>序号</w:t>
            </w:r>
          </w:p>
        </w:tc>
        <w:tc>
          <w:tcPr>
            <w:tcW w:w="1701" w:type="dxa"/>
            <w:tcBorders>
              <w:top w:val="single" w:color="auto" w:sz="4" w:space="0"/>
              <w:left w:val="nil"/>
              <w:bottom w:val="single" w:color="auto" w:sz="4" w:space="0"/>
              <w:right w:val="single" w:color="auto" w:sz="4" w:space="0"/>
            </w:tcBorders>
            <w:shd w:val="clear" w:color="auto" w:fill="auto"/>
            <w:vAlign w:val="center"/>
          </w:tcPr>
          <w:p w14:paraId="07460927">
            <w:pPr>
              <w:widowControl/>
              <w:jc w:val="center"/>
              <w:rPr>
                <w:rFonts w:ascii="宋体" w:hAnsi="宋体" w:cs="宋体"/>
                <w:color w:val="000000"/>
                <w:kern w:val="0"/>
                <w:sz w:val="20"/>
              </w:rPr>
            </w:pPr>
            <w:r>
              <w:rPr>
                <w:rFonts w:hint="eastAsia" w:ascii="宋体" w:hAnsi="宋体" w:cs="宋体"/>
                <w:color w:val="000000"/>
                <w:kern w:val="0"/>
                <w:sz w:val="20"/>
              </w:rPr>
              <w:t>项目内容</w:t>
            </w:r>
          </w:p>
        </w:tc>
        <w:tc>
          <w:tcPr>
            <w:tcW w:w="4536" w:type="dxa"/>
            <w:tcBorders>
              <w:top w:val="single" w:color="auto" w:sz="4" w:space="0"/>
              <w:left w:val="nil"/>
              <w:bottom w:val="single" w:color="auto" w:sz="4" w:space="0"/>
              <w:right w:val="single" w:color="auto" w:sz="4" w:space="0"/>
            </w:tcBorders>
            <w:shd w:val="clear" w:color="auto" w:fill="auto"/>
            <w:vAlign w:val="center"/>
          </w:tcPr>
          <w:p w14:paraId="7B97E94E">
            <w:pPr>
              <w:widowControl/>
              <w:jc w:val="center"/>
              <w:rPr>
                <w:rFonts w:ascii="宋体" w:hAnsi="宋体" w:cs="宋体"/>
                <w:color w:val="000000"/>
                <w:kern w:val="0"/>
                <w:sz w:val="20"/>
              </w:rPr>
            </w:pPr>
            <w:r>
              <w:rPr>
                <w:rFonts w:hint="eastAsia" w:ascii="宋体" w:hAnsi="宋体" w:cs="宋体"/>
                <w:color w:val="000000"/>
                <w:kern w:val="0"/>
                <w:sz w:val="20"/>
              </w:rPr>
              <w:t>规格型号</w:t>
            </w:r>
          </w:p>
        </w:tc>
        <w:tc>
          <w:tcPr>
            <w:tcW w:w="850" w:type="dxa"/>
            <w:tcBorders>
              <w:top w:val="single" w:color="auto" w:sz="4" w:space="0"/>
              <w:left w:val="nil"/>
              <w:bottom w:val="single" w:color="auto" w:sz="4" w:space="0"/>
              <w:right w:val="single" w:color="auto" w:sz="4" w:space="0"/>
            </w:tcBorders>
            <w:shd w:val="clear" w:color="auto" w:fill="auto"/>
            <w:noWrap/>
            <w:vAlign w:val="center"/>
          </w:tcPr>
          <w:p w14:paraId="51852525">
            <w:pPr>
              <w:widowControl/>
              <w:jc w:val="center"/>
              <w:rPr>
                <w:rFonts w:ascii="宋体" w:hAnsi="宋体" w:cs="宋体"/>
                <w:color w:val="000000"/>
                <w:kern w:val="0"/>
                <w:sz w:val="20"/>
              </w:rPr>
            </w:pPr>
            <w:r>
              <w:rPr>
                <w:rFonts w:hint="eastAsia" w:ascii="宋体" w:hAnsi="宋体" w:cs="宋体"/>
                <w:color w:val="000000"/>
                <w:kern w:val="0"/>
                <w:sz w:val="20"/>
              </w:rPr>
              <w:t>数量</w:t>
            </w:r>
          </w:p>
        </w:tc>
        <w:tc>
          <w:tcPr>
            <w:tcW w:w="1669" w:type="dxa"/>
            <w:tcBorders>
              <w:top w:val="single" w:color="auto" w:sz="4" w:space="0"/>
              <w:left w:val="nil"/>
              <w:bottom w:val="single" w:color="auto" w:sz="4" w:space="0"/>
              <w:right w:val="single" w:color="auto" w:sz="4" w:space="0"/>
            </w:tcBorders>
            <w:shd w:val="clear" w:color="auto" w:fill="auto"/>
            <w:noWrap/>
            <w:vAlign w:val="center"/>
          </w:tcPr>
          <w:p w14:paraId="417A54B9">
            <w:pPr>
              <w:widowControl/>
              <w:jc w:val="center"/>
              <w:rPr>
                <w:rFonts w:ascii="宋体" w:hAnsi="宋体" w:cs="宋体"/>
                <w:color w:val="000000"/>
                <w:kern w:val="0"/>
                <w:sz w:val="20"/>
              </w:rPr>
            </w:pPr>
            <w:r>
              <w:rPr>
                <w:rFonts w:hint="eastAsia" w:ascii="宋体" w:hAnsi="宋体" w:cs="宋体"/>
                <w:color w:val="000000"/>
                <w:kern w:val="0"/>
                <w:sz w:val="20"/>
              </w:rPr>
              <w:t>备注</w:t>
            </w:r>
          </w:p>
        </w:tc>
      </w:tr>
      <w:tr w14:paraId="3226CA62">
        <w:tblPrEx>
          <w:tblCellMar>
            <w:top w:w="0" w:type="dxa"/>
            <w:left w:w="108" w:type="dxa"/>
            <w:bottom w:w="0" w:type="dxa"/>
            <w:right w:w="108" w:type="dxa"/>
          </w:tblCellMar>
        </w:tblPrEx>
        <w:trPr>
          <w:trHeight w:val="720" w:hRule="atLeast"/>
        </w:trPr>
        <w:tc>
          <w:tcPr>
            <w:tcW w:w="846" w:type="dxa"/>
            <w:tcBorders>
              <w:top w:val="nil"/>
              <w:left w:val="single" w:color="auto" w:sz="4" w:space="0"/>
              <w:bottom w:val="single" w:color="auto" w:sz="4" w:space="0"/>
              <w:right w:val="single" w:color="auto" w:sz="4" w:space="0"/>
            </w:tcBorders>
            <w:shd w:val="clear" w:color="auto" w:fill="auto"/>
            <w:noWrap/>
            <w:vAlign w:val="center"/>
          </w:tcPr>
          <w:p w14:paraId="017B02ED">
            <w:pPr>
              <w:widowControl/>
              <w:jc w:val="center"/>
              <w:rPr>
                <w:rFonts w:ascii="宋体" w:hAnsi="宋体" w:cs="宋体"/>
                <w:color w:val="000000"/>
                <w:kern w:val="0"/>
                <w:sz w:val="20"/>
              </w:rPr>
            </w:pPr>
            <w:r>
              <w:rPr>
                <w:rFonts w:hint="eastAsia" w:ascii="宋体" w:hAnsi="宋体" w:cs="宋体"/>
                <w:color w:val="000000"/>
                <w:kern w:val="0"/>
                <w:sz w:val="20"/>
              </w:rPr>
              <w:t>1</w:t>
            </w:r>
          </w:p>
        </w:tc>
        <w:tc>
          <w:tcPr>
            <w:tcW w:w="1701" w:type="dxa"/>
            <w:tcBorders>
              <w:top w:val="nil"/>
              <w:left w:val="nil"/>
              <w:bottom w:val="single" w:color="auto" w:sz="4" w:space="0"/>
              <w:right w:val="single" w:color="auto" w:sz="4" w:space="0"/>
            </w:tcBorders>
            <w:shd w:val="clear" w:color="auto" w:fill="auto"/>
            <w:vAlign w:val="center"/>
          </w:tcPr>
          <w:p w14:paraId="522D3DF0">
            <w:pPr>
              <w:widowControl/>
              <w:jc w:val="center"/>
              <w:rPr>
                <w:rFonts w:ascii="宋体" w:hAnsi="宋体" w:cs="宋体"/>
                <w:color w:val="000000"/>
                <w:kern w:val="0"/>
                <w:sz w:val="20"/>
              </w:rPr>
            </w:pPr>
            <w:r>
              <w:rPr>
                <w:rFonts w:hint="eastAsia" w:ascii="宋体" w:hAnsi="宋体" w:cs="宋体"/>
                <w:color w:val="000000"/>
                <w:kern w:val="0"/>
                <w:sz w:val="20"/>
              </w:rPr>
              <w:t>炉前工位改造</w:t>
            </w:r>
          </w:p>
        </w:tc>
        <w:tc>
          <w:tcPr>
            <w:tcW w:w="4536" w:type="dxa"/>
            <w:tcBorders>
              <w:top w:val="nil"/>
              <w:left w:val="nil"/>
              <w:bottom w:val="single" w:color="auto" w:sz="4" w:space="0"/>
              <w:right w:val="single" w:color="auto" w:sz="4" w:space="0"/>
            </w:tcBorders>
            <w:shd w:val="clear" w:color="auto" w:fill="auto"/>
            <w:vAlign w:val="center"/>
          </w:tcPr>
          <w:p w14:paraId="3F059F99">
            <w:pPr>
              <w:widowControl/>
              <w:jc w:val="center"/>
              <w:rPr>
                <w:rFonts w:ascii="宋体" w:hAnsi="宋体" w:cs="宋体"/>
                <w:color w:val="000000"/>
                <w:kern w:val="0"/>
                <w:sz w:val="20"/>
              </w:rPr>
            </w:pPr>
            <w:r>
              <w:rPr>
                <w:rFonts w:hint="eastAsia" w:ascii="宋体" w:hAnsi="宋体" w:cs="宋体"/>
                <w:color w:val="000000"/>
                <w:kern w:val="0"/>
                <w:sz w:val="20"/>
              </w:rPr>
              <w:t>1、1台载荷500kg升降机；2、1台夹具快换定位储存系统；3、1个砂芯转运中转台；4、1副615缸盖芯转运夹具。</w:t>
            </w:r>
          </w:p>
        </w:tc>
        <w:tc>
          <w:tcPr>
            <w:tcW w:w="850" w:type="dxa"/>
            <w:tcBorders>
              <w:top w:val="nil"/>
              <w:left w:val="nil"/>
              <w:bottom w:val="single" w:color="auto" w:sz="4" w:space="0"/>
              <w:right w:val="single" w:color="auto" w:sz="4" w:space="0"/>
            </w:tcBorders>
            <w:shd w:val="clear" w:color="auto" w:fill="auto"/>
            <w:vAlign w:val="center"/>
          </w:tcPr>
          <w:p w14:paraId="46CF1409">
            <w:pPr>
              <w:widowControl/>
              <w:jc w:val="center"/>
              <w:rPr>
                <w:rFonts w:ascii="宋体" w:hAnsi="宋体" w:cs="宋体"/>
                <w:color w:val="000000"/>
                <w:kern w:val="0"/>
                <w:sz w:val="20"/>
              </w:rPr>
            </w:pPr>
            <w:r>
              <w:rPr>
                <w:rFonts w:hint="eastAsia" w:ascii="宋体" w:hAnsi="宋体" w:cs="宋体"/>
                <w:color w:val="000000"/>
                <w:kern w:val="0"/>
                <w:sz w:val="20"/>
              </w:rPr>
              <w:t>1台套</w:t>
            </w:r>
          </w:p>
        </w:tc>
        <w:tc>
          <w:tcPr>
            <w:tcW w:w="1669" w:type="dxa"/>
            <w:tcBorders>
              <w:top w:val="nil"/>
              <w:left w:val="nil"/>
              <w:bottom w:val="single" w:color="auto" w:sz="4" w:space="0"/>
              <w:right w:val="single" w:color="auto" w:sz="4" w:space="0"/>
            </w:tcBorders>
            <w:shd w:val="clear" w:color="auto" w:fill="auto"/>
            <w:vAlign w:val="center"/>
          </w:tcPr>
          <w:p w14:paraId="0284AEF5">
            <w:pPr>
              <w:widowControl/>
              <w:jc w:val="center"/>
              <w:rPr>
                <w:rFonts w:ascii="宋体" w:hAnsi="宋体" w:cs="宋体"/>
                <w:color w:val="000000"/>
                <w:kern w:val="0"/>
                <w:sz w:val="20"/>
              </w:rPr>
            </w:pPr>
            <w:r>
              <w:rPr>
                <w:rFonts w:hint="eastAsia" w:ascii="宋体" w:hAnsi="宋体" w:cs="宋体"/>
                <w:color w:val="000000"/>
                <w:kern w:val="0"/>
                <w:sz w:val="20"/>
              </w:rPr>
              <w:t>　</w:t>
            </w:r>
          </w:p>
        </w:tc>
      </w:tr>
      <w:tr w14:paraId="087C9700">
        <w:tblPrEx>
          <w:tblCellMar>
            <w:top w:w="0" w:type="dxa"/>
            <w:left w:w="108" w:type="dxa"/>
            <w:bottom w:w="0" w:type="dxa"/>
            <w:right w:w="108" w:type="dxa"/>
          </w:tblCellMar>
        </w:tblPrEx>
        <w:trPr>
          <w:trHeight w:val="720" w:hRule="atLeast"/>
        </w:trPr>
        <w:tc>
          <w:tcPr>
            <w:tcW w:w="846" w:type="dxa"/>
            <w:tcBorders>
              <w:top w:val="nil"/>
              <w:left w:val="single" w:color="auto" w:sz="4" w:space="0"/>
              <w:bottom w:val="single" w:color="auto" w:sz="4" w:space="0"/>
              <w:right w:val="single" w:color="auto" w:sz="4" w:space="0"/>
            </w:tcBorders>
            <w:shd w:val="clear" w:color="FFFFFF" w:fill="FFFFFF"/>
            <w:vAlign w:val="center"/>
          </w:tcPr>
          <w:p w14:paraId="64097591">
            <w:pPr>
              <w:widowControl/>
              <w:jc w:val="center"/>
              <w:rPr>
                <w:rFonts w:ascii="宋体" w:hAnsi="宋体" w:cs="宋体"/>
                <w:kern w:val="0"/>
                <w:sz w:val="20"/>
              </w:rPr>
            </w:pPr>
            <w:r>
              <w:rPr>
                <w:rFonts w:hint="eastAsia" w:ascii="宋体" w:hAnsi="宋体" w:cs="宋体"/>
                <w:kern w:val="0"/>
                <w:sz w:val="20"/>
              </w:rPr>
              <w:t>2</w:t>
            </w:r>
          </w:p>
        </w:tc>
        <w:tc>
          <w:tcPr>
            <w:tcW w:w="1701" w:type="dxa"/>
            <w:tcBorders>
              <w:top w:val="nil"/>
              <w:left w:val="nil"/>
              <w:bottom w:val="single" w:color="auto" w:sz="4" w:space="0"/>
              <w:right w:val="single" w:color="auto" w:sz="4" w:space="0"/>
            </w:tcBorders>
            <w:shd w:val="clear" w:color="auto" w:fill="auto"/>
            <w:vAlign w:val="center"/>
          </w:tcPr>
          <w:p w14:paraId="74B7CE5E">
            <w:pPr>
              <w:widowControl/>
              <w:jc w:val="center"/>
              <w:rPr>
                <w:rFonts w:ascii="宋体" w:hAnsi="宋体" w:cs="宋体"/>
                <w:color w:val="000000"/>
                <w:kern w:val="0"/>
                <w:sz w:val="20"/>
              </w:rPr>
            </w:pPr>
            <w:r>
              <w:rPr>
                <w:rFonts w:hint="eastAsia" w:ascii="宋体" w:hAnsi="宋体" w:cs="宋体"/>
                <w:color w:val="000000"/>
                <w:kern w:val="0"/>
                <w:sz w:val="20"/>
              </w:rPr>
              <w:t>新增炉后辊道线</w:t>
            </w:r>
          </w:p>
        </w:tc>
        <w:tc>
          <w:tcPr>
            <w:tcW w:w="4536" w:type="dxa"/>
            <w:tcBorders>
              <w:top w:val="nil"/>
              <w:left w:val="nil"/>
              <w:bottom w:val="single" w:color="auto" w:sz="4" w:space="0"/>
              <w:right w:val="single" w:color="auto" w:sz="4" w:space="0"/>
            </w:tcBorders>
            <w:shd w:val="clear" w:color="auto" w:fill="auto"/>
            <w:vAlign w:val="center"/>
          </w:tcPr>
          <w:p w14:paraId="69E66001">
            <w:pPr>
              <w:widowControl/>
              <w:jc w:val="center"/>
              <w:rPr>
                <w:rFonts w:ascii="宋体" w:hAnsi="宋体" w:cs="宋体"/>
                <w:color w:val="000000"/>
                <w:kern w:val="0"/>
                <w:sz w:val="20"/>
              </w:rPr>
            </w:pPr>
            <w:r>
              <w:rPr>
                <w:rFonts w:hint="eastAsia" w:ascii="宋体" w:hAnsi="宋体" w:cs="宋体"/>
                <w:color w:val="000000"/>
                <w:kern w:val="0"/>
                <w:sz w:val="20"/>
              </w:rPr>
              <w:t>1、13米双层辊道线；2、2台砂芯定位校准装置；3、3台托板定位装置；4、4台循环辊道线缓冲装置及6套砂芯定位装置。</w:t>
            </w:r>
          </w:p>
        </w:tc>
        <w:tc>
          <w:tcPr>
            <w:tcW w:w="850" w:type="dxa"/>
            <w:tcBorders>
              <w:top w:val="nil"/>
              <w:left w:val="nil"/>
              <w:bottom w:val="single" w:color="auto" w:sz="4" w:space="0"/>
              <w:right w:val="single" w:color="auto" w:sz="4" w:space="0"/>
            </w:tcBorders>
            <w:shd w:val="clear" w:color="auto" w:fill="auto"/>
            <w:vAlign w:val="center"/>
          </w:tcPr>
          <w:p w14:paraId="635500D7">
            <w:pPr>
              <w:widowControl/>
              <w:jc w:val="center"/>
              <w:rPr>
                <w:rFonts w:ascii="宋体" w:hAnsi="宋体" w:cs="宋体"/>
                <w:color w:val="000000"/>
                <w:kern w:val="0"/>
                <w:sz w:val="20"/>
              </w:rPr>
            </w:pPr>
            <w:r>
              <w:rPr>
                <w:rFonts w:hint="eastAsia" w:ascii="宋体" w:hAnsi="宋体" w:cs="宋体"/>
                <w:color w:val="000000"/>
                <w:kern w:val="0"/>
                <w:sz w:val="20"/>
              </w:rPr>
              <w:t>1台套</w:t>
            </w:r>
          </w:p>
        </w:tc>
        <w:tc>
          <w:tcPr>
            <w:tcW w:w="1669" w:type="dxa"/>
            <w:tcBorders>
              <w:top w:val="nil"/>
              <w:left w:val="nil"/>
              <w:bottom w:val="single" w:color="auto" w:sz="4" w:space="0"/>
              <w:right w:val="single" w:color="auto" w:sz="4" w:space="0"/>
            </w:tcBorders>
            <w:shd w:val="clear" w:color="auto" w:fill="auto"/>
            <w:vAlign w:val="center"/>
          </w:tcPr>
          <w:p w14:paraId="1E26107A">
            <w:pPr>
              <w:widowControl/>
              <w:jc w:val="center"/>
              <w:rPr>
                <w:rFonts w:ascii="宋体" w:hAnsi="宋体" w:cs="宋体"/>
                <w:color w:val="000000"/>
                <w:kern w:val="0"/>
                <w:sz w:val="20"/>
              </w:rPr>
            </w:pPr>
            <w:r>
              <w:rPr>
                <w:rFonts w:hint="eastAsia" w:ascii="宋体" w:hAnsi="宋体" w:cs="宋体"/>
                <w:color w:val="000000"/>
                <w:kern w:val="0"/>
                <w:sz w:val="20"/>
              </w:rPr>
              <w:t>　</w:t>
            </w:r>
          </w:p>
        </w:tc>
      </w:tr>
      <w:tr w14:paraId="47F901A8">
        <w:tblPrEx>
          <w:tblCellMar>
            <w:top w:w="0" w:type="dxa"/>
            <w:left w:w="108" w:type="dxa"/>
            <w:bottom w:w="0" w:type="dxa"/>
            <w:right w:w="108" w:type="dxa"/>
          </w:tblCellMar>
        </w:tblPrEx>
        <w:trPr>
          <w:trHeight w:val="480" w:hRule="atLeast"/>
        </w:trPr>
        <w:tc>
          <w:tcPr>
            <w:tcW w:w="846" w:type="dxa"/>
            <w:tcBorders>
              <w:top w:val="nil"/>
              <w:left w:val="single" w:color="auto" w:sz="4" w:space="0"/>
              <w:bottom w:val="single" w:color="auto" w:sz="4" w:space="0"/>
              <w:right w:val="single" w:color="auto" w:sz="4" w:space="0"/>
            </w:tcBorders>
            <w:shd w:val="clear" w:color="auto" w:fill="auto"/>
            <w:vAlign w:val="center"/>
          </w:tcPr>
          <w:p w14:paraId="6FA441FD">
            <w:pPr>
              <w:widowControl/>
              <w:jc w:val="center"/>
              <w:rPr>
                <w:rFonts w:ascii="宋体" w:hAnsi="宋体" w:cs="宋体"/>
                <w:kern w:val="0"/>
                <w:sz w:val="20"/>
              </w:rPr>
            </w:pPr>
            <w:r>
              <w:rPr>
                <w:rFonts w:hint="eastAsia" w:ascii="宋体" w:hAnsi="宋体" w:cs="宋体"/>
                <w:kern w:val="0"/>
                <w:sz w:val="20"/>
              </w:rPr>
              <w:t>3</w:t>
            </w:r>
          </w:p>
        </w:tc>
        <w:tc>
          <w:tcPr>
            <w:tcW w:w="1701" w:type="dxa"/>
            <w:tcBorders>
              <w:top w:val="nil"/>
              <w:left w:val="nil"/>
              <w:bottom w:val="single" w:color="auto" w:sz="4" w:space="0"/>
              <w:right w:val="single" w:color="auto" w:sz="4" w:space="0"/>
            </w:tcBorders>
            <w:shd w:val="clear" w:color="auto" w:fill="auto"/>
            <w:vAlign w:val="center"/>
          </w:tcPr>
          <w:p w14:paraId="5C75D93A">
            <w:pPr>
              <w:widowControl/>
              <w:jc w:val="center"/>
              <w:rPr>
                <w:rFonts w:ascii="宋体" w:hAnsi="宋体" w:cs="宋体"/>
                <w:color w:val="000000"/>
                <w:kern w:val="0"/>
                <w:sz w:val="20"/>
              </w:rPr>
            </w:pPr>
            <w:r>
              <w:rPr>
                <w:rFonts w:hint="eastAsia" w:ascii="宋体" w:hAnsi="宋体" w:cs="宋体"/>
                <w:color w:val="000000"/>
                <w:kern w:val="0"/>
                <w:sz w:val="20"/>
              </w:rPr>
              <w:t>机器人模块</w:t>
            </w:r>
          </w:p>
        </w:tc>
        <w:tc>
          <w:tcPr>
            <w:tcW w:w="4536" w:type="dxa"/>
            <w:tcBorders>
              <w:top w:val="nil"/>
              <w:left w:val="nil"/>
              <w:bottom w:val="single" w:color="auto" w:sz="4" w:space="0"/>
              <w:right w:val="single" w:color="auto" w:sz="4" w:space="0"/>
            </w:tcBorders>
            <w:shd w:val="clear" w:color="auto" w:fill="auto"/>
            <w:vAlign w:val="center"/>
          </w:tcPr>
          <w:p w14:paraId="7F8CB959">
            <w:pPr>
              <w:widowControl/>
              <w:jc w:val="center"/>
              <w:rPr>
                <w:rFonts w:ascii="宋体" w:hAnsi="宋体" w:cs="宋体"/>
                <w:color w:val="000000"/>
                <w:kern w:val="0"/>
                <w:sz w:val="20"/>
              </w:rPr>
            </w:pPr>
            <w:r>
              <w:rPr>
                <w:rFonts w:hint="eastAsia" w:ascii="宋体" w:hAnsi="宋体" w:cs="宋体"/>
                <w:color w:val="000000"/>
                <w:kern w:val="0"/>
                <w:sz w:val="20"/>
              </w:rPr>
              <w:t>1、KUKA转运机器人搬迁、安装，包括机器人底座、安装底板等；</w:t>
            </w:r>
            <w:r>
              <w:rPr>
                <w:rFonts w:ascii="宋体" w:hAnsi="宋体" w:cs="宋体"/>
                <w:color w:val="000000"/>
                <w:kern w:val="0"/>
                <w:sz w:val="20"/>
              </w:rPr>
              <w:t>2</w:t>
            </w:r>
            <w:r>
              <w:rPr>
                <w:rFonts w:hint="eastAsia" w:ascii="宋体" w:hAnsi="宋体" w:cs="宋体"/>
                <w:color w:val="000000"/>
                <w:kern w:val="0"/>
                <w:sz w:val="20"/>
              </w:rPr>
              <w:t>、机器人安全围栏。</w:t>
            </w:r>
          </w:p>
        </w:tc>
        <w:tc>
          <w:tcPr>
            <w:tcW w:w="850" w:type="dxa"/>
            <w:tcBorders>
              <w:top w:val="nil"/>
              <w:left w:val="nil"/>
              <w:bottom w:val="single" w:color="auto" w:sz="4" w:space="0"/>
              <w:right w:val="single" w:color="auto" w:sz="4" w:space="0"/>
            </w:tcBorders>
            <w:shd w:val="clear" w:color="auto" w:fill="auto"/>
            <w:vAlign w:val="center"/>
          </w:tcPr>
          <w:p w14:paraId="47EE13E1">
            <w:pPr>
              <w:widowControl/>
              <w:jc w:val="center"/>
              <w:rPr>
                <w:rFonts w:ascii="宋体" w:hAnsi="宋体" w:cs="宋体"/>
                <w:color w:val="000000"/>
                <w:kern w:val="0"/>
                <w:sz w:val="20"/>
              </w:rPr>
            </w:pPr>
            <w:r>
              <w:rPr>
                <w:rFonts w:hint="eastAsia" w:ascii="宋体" w:hAnsi="宋体" w:cs="宋体"/>
                <w:color w:val="000000"/>
                <w:kern w:val="0"/>
                <w:sz w:val="20"/>
              </w:rPr>
              <w:t>1台套</w:t>
            </w:r>
          </w:p>
        </w:tc>
        <w:tc>
          <w:tcPr>
            <w:tcW w:w="1669" w:type="dxa"/>
            <w:tcBorders>
              <w:top w:val="nil"/>
              <w:left w:val="nil"/>
              <w:bottom w:val="single" w:color="auto" w:sz="4" w:space="0"/>
              <w:right w:val="single" w:color="auto" w:sz="4" w:space="0"/>
            </w:tcBorders>
            <w:shd w:val="clear" w:color="auto" w:fill="auto"/>
            <w:vAlign w:val="center"/>
          </w:tcPr>
          <w:p w14:paraId="2060D623">
            <w:pPr>
              <w:widowControl/>
              <w:jc w:val="center"/>
              <w:rPr>
                <w:rFonts w:ascii="宋体" w:hAnsi="宋体" w:cs="宋体"/>
                <w:color w:val="000000"/>
                <w:kern w:val="0"/>
                <w:sz w:val="20"/>
              </w:rPr>
            </w:pPr>
            <w:r>
              <w:rPr>
                <w:rFonts w:hint="eastAsia" w:ascii="宋体" w:hAnsi="宋体" w:cs="宋体"/>
                <w:color w:val="000000"/>
                <w:kern w:val="0"/>
                <w:sz w:val="20"/>
              </w:rPr>
              <w:t>　</w:t>
            </w:r>
          </w:p>
        </w:tc>
      </w:tr>
      <w:tr w14:paraId="04243EAD">
        <w:tblPrEx>
          <w:tblCellMar>
            <w:top w:w="0" w:type="dxa"/>
            <w:left w:w="108" w:type="dxa"/>
            <w:bottom w:w="0" w:type="dxa"/>
            <w:right w:w="108" w:type="dxa"/>
          </w:tblCellMar>
        </w:tblPrEx>
        <w:trPr>
          <w:trHeight w:val="720" w:hRule="atLeast"/>
        </w:trPr>
        <w:tc>
          <w:tcPr>
            <w:tcW w:w="846" w:type="dxa"/>
            <w:tcBorders>
              <w:top w:val="nil"/>
              <w:left w:val="single" w:color="auto" w:sz="4" w:space="0"/>
              <w:bottom w:val="single" w:color="auto" w:sz="4" w:space="0"/>
              <w:right w:val="single" w:color="auto" w:sz="4" w:space="0"/>
            </w:tcBorders>
            <w:shd w:val="clear" w:color="FFFFFF" w:fill="FFFFFF"/>
            <w:vAlign w:val="center"/>
          </w:tcPr>
          <w:p w14:paraId="60A8A7D1">
            <w:pPr>
              <w:widowControl/>
              <w:jc w:val="center"/>
              <w:rPr>
                <w:rFonts w:ascii="宋体" w:hAnsi="宋体" w:cs="宋体"/>
                <w:kern w:val="0"/>
                <w:sz w:val="20"/>
              </w:rPr>
            </w:pPr>
            <w:r>
              <w:rPr>
                <w:rFonts w:hint="eastAsia" w:ascii="宋体" w:hAnsi="宋体" w:cs="宋体"/>
                <w:kern w:val="0"/>
                <w:sz w:val="20"/>
              </w:rPr>
              <w:t>4</w:t>
            </w:r>
          </w:p>
        </w:tc>
        <w:tc>
          <w:tcPr>
            <w:tcW w:w="1701" w:type="dxa"/>
            <w:tcBorders>
              <w:top w:val="nil"/>
              <w:left w:val="nil"/>
              <w:bottom w:val="single" w:color="auto" w:sz="4" w:space="0"/>
              <w:right w:val="single" w:color="auto" w:sz="4" w:space="0"/>
            </w:tcBorders>
            <w:shd w:val="clear" w:color="auto" w:fill="auto"/>
            <w:vAlign w:val="center"/>
          </w:tcPr>
          <w:p w14:paraId="49CB7C29">
            <w:pPr>
              <w:widowControl/>
              <w:jc w:val="center"/>
              <w:rPr>
                <w:rFonts w:ascii="宋体" w:hAnsi="宋体" w:cs="宋体"/>
                <w:color w:val="000000"/>
                <w:kern w:val="0"/>
                <w:sz w:val="20"/>
              </w:rPr>
            </w:pPr>
            <w:r>
              <w:rPr>
                <w:rFonts w:hint="eastAsia" w:ascii="宋体" w:hAnsi="宋体" w:cs="宋体"/>
                <w:color w:val="000000"/>
                <w:kern w:val="0"/>
                <w:sz w:val="20"/>
              </w:rPr>
              <w:t>电控系统</w:t>
            </w:r>
          </w:p>
        </w:tc>
        <w:tc>
          <w:tcPr>
            <w:tcW w:w="4536" w:type="dxa"/>
            <w:tcBorders>
              <w:top w:val="nil"/>
              <w:left w:val="nil"/>
              <w:bottom w:val="single" w:color="auto" w:sz="4" w:space="0"/>
              <w:right w:val="single" w:color="auto" w:sz="4" w:space="0"/>
            </w:tcBorders>
            <w:shd w:val="clear" w:color="auto" w:fill="auto"/>
            <w:vAlign w:val="center"/>
          </w:tcPr>
          <w:p w14:paraId="0B070E2F">
            <w:pPr>
              <w:widowControl/>
              <w:jc w:val="center"/>
              <w:rPr>
                <w:rFonts w:ascii="宋体" w:hAnsi="宋体" w:cs="宋体"/>
                <w:color w:val="000000"/>
                <w:kern w:val="0"/>
                <w:sz w:val="20"/>
              </w:rPr>
            </w:pPr>
            <w:r>
              <w:rPr>
                <w:rFonts w:hint="eastAsia" w:ascii="宋体" w:hAnsi="宋体" w:cs="宋体"/>
                <w:color w:val="000000"/>
                <w:kern w:val="0"/>
                <w:sz w:val="20"/>
              </w:rPr>
              <w:t>1、电气系统设计；2、新增电控柜及配置电气元件；3、本项目新增设备与现有设备的电缆线连接；4、所有电缆传感器、电缆、桥架、线管等。</w:t>
            </w:r>
          </w:p>
        </w:tc>
        <w:tc>
          <w:tcPr>
            <w:tcW w:w="850" w:type="dxa"/>
            <w:tcBorders>
              <w:top w:val="nil"/>
              <w:left w:val="nil"/>
              <w:bottom w:val="single" w:color="auto" w:sz="4" w:space="0"/>
              <w:right w:val="single" w:color="auto" w:sz="4" w:space="0"/>
            </w:tcBorders>
            <w:shd w:val="clear" w:color="auto" w:fill="auto"/>
            <w:vAlign w:val="center"/>
          </w:tcPr>
          <w:p w14:paraId="092D7107">
            <w:pPr>
              <w:widowControl/>
              <w:jc w:val="center"/>
              <w:rPr>
                <w:rFonts w:ascii="宋体" w:hAnsi="宋体" w:cs="宋体"/>
                <w:color w:val="000000"/>
                <w:kern w:val="0"/>
                <w:sz w:val="20"/>
              </w:rPr>
            </w:pPr>
            <w:r>
              <w:rPr>
                <w:rFonts w:hint="eastAsia" w:ascii="宋体" w:hAnsi="宋体" w:cs="宋体"/>
                <w:color w:val="000000"/>
                <w:kern w:val="0"/>
                <w:sz w:val="20"/>
              </w:rPr>
              <w:t>1台套</w:t>
            </w:r>
          </w:p>
        </w:tc>
        <w:tc>
          <w:tcPr>
            <w:tcW w:w="1669" w:type="dxa"/>
            <w:tcBorders>
              <w:top w:val="nil"/>
              <w:left w:val="nil"/>
              <w:bottom w:val="single" w:color="auto" w:sz="4" w:space="0"/>
              <w:right w:val="single" w:color="auto" w:sz="4" w:space="0"/>
            </w:tcBorders>
            <w:shd w:val="clear" w:color="auto" w:fill="auto"/>
            <w:vAlign w:val="center"/>
          </w:tcPr>
          <w:p w14:paraId="2E855E68">
            <w:pPr>
              <w:widowControl/>
              <w:jc w:val="center"/>
              <w:rPr>
                <w:rFonts w:ascii="宋体" w:hAnsi="宋体" w:cs="宋体"/>
                <w:color w:val="000000"/>
                <w:kern w:val="0"/>
                <w:sz w:val="20"/>
              </w:rPr>
            </w:pPr>
            <w:r>
              <w:rPr>
                <w:rFonts w:hint="eastAsia" w:ascii="宋体" w:hAnsi="宋体" w:cs="宋体"/>
                <w:color w:val="000000"/>
                <w:kern w:val="0"/>
                <w:sz w:val="20"/>
              </w:rPr>
              <w:t>　</w:t>
            </w:r>
          </w:p>
        </w:tc>
      </w:tr>
      <w:tr w14:paraId="2E69F6C1">
        <w:tblPrEx>
          <w:tblCellMar>
            <w:top w:w="0" w:type="dxa"/>
            <w:left w:w="108" w:type="dxa"/>
            <w:bottom w:w="0" w:type="dxa"/>
            <w:right w:w="108" w:type="dxa"/>
          </w:tblCellMar>
        </w:tblPrEx>
        <w:trPr>
          <w:trHeight w:val="480" w:hRule="atLeast"/>
        </w:trPr>
        <w:tc>
          <w:tcPr>
            <w:tcW w:w="846" w:type="dxa"/>
            <w:tcBorders>
              <w:top w:val="nil"/>
              <w:left w:val="single" w:color="auto" w:sz="4" w:space="0"/>
              <w:bottom w:val="single" w:color="auto" w:sz="4" w:space="0"/>
              <w:right w:val="single" w:color="auto" w:sz="4" w:space="0"/>
            </w:tcBorders>
            <w:shd w:val="clear" w:color="FFFFFF" w:fill="FFFFFF"/>
            <w:vAlign w:val="center"/>
          </w:tcPr>
          <w:p w14:paraId="1C5ACC8A">
            <w:pPr>
              <w:widowControl/>
              <w:jc w:val="center"/>
              <w:rPr>
                <w:rFonts w:ascii="宋体" w:hAnsi="宋体" w:cs="宋体"/>
                <w:kern w:val="0"/>
                <w:sz w:val="20"/>
              </w:rPr>
            </w:pPr>
            <w:r>
              <w:rPr>
                <w:rFonts w:ascii="宋体" w:hAnsi="宋体" w:cs="宋体"/>
                <w:kern w:val="0"/>
                <w:sz w:val="20"/>
              </w:rPr>
              <w:t>5</w:t>
            </w:r>
          </w:p>
        </w:tc>
        <w:tc>
          <w:tcPr>
            <w:tcW w:w="1701" w:type="dxa"/>
            <w:tcBorders>
              <w:top w:val="nil"/>
              <w:left w:val="nil"/>
              <w:bottom w:val="single" w:color="auto" w:sz="4" w:space="0"/>
              <w:right w:val="single" w:color="auto" w:sz="4" w:space="0"/>
            </w:tcBorders>
            <w:shd w:val="clear" w:color="auto" w:fill="auto"/>
            <w:vAlign w:val="center"/>
          </w:tcPr>
          <w:p w14:paraId="7E2A5C7B">
            <w:pPr>
              <w:widowControl/>
              <w:jc w:val="center"/>
              <w:rPr>
                <w:rFonts w:ascii="宋体" w:hAnsi="宋体" w:cs="宋体"/>
                <w:color w:val="000000"/>
                <w:kern w:val="0"/>
                <w:sz w:val="20"/>
              </w:rPr>
            </w:pPr>
            <w:r>
              <w:rPr>
                <w:rFonts w:hint="eastAsia" w:ascii="宋体" w:hAnsi="宋体" w:cs="宋体"/>
                <w:color w:val="000000"/>
                <w:kern w:val="0"/>
                <w:sz w:val="20"/>
              </w:rPr>
              <w:t>公用设施</w:t>
            </w:r>
          </w:p>
        </w:tc>
        <w:tc>
          <w:tcPr>
            <w:tcW w:w="4536" w:type="dxa"/>
            <w:tcBorders>
              <w:top w:val="nil"/>
              <w:left w:val="nil"/>
              <w:bottom w:val="single" w:color="auto" w:sz="4" w:space="0"/>
              <w:right w:val="single" w:color="auto" w:sz="4" w:space="0"/>
            </w:tcBorders>
            <w:shd w:val="clear" w:color="auto" w:fill="auto"/>
            <w:vAlign w:val="center"/>
          </w:tcPr>
          <w:p w14:paraId="141F697E">
            <w:pPr>
              <w:widowControl/>
              <w:rPr>
                <w:rFonts w:ascii="宋体" w:hAnsi="宋体" w:cs="宋体"/>
                <w:color w:val="000000"/>
                <w:kern w:val="0"/>
                <w:sz w:val="20"/>
              </w:rPr>
            </w:pPr>
            <w:r>
              <w:rPr>
                <w:rFonts w:hint="eastAsia" w:ascii="宋体" w:hAnsi="宋体" w:cs="宋体"/>
                <w:color w:val="000000"/>
                <w:kern w:val="0"/>
                <w:sz w:val="20"/>
              </w:rPr>
              <w:t>1、设备基础；2、供电电缆及敷设。</w:t>
            </w:r>
          </w:p>
        </w:tc>
        <w:tc>
          <w:tcPr>
            <w:tcW w:w="850" w:type="dxa"/>
            <w:tcBorders>
              <w:top w:val="nil"/>
              <w:left w:val="nil"/>
              <w:bottom w:val="single" w:color="auto" w:sz="4" w:space="0"/>
              <w:right w:val="single" w:color="auto" w:sz="4" w:space="0"/>
            </w:tcBorders>
            <w:shd w:val="clear" w:color="auto" w:fill="auto"/>
            <w:noWrap/>
            <w:vAlign w:val="center"/>
          </w:tcPr>
          <w:p w14:paraId="0663A51A">
            <w:pPr>
              <w:widowControl/>
              <w:jc w:val="center"/>
              <w:rPr>
                <w:rFonts w:ascii="宋体" w:hAnsi="宋体" w:cs="宋体"/>
                <w:color w:val="000000"/>
                <w:kern w:val="0"/>
                <w:sz w:val="20"/>
              </w:rPr>
            </w:pPr>
            <w:r>
              <w:rPr>
                <w:rFonts w:hint="eastAsia" w:ascii="宋体" w:hAnsi="宋体" w:cs="宋体"/>
                <w:color w:val="000000"/>
                <w:kern w:val="0"/>
                <w:sz w:val="20"/>
              </w:rPr>
              <w:t>1项</w:t>
            </w:r>
          </w:p>
        </w:tc>
        <w:tc>
          <w:tcPr>
            <w:tcW w:w="1669" w:type="dxa"/>
            <w:tcBorders>
              <w:top w:val="nil"/>
              <w:left w:val="nil"/>
              <w:bottom w:val="single" w:color="auto" w:sz="4" w:space="0"/>
              <w:right w:val="single" w:color="auto" w:sz="4" w:space="0"/>
            </w:tcBorders>
            <w:shd w:val="clear" w:color="auto" w:fill="auto"/>
            <w:vAlign w:val="center"/>
          </w:tcPr>
          <w:p w14:paraId="309FB836">
            <w:pPr>
              <w:widowControl/>
              <w:jc w:val="center"/>
              <w:rPr>
                <w:rFonts w:ascii="宋体" w:hAnsi="宋体" w:cs="宋体"/>
                <w:color w:val="000000"/>
                <w:kern w:val="0"/>
                <w:sz w:val="20"/>
              </w:rPr>
            </w:pPr>
            <w:r>
              <w:rPr>
                <w:rFonts w:hint="eastAsia" w:ascii="宋体" w:hAnsi="宋体" w:cs="宋体"/>
                <w:color w:val="000000"/>
                <w:kern w:val="0"/>
                <w:sz w:val="20"/>
              </w:rPr>
              <w:t>　</w:t>
            </w:r>
          </w:p>
        </w:tc>
      </w:tr>
      <w:tr w14:paraId="46FB0FD6">
        <w:tblPrEx>
          <w:tblCellMar>
            <w:top w:w="0" w:type="dxa"/>
            <w:left w:w="108" w:type="dxa"/>
            <w:bottom w:w="0" w:type="dxa"/>
            <w:right w:w="108" w:type="dxa"/>
          </w:tblCellMar>
        </w:tblPrEx>
        <w:trPr>
          <w:trHeight w:val="645" w:hRule="atLeast"/>
        </w:trPr>
        <w:tc>
          <w:tcPr>
            <w:tcW w:w="846" w:type="dxa"/>
            <w:tcBorders>
              <w:top w:val="nil"/>
              <w:left w:val="single" w:color="auto" w:sz="4" w:space="0"/>
              <w:bottom w:val="single" w:color="auto" w:sz="4" w:space="0"/>
              <w:right w:val="single" w:color="auto" w:sz="4" w:space="0"/>
            </w:tcBorders>
            <w:shd w:val="clear" w:color="FFFFFF" w:fill="FFFFFF"/>
            <w:vAlign w:val="center"/>
          </w:tcPr>
          <w:p w14:paraId="5AAAB719">
            <w:pPr>
              <w:widowControl/>
              <w:jc w:val="center"/>
              <w:rPr>
                <w:rFonts w:ascii="宋体" w:hAnsi="宋体" w:cs="宋体"/>
                <w:b/>
                <w:bCs/>
                <w:kern w:val="0"/>
                <w:sz w:val="20"/>
              </w:rPr>
            </w:pPr>
            <w:r>
              <w:rPr>
                <w:rFonts w:ascii="宋体" w:hAnsi="宋体" w:cs="宋体"/>
                <w:b/>
                <w:bCs/>
                <w:kern w:val="0"/>
                <w:sz w:val="20"/>
              </w:rPr>
              <w:t>6</w:t>
            </w:r>
          </w:p>
        </w:tc>
        <w:tc>
          <w:tcPr>
            <w:tcW w:w="1701" w:type="dxa"/>
            <w:tcBorders>
              <w:top w:val="nil"/>
              <w:left w:val="nil"/>
              <w:bottom w:val="single" w:color="auto" w:sz="4" w:space="0"/>
              <w:right w:val="single" w:color="auto" w:sz="4" w:space="0"/>
            </w:tcBorders>
            <w:shd w:val="clear" w:color="auto" w:fill="auto"/>
            <w:vAlign w:val="center"/>
          </w:tcPr>
          <w:p w14:paraId="3CA1B0CC">
            <w:pPr>
              <w:widowControl/>
              <w:jc w:val="center"/>
              <w:rPr>
                <w:rFonts w:ascii="宋体" w:hAnsi="宋体" w:cs="宋体"/>
                <w:color w:val="000000"/>
                <w:kern w:val="0"/>
                <w:sz w:val="20"/>
              </w:rPr>
            </w:pPr>
            <w:r>
              <w:rPr>
                <w:rFonts w:hint="eastAsia" w:ascii="宋体" w:hAnsi="宋体" w:cs="宋体"/>
                <w:color w:val="000000"/>
                <w:kern w:val="0"/>
                <w:sz w:val="20"/>
              </w:rPr>
              <w:t>包装运输</w:t>
            </w:r>
          </w:p>
        </w:tc>
        <w:tc>
          <w:tcPr>
            <w:tcW w:w="4536" w:type="dxa"/>
            <w:tcBorders>
              <w:top w:val="nil"/>
              <w:left w:val="nil"/>
              <w:bottom w:val="single" w:color="auto" w:sz="4" w:space="0"/>
              <w:right w:val="single" w:color="auto" w:sz="4" w:space="0"/>
            </w:tcBorders>
            <w:shd w:val="clear" w:color="auto" w:fill="auto"/>
            <w:vAlign w:val="center"/>
          </w:tcPr>
          <w:p w14:paraId="20C36630">
            <w:pPr>
              <w:widowControl/>
              <w:jc w:val="center"/>
              <w:rPr>
                <w:rFonts w:ascii="宋体" w:hAnsi="宋体" w:cs="宋体"/>
                <w:color w:val="000000"/>
                <w:kern w:val="0"/>
                <w:sz w:val="20"/>
              </w:rPr>
            </w:pPr>
            <w:r>
              <w:rPr>
                <w:rFonts w:hint="eastAsia" w:ascii="宋体" w:hAnsi="宋体" w:cs="宋体"/>
                <w:color w:val="000000"/>
                <w:kern w:val="0"/>
                <w:sz w:val="20"/>
              </w:rPr>
              <w:t>设备包装并发送到萧山的运费。</w:t>
            </w:r>
          </w:p>
        </w:tc>
        <w:tc>
          <w:tcPr>
            <w:tcW w:w="850" w:type="dxa"/>
            <w:tcBorders>
              <w:top w:val="nil"/>
              <w:left w:val="nil"/>
              <w:bottom w:val="single" w:color="auto" w:sz="4" w:space="0"/>
              <w:right w:val="single" w:color="auto" w:sz="4" w:space="0"/>
            </w:tcBorders>
            <w:shd w:val="clear" w:color="auto" w:fill="auto"/>
            <w:noWrap/>
            <w:vAlign w:val="center"/>
          </w:tcPr>
          <w:p w14:paraId="33F5C807">
            <w:pPr>
              <w:widowControl/>
              <w:jc w:val="center"/>
              <w:rPr>
                <w:rFonts w:ascii="宋体" w:hAnsi="宋体" w:cs="宋体"/>
                <w:color w:val="000000"/>
                <w:kern w:val="0"/>
                <w:sz w:val="20"/>
              </w:rPr>
            </w:pPr>
            <w:r>
              <w:rPr>
                <w:rFonts w:hint="eastAsia" w:ascii="宋体" w:hAnsi="宋体" w:cs="宋体"/>
                <w:color w:val="000000"/>
                <w:kern w:val="0"/>
                <w:sz w:val="20"/>
              </w:rPr>
              <w:t>1项</w:t>
            </w:r>
          </w:p>
        </w:tc>
        <w:tc>
          <w:tcPr>
            <w:tcW w:w="1669" w:type="dxa"/>
            <w:tcBorders>
              <w:top w:val="nil"/>
              <w:left w:val="nil"/>
              <w:bottom w:val="single" w:color="auto" w:sz="4" w:space="0"/>
              <w:right w:val="single" w:color="auto" w:sz="4" w:space="0"/>
            </w:tcBorders>
            <w:shd w:val="clear" w:color="auto" w:fill="auto"/>
            <w:noWrap/>
            <w:vAlign w:val="center"/>
          </w:tcPr>
          <w:p w14:paraId="4A4C628C">
            <w:pPr>
              <w:widowControl/>
              <w:rPr>
                <w:rFonts w:ascii="宋体" w:hAnsi="宋体" w:cs="宋体"/>
                <w:color w:val="000000"/>
                <w:kern w:val="0"/>
                <w:sz w:val="20"/>
              </w:rPr>
            </w:pPr>
            <w:r>
              <w:rPr>
                <w:rFonts w:hint="eastAsia" w:ascii="宋体" w:hAnsi="宋体" w:cs="宋体"/>
                <w:color w:val="000000"/>
                <w:kern w:val="0"/>
                <w:sz w:val="20"/>
              </w:rPr>
              <w:t>　</w:t>
            </w:r>
          </w:p>
        </w:tc>
      </w:tr>
      <w:tr w14:paraId="6621872A">
        <w:tblPrEx>
          <w:tblCellMar>
            <w:top w:w="0" w:type="dxa"/>
            <w:left w:w="108" w:type="dxa"/>
            <w:bottom w:w="0" w:type="dxa"/>
            <w:right w:w="108" w:type="dxa"/>
          </w:tblCellMar>
        </w:tblPrEx>
        <w:trPr>
          <w:trHeight w:val="480" w:hRule="atLeast"/>
        </w:trPr>
        <w:tc>
          <w:tcPr>
            <w:tcW w:w="846" w:type="dxa"/>
            <w:tcBorders>
              <w:top w:val="nil"/>
              <w:left w:val="single" w:color="auto" w:sz="4" w:space="0"/>
              <w:bottom w:val="single" w:color="auto" w:sz="4" w:space="0"/>
              <w:right w:val="single" w:color="auto" w:sz="4" w:space="0"/>
            </w:tcBorders>
            <w:shd w:val="clear" w:color="FFFFFF" w:fill="FFFFFF"/>
            <w:vAlign w:val="center"/>
          </w:tcPr>
          <w:p w14:paraId="3430D461">
            <w:pPr>
              <w:widowControl/>
              <w:jc w:val="center"/>
              <w:rPr>
                <w:rFonts w:ascii="宋体" w:hAnsi="宋体" w:cs="宋体"/>
                <w:b/>
                <w:bCs/>
                <w:kern w:val="0"/>
                <w:sz w:val="20"/>
              </w:rPr>
            </w:pPr>
            <w:r>
              <w:rPr>
                <w:rFonts w:ascii="宋体" w:hAnsi="宋体" w:cs="宋体"/>
                <w:b/>
                <w:bCs/>
                <w:kern w:val="0"/>
                <w:sz w:val="20"/>
              </w:rPr>
              <w:t>7</w:t>
            </w:r>
          </w:p>
        </w:tc>
        <w:tc>
          <w:tcPr>
            <w:tcW w:w="1701" w:type="dxa"/>
            <w:tcBorders>
              <w:top w:val="nil"/>
              <w:left w:val="nil"/>
              <w:bottom w:val="single" w:color="auto" w:sz="4" w:space="0"/>
              <w:right w:val="single" w:color="auto" w:sz="4" w:space="0"/>
            </w:tcBorders>
            <w:shd w:val="clear" w:color="auto" w:fill="auto"/>
            <w:vAlign w:val="center"/>
          </w:tcPr>
          <w:p w14:paraId="3994574B">
            <w:pPr>
              <w:widowControl/>
              <w:jc w:val="center"/>
              <w:rPr>
                <w:rFonts w:ascii="宋体" w:hAnsi="宋体" w:cs="宋体"/>
                <w:color w:val="000000"/>
                <w:kern w:val="0"/>
                <w:sz w:val="20"/>
              </w:rPr>
            </w:pPr>
            <w:r>
              <w:rPr>
                <w:rFonts w:hint="eastAsia" w:ascii="宋体" w:hAnsi="宋体" w:cs="宋体"/>
                <w:color w:val="000000"/>
                <w:kern w:val="0"/>
                <w:sz w:val="20"/>
              </w:rPr>
              <w:t>安装调试</w:t>
            </w:r>
          </w:p>
        </w:tc>
        <w:tc>
          <w:tcPr>
            <w:tcW w:w="4536" w:type="dxa"/>
            <w:tcBorders>
              <w:top w:val="nil"/>
              <w:left w:val="nil"/>
              <w:bottom w:val="single" w:color="auto" w:sz="4" w:space="0"/>
              <w:right w:val="single" w:color="auto" w:sz="4" w:space="0"/>
            </w:tcBorders>
            <w:shd w:val="clear" w:color="auto" w:fill="auto"/>
            <w:vAlign w:val="center"/>
          </w:tcPr>
          <w:p w14:paraId="1DA3B09F">
            <w:pPr>
              <w:widowControl/>
              <w:rPr>
                <w:rFonts w:ascii="宋体" w:hAnsi="宋体" w:cs="宋体"/>
                <w:color w:val="000000"/>
                <w:kern w:val="0"/>
                <w:sz w:val="20"/>
              </w:rPr>
            </w:pPr>
            <w:r>
              <w:rPr>
                <w:rFonts w:hint="eastAsia" w:ascii="宋体" w:hAnsi="宋体" w:cs="宋体"/>
                <w:color w:val="000000"/>
                <w:kern w:val="0"/>
                <w:sz w:val="20"/>
              </w:rPr>
              <w:t>包括新增设备机械电气硬件安装调试、试生产及终验收后短期陪产、培训等。</w:t>
            </w:r>
          </w:p>
        </w:tc>
        <w:tc>
          <w:tcPr>
            <w:tcW w:w="850" w:type="dxa"/>
            <w:tcBorders>
              <w:top w:val="nil"/>
              <w:left w:val="nil"/>
              <w:bottom w:val="single" w:color="auto" w:sz="4" w:space="0"/>
              <w:right w:val="single" w:color="auto" w:sz="4" w:space="0"/>
            </w:tcBorders>
            <w:shd w:val="clear" w:color="auto" w:fill="auto"/>
            <w:noWrap/>
            <w:vAlign w:val="center"/>
          </w:tcPr>
          <w:p w14:paraId="5535B131">
            <w:pPr>
              <w:widowControl/>
              <w:jc w:val="center"/>
              <w:rPr>
                <w:rFonts w:ascii="宋体" w:hAnsi="宋体" w:cs="宋体"/>
                <w:color w:val="000000"/>
                <w:kern w:val="0"/>
                <w:sz w:val="20"/>
              </w:rPr>
            </w:pPr>
            <w:r>
              <w:rPr>
                <w:rFonts w:hint="eastAsia" w:ascii="宋体" w:hAnsi="宋体" w:cs="宋体"/>
                <w:color w:val="000000"/>
                <w:kern w:val="0"/>
                <w:sz w:val="20"/>
              </w:rPr>
              <w:t>1项</w:t>
            </w:r>
          </w:p>
        </w:tc>
        <w:tc>
          <w:tcPr>
            <w:tcW w:w="1669" w:type="dxa"/>
            <w:tcBorders>
              <w:top w:val="nil"/>
              <w:left w:val="nil"/>
              <w:bottom w:val="single" w:color="auto" w:sz="4" w:space="0"/>
              <w:right w:val="single" w:color="auto" w:sz="4" w:space="0"/>
            </w:tcBorders>
            <w:shd w:val="clear" w:color="auto" w:fill="auto"/>
            <w:noWrap/>
            <w:vAlign w:val="center"/>
          </w:tcPr>
          <w:p w14:paraId="2B70D383">
            <w:pPr>
              <w:widowControl/>
              <w:rPr>
                <w:rFonts w:ascii="宋体" w:hAnsi="宋体" w:cs="宋体"/>
                <w:color w:val="000000"/>
                <w:kern w:val="0"/>
                <w:sz w:val="20"/>
              </w:rPr>
            </w:pPr>
            <w:r>
              <w:rPr>
                <w:rFonts w:hint="eastAsia" w:ascii="宋体" w:hAnsi="宋体" w:cs="宋体"/>
                <w:color w:val="000000"/>
                <w:kern w:val="0"/>
                <w:sz w:val="20"/>
              </w:rPr>
              <w:t>不包含机器人调试、PLC编程及现场程序功能测试。</w:t>
            </w:r>
            <w:r>
              <w:rPr>
                <w:rFonts w:hint="eastAsia" w:ascii="宋体" w:hAnsi="宋体" w:cs="宋体"/>
                <w:color w:val="000000"/>
                <w:kern w:val="0"/>
                <w:sz w:val="20"/>
                <w:highlight w:val="cyan"/>
              </w:rPr>
              <w:t>　</w:t>
            </w:r>
          </w:p>
        </w:tc>
      </w:tr>
    </w:tbl>
    <w:p w14:paraId="36D73BB9">
      <w:pPr>
        <w:spacing w:line="360" w:lineRule="auto"/>
        <w:rPr>
          <w:sz w:val="24"/>
          <w:szCs w:val="24"/>
        </w:rPr>
      </w:pPr>
    </w:p>
    <w:p w14:paraId="670CCC47">
      <w:pPr>
        <w:spacing w:line="360" w:lineRule="auto"/>
        <w:rPr>
          <w:sz w:val="24"/>
          <w:szCs w:val="24"/>
        </w:rPr>
      </w:pPr>
      <w:r>
        <w:rPr>
          <w:rFonts w:hint="eastAsia"/>
          <w:sz w:val="24"/>
          <w:szCs w:val="24"/>
        </w:rPr>
        <w:t>备注：</w:t>
      </w:r>
    </w:p>
    <w:p w14:paraId="798F9A1F">
      <w:pPr>
        <w:spacing w:line="360" w:lineRule="auto"/>
        <w:rPr>
          <w:sz w:val="24"/>
          <w:szCs w:val="24"/>
        </w:rPr>
      </w:pPr>
      <w:r>
        <w:rPr>
          <w:rFonts w:hint="eastAsia"/>
          <w:sz w:val="24"/>
          <w:szCs w:val="24"/>
        </w:rPr>
        <w:t>1、本表所列采购货物仅为货物的主要构成部分，应配套供货以及招标人所列其他货物（或设备）和服务，请投标人认真阅读“供货范围”。若有异议，不管是多么微小，都应在投标档“商务偏离”章节中予以详细说明。</w:t>
      </w:r>
    </w:p>
    <w:p w14:paraId="277A0A10">
      <w:pPr>
        <w:spacing w:line="360" w:lineRule="auto"/>
        <w:rPr>
          <w:sz w:val="24"/>
          <w:szCs w:val="24"/>
        </w:rPr>
      </w:pPr>
      <w:r>
        <w:rPr>
          <w:rFonts w:hint="eastAsia"/>
          <w:sz w:val="24"/>
          <w:szCs w:val="24"/>
        </w:rPr>
        <w:t>2、本表“供货方式”指：包括制造、运输、定点卸货、安装、调试（包括新增设备机械电气硬件安装调试，不含机器人程序、PLC编程及现场程序功能测试，下同）和协助验收以及约定培训等。</w:t>
      </w:r>
    </w:p>
    <w:p w14:paraId="79327356">
      <w:pPr>
        <w:spacing w:line="360" w:lineRule="auto"/>
        <w:rPr>
          <w:sz w:val="24"/>
          <w:szCs w:val="24"/>
        </w:rPr>
      </w:pPr>
      <w:r>
        <w:rPr>
          <w:rFonts w:hint="eastAsia"/>
          <w:sz w:val="24"/>
          <w:szCs w:val="24"/>
        </w:rPr>
        <w:t>3、以上内容仅对设备的基本功能进行了描述和建议，表中所列内容仅供参考，投标方投标前需对生产现场工艺环境进行充分调研与了解，确保投标方案满足工艺、产品、节拍、功能等要求，投标方对投标方案负责。</w:t>
      </w:r>
    </w:p>
    <w:p w14:paraId="73569D59">
      <w:pPr>
        <w:spacing w:line="360" w:lineRule="auto"/>
        <w:rPr>
          <w:sz w:val="24"/>
          <w:szCs w:val="24"/>
        </w:rPr>
      </w:pPr>
      <w:r>
        <w:rPr>
          <w:rFonts w:hint="eastAsia"/>
          <w:sz w:val="24"/>
          <w:szCs w:val="24"/>
        </w:rPr>
        <w:t>四、采购货物特别说明</w:t>
      </w:r>
    </w:p>
    <w:p w14:paraId="4620E048">
      <w:pPr>
        <w:spacing w:line="360" w:lineRule="auto"/>
        <w:ind w:firstLine="480" w:firstLineChars="200"/>
        <w:rPr>
          <w:sz w:val="24"/>
          <w:szCs w:val="24"/>
        </w:rPr>
      </w:pPr>
      <w:r>
        <w:rPr>
          <w:rFonts w:hint="eastAsia"/>
          <w:sz w:val="24"/>
          <w:szCs w:val="24"/>
        </w:rPr>
        <w:t>招标人所列货物的名称和规格型号，如为某一供应商所特有，则该名称和规格型号可作参考，但要求投标人所提供的货物必须满足本技术标书实质性要求。</w:t>
      </w:r>
    </w:p>
    <w:p w14:paraId="14B68B62">
      <w:pPr>
        <w:spacing w:line="360" w:lineRule="auto"/>
        <w:rPr>
          <w:rFonts w:hAnsi="Calibri"/>
          <w:sz w:val="24"/>
          <w:szCs w:val="24"/>
        </w:rPr>
      </w:pPr>
      <w:r>
        <w:rPr>
          <w:rFonts w:hint="eastAsia"/>
          <w:sz w:val="24"/>
          <w:szCs w:val="24"/>
        </w:rPr>
        <w:t>第二章</w:t>
      </w:r>
      <w:r>
        <w:rPr>
          <w:sz w:val="24"/>
          <w:szCs w:val="24"/>
        </w:rPr>
        <w:t xml:space="preserve">  </w:t>
      </w:r>
      <w:r>
        <w:rPr>
          <w:rFonts w:hint="eastAsia"/>
          <w:sz w:val="24"/>
          <w:szCs w:val="24"/>
        </w:rPr>
        <w:t>技术要求</w:t>
      </w:r>
    </w:p>
    <w:p w14:paraId="4FD38E52">
      <w:pPr>
        <w:spacing w:line="360" w:lineRule="auto"/>
        <w:rPr>
          <w:sz w:val="24"/>
          <w:szCs w:val="24"/>
        </w:rPr>
      </w:pPr>
      <w:r>
        <w:rPr>
          <w:rFonts w:hint="eastAsia"/>
          <w:sz w:val="24"/>
          <w:szCs w:val="24"/>
        </w:rPr>
        <w:t>一、基本要求</w:t>
      </w:r>
    </w:p>
    <w:p w14:paraId="5CB42539">
      <w:pPr>
        <w:spacing w:line="360" w:lineRule="auto"/>
        <w:rPr>
          <w:sz w:val="24"/>
          <w:szCs w:val="24"/>
        </w:rPr>
      </w:pPr>
      <w:r>
        <w:rPr>
          <w:rFonts w:hint="eastAsia"/>
          <w:sz w:val="24"/>
          <w:szCs w:val="24"/>
        </w:rPr>
        <w:t>1、本章技术要求，仅对功能、设计、结构、性能、安装和试验检验等方面，提出了最低和一般性的技术要求，并未对一切技术细节作出规定。</w:t>
      </w:r>
    </w:p>
    <w:p w14:paraId="559C0070">
      <w:pPr>
        <w:spacing w:line="360" w:lineRule="auto"/>
        <w:rPr>
          <w:sz w:val="24"/>
          <w:szCs w:val="24"/>
        </w:rPr>
      </w:pPr>
      <w:r>
        <w:rPr>
          <w:rFonts w:hint="eastAsia"/>
          <w:sz w:val="24"/>
          <w:szCs w:val="24"/>
        </w:rPr>
        <w:t>2、本技术要求所使用的标准、规范等，如与投标人所执行的标准、规范不一致时，应按高于本技术要求所列的标准、规范执行。</w:t>
      </w:r>
    </w:p>
    <w:p w14:paraId="244849C6">
      <w:pPr>
        <w:spacing w:line="360" w:lineRule="auto"/>
        <w:rPr>
          <w:sz w:val="24"/>
          <w:szCs w:val="24"/>
        </w:rPr>
      </w:pPr>
      <w:r>
        <w:rPr>
          <w:rFonts w:hint="eastAsia"/>
          <w:sz w:val="24"/>
          <w:szCs w:val="24"/>
        </w:rPr>
        <w:t>3、投标人认为所供货物必需由招标人配备、解决或提供的其他要求均应在投标档“技术偏离”中予以充分说明。</w:t>
      </w:r>
    </w:p>
    <w:p w14:paraId="0BD99492">
      <w:pPr>
        <w:spacing w:line="360" w:lineRule="auto"/>
        <w:rPr>
          <w:sz w:val="24"/>
          <w:szCs w:val="24"/>
        </w:rPr>
      </w:pPr>
      <w:r>
        <w:rPr>
          <w:rFonts w:hint="eastAsia"/>
          <w:sz w:val="24"/>
          <w:szCs w:val="24"/>
        </w:rPr>
        <w:t>4、投标人应根据招投标货物具体要求，提出对厂房、设备基础（或安装平台）、公用设施、消防、环保等超出招标档、投标档、答疑档、技术交流档、技术协议书和合同等规定的、有特殊需要的解释、说明和要求。</w:t>
      </w:r>
    </w:p>
    <w:p w14:paraId="7F831E7A">
      <w:pPr>
        <w:spacing w:line="360" w:lineRule="auto"/>
        <w:rPr>
          <w:sz w:val="24"/>
          <w:szCs w:val="24"/>
        </w:rPr>
      </w:pPr>
      <w:r>
        <w:rPr>
          <w:rFonts w:hint="eastAsia"/>
          <w:sz w:val="24"/>
          <w:szCs w:val="24"/>
        </w:rPr>
        <w:t>5、无论是否有技术偏离，投标人均应在投标档“技术偏离”中明确作出有无说明。若有异议，不管是多么微小，投标人必须予以明确和详细的说明或澄清。</w:t>
      </w:r>
    </w:p>
    <w:p w14:paraId="0B6D2BC8">
      <w:pPr>
        <w:spacing w:line="360" w:lineRule="auto"/>
        <w:rPr>
          <w:sz w:val="24"/>
          <w:szCs w:val="24"/>
        </w:rPr>
      </w:pPr>
      <w:r>
        <w:rPr>
          <w:rFonts w:hint="eastAsia"/>
          <w:sz w:val="24"/>
          <w:szCs w:val="24"/>
        </w:rPr>
        <w:t>6、为避免投标人优势在招标评审时漏项，质保期超出本技术标书要求的，应当在投标档“技术偏离”中特别注明。</w:t>
      </w:r>
    </w:p>
    <w:p w14:paraId="1DD3F6A4">
      <w:pPr>
        <w:spacing w:line="360" w:lineRule="auto"/>
        <w:rPr>
          <w:sz w:val="24"/>
          <w:szCs w:val="24"/>
        </w:rPr>
      </w:pPr>
      <w:r>
        <w:rPr>
          <w:rFonts w:hint="eastAsia"/>
          <w:sz w:val="24"/>
          <w:szCs w:val="24"/>
        </w:rPr>
        <w:t>7、投标档中，针对“特别提示”条款所做的回应，将作为投标人能否中标的重要依据之一。</w:t>
      </w:r>
    </w:p>
    <w:p w14:paraId="673BBC1C">
      <w:pPr>
        <w:spacing w:line="360" w:lineRule="auto"/>
        <w:rPr>
          <w:sz w:val="24"/>
          <w:szCs w:val="24"/>
        </w:rPr>
      </w:pPr>
      <w:r>
        <w:rPr>
          <w:rFonts w:hint="eastAsia"/>
          <w:sz w:val="24"/>
          <w:szCs w:val="24"/>
        </w:rPr>
        <w:t>二、执行标准</w:t>
      </w:r>
    </w:p>
    <w:p w14:paraId="7097215A">
      <w:pPr>
        <w:spacing w:line="360" w:lineRule="auto"/>
        <w:rPr>
          <w:sz w:val="24"/>
          <w:szCs w:val="24"/>
        </w:rPr>
      </w:pPr>
      <w:r>
        <w:rPr>
          <w:rFonts w:hint="eastAsia"/>
          <w:sz w:val="24"/>
          <w:szCs w:val="24"/>
        </w:rPr>
        <w:t>1、投标人所供的货物，必须符合中国最新版的法律、法规和相关标准、规范的要求，符合项目所在地政府有关特殊要求。</w:t>
      </w:r>
    </w:p>
    <w:p w14:paraId="03CB4FE0">
      <w:pPr>
        <w:spacing w:line="360" w:lineRule="auto"/>
        <w:rPr>
          <w:sz w:val="24"/>
          <w:szCs w:val="24"/>
        </w:rPr>
      </w:pPr>
      <w:r>
        <w:rPr>
          <w:rFonts w:hint="eastAsia"/>
          <w:sz w:val="24"/>
          <w:szCs w:val="24"/>
        </w:rPr>
        <w:t>2、投标人所供货物涉及的专利权技术以及知识产权保护的其他技术等，应保证招标人不因此受到任何侵权指控以及实际损失。</w:t>
      </w:r>
    </w:p>
    <w:p w14:paraId="1D694634">
      <w:pPr>
        <w:spacing w:line="360" w:lineRule="auto"/>
        <w:rPr>
          <w:sz w:val="24"/>
          <w:szCs w:val="24"/>
        </w:rPr>
      </w:pPr>
      <w:r>
        <w:rPr>
          <w:rFonts w:hint="eastAsia"/>
          <w:sz w:val="24"/>
          <w:szCs w:val="24"/>
        </w:rPr>
        <w:t>3、投标人应保证所供货物的先进性、可靠性、经济性和实用性，并为全新货物（或设备）。</w:t>
      </w:r>
    </w:p>
    <w:p w14:paraId="111977F5">
      <w:pPr>
        <w:spacing w:line="360" w:lineRule="auto"/>
        <w:rPr>
          <w:sz w:val="24"/>
          <w:szCs w:val="24"/>
        </w:rPr>
      </w:pPr>
      <w:r>
        <w:rPr>
          <w:rFonts w:hint="eastAsia"/>
          <w:sz w:val="24"/>
          <w:szCs w:val="24"/>
        </w:rPr>
        <w:t>4、投标人应满足招标人提出的各项技术要求，必要时应当免费提供技术承诺或担保。</w:t>
      </w:r>
    </w:p>
    <w:p w14:paraId="60C3A919">
      <w:pPr>
        <w:spacing w:line="360" w:lineRule="auto"/>
        <w:rPr>
          <w:sz w:val="24"/>
          <w:szCs w:val="24"/>
        </w:rPr>
      </w:pPr>
      <w:r>
        <w:rPr>
          <w:rFonts w:hint="eastAsia"/>
          <w:sz w:val="24"/>
          <w:szCs w:val="24"/>
        </w:rPr>
        <w:t>5、投标人应保证所供货物（或设备）为中国政府指定或规定的主管部门公布的非淘汰货物（或设备）。</w:t>
      </w:r>
    </w:p>
    <w:p w14:paraId="7F2EA550">
      <w:pPr>
        <w:spacing w:line="360" w:lineRule="auto"/>
        <w:rPr>
          <w:sz w:val="24"/>
          <w:szCs w:val="24"/>
        </w:rPr>
      </w:pPr>
      <w:r>
        <w:rPr>
          <w:rFonts w:hint="eastAsia"/>
          <w:sz w:val="24"/>
          <w:szCs w:val="24"/>
        </w:rPr>
        <w:t>6、投标人应保证所供货物的完整性和成套性，能保证货物的正常运行、使用。</w:t>
      </w:r>
    </w:p>
    <w:p w14:paraId="7CE17E8F">
      <w:pPr>
        <w:spacing w:line="360" w:lineRule="auto"/>
        <w:rPr>
          <w:sz w:val="24"/>
          <w:szCs w:val="24"/>
        </w:rPr>
      </w:pPr>
      <w:r>
        <w:rPr>
          <w:rFonts w:hint="eastAsia"/>
          <w:sz w:val="24"/>
          <w:szCs w:val="24"/>
        </w:rPr>
        <w:t>7、投标人应对招标人采购的货物所涉及的技术、产能等信息负有保密义务，招标人拥有追究投标人泄密责任的权利；招标人如有需要，投标人应无条件签署保密协议。</w:t>
      </w:r>
    </w:p>
    <w:p w14:paraId="02AE6E25">
      <w:pPr>
        <w:rPr>
          <w:sz w:val="24"/>
          <w:szCs w:val="24"/>
        </w:rPr>
        <w:sectPr>
          <w:footerReference r:id="rId9" w:type="default"/>
          <w:pgSz w:w="11910" w:h="16840"/>
          <w:pgMar w:top="1644" w:right="680" w:bottom="1644" w:left="919" w:header="816" w:footer="2313" w:gutter="0"/>
          <w:cols w:space="720" w:num="1"/>
        </w:sectPr>
      </w:pPr>
    </w:p>
    <w:p w14:paraId="2D3E1434">
      <w:pPr>
        <w:rPr>
          <w:color w:val="0070C0"/>
          <w:sz w:val="24"/>
          <w:szCs w:val="24"/>
          <w:highlight w:val="yellow"/>
        </w:rPr>
      </w:pPr>
      <w:r>
        <w:rPr>
          <w:rFonts w:hint="eastAsia"/>
          <w:sz w:val="24"/>
          <w:szCs w:val="24"/>
        </w:rPr>
        <w:t>三、技术要求概况：</w:t>
      </w:r>
    </w:p>
    <w:p w14:paraId="6C7B89CE">
      <w:pPr>
        <w:widowControl/>
        <w:spacing w:line="288" w:lineRule="auto"/>
        <w:rPr>
          <w:sz w:val="24"/>
          <w:szCs w:val="24"/>
        </w:rPr>
      </w:pPr>
      <w:r>
        <w:rPr>
          <w:rFonts w:hint="eastAsia"/>
          <w:sz w:val="24"/>
          <w:szCs w:val="24"/>
        </w:rPr>
        <w:t>1、按照招标方确定的浸涂机器人位置调整MC缸盖组芯线辊道及挡停器，更换升降台，升降台采用电机链式驱动，</w:t>
      </w:r>
      <w:r>
        <w:rPr>
          <w:sz w:val="24"/>
          <w:szCs w:val="24"/>
        </w:rPr>
        <w:t>托板尺寸1400*900mm</w:t>
      </w:r>
      <w:r>
        <w:rPr>
          <w:rFonts w:hint="eastAsia"/>
          <w:sz w:val="24"/>
          <w:szCs w:val="24"/>
        </w:rPr>
        <w:t>，升降行程</w:t>
      </w:r>
      <w:r>
        <w:rPr>
          <w:sz w:val="24"/>
          <w:szCs w:val="24"/>
        </w:rPr>
        <w:t>400</w:t>
      </w:r>
      <w:r>
        <w:rPr>
          <w:rFonts w:hint="eastAsia"/>
          <w:sz w:val="24"/>
          <w:szCs w:val="24"/>
        </w:rPr>
        <w:t>，</w:t>
      </w:r>
      <w:r>
        <w:rPr>
          <w:sz w:val="24"/>
          <w:szCs w:val="24"/>
        </w:rPr>
        <w:t>载荷500</w:t>
      </w:r>
      <w:r>
        <w:rPr>
          <w:rFonts w:hint="eastAsia"/>
          <w:sz w:val="24"/>
          <w:szCs w:val="24"/>
        </w:rPr>
        <w:t>kg。</w:t>
      </w:r>
    </w:p>
    <w:p w14:paraId="123B799C">
      <w:pPr>
        <w:widowControl/>
        <w:spacing w:line="288" w:lineRule="auto"/>
        <w:rPr>
          <w:sz w:val="24"/>
          <w:szCs w:val="24"/>
        </w:rPr>
      </w:pPr>
      <w:r>
        <w:rPr>
          <w:rFonts w:hint="eastAsia"/>
          <w:sz w:val="24"/>
          <w:szCs w:val="24"/>
        </w:rPr>
        <w:t>2、制作1套MC07</w:t>
      </w:r>
      <w:r>
        <w:rPr>
          <w:sz w:val="24"/>
          <w:szCs w:val="24"/>
        </w:rPr>
        <w:t>/615</w:t>
      </w:r>
      <w:r>
        <w:rPr>
          <w:rFonts w:hint="eastAsia"/>
          <w:sz w:val="24"/>
          <w:szCs w:val="24"/>
        </w:rPr>
        <w:t>缸盖芯机器人夹具快换定位储存架，并配合招标方完成MC07</w:t>
      </w:r>
      <w:r>
        <w:rPr>
          <w:sz w:val="24"/>
          <w:szCs w:val="24"/>
        </w:rPr>
        <w:t>/615</w:t>
      </w:r>
      <w:r>
        <w:rPr>
          <w:rFonts w:hint="eastAsia"/>
          <w:sz w:val="24"/>
          <w:szCs w:val="24"/>
        </w:rPr>
        <w:t>缸盖芯夹具用机器人程序编程和快换功能调试（仅限快换定位储存架调整）。</w:t>
      </w:r>
    </w:p>
    <w:p w14:paraId="1A188BA4">
      <w:pPr>
        <w:widowControl/>
        <w:spacing w:line="288" w:lineRule="auto"/>
        <w:rPr>
          <w:sz w:val="24"/>
          <w:szCs w:val="24"/>
        </w:rPr>
      </w:pPr>
      <w:r>
        <w:rPr>
          <w:rFonts w:hint="eastAsia"/>
          <w:sz w:val="24"/>
          <w:szCs w:val="24"/>
        </w:rPr>
        <w:t>3、旧表干炉进炉口上方安装1个砂芯中转台用于MC砂芯转运中转。</w:t>
      </w:r>
    </w:p>
    <w:p w14:paraId="6B72D54D">
      <w:pPr>
        <w:widowControl/>
        <w:spacing w:line="288" w:lineRule="auto"/>
        <w:rPr>
          <w:sz w:val="24"/>
          <w:szCs w:val="24"/>
        </w:rPr>
      </w:pPr>
      <w:r>
        <w:rPr>
          <w:sz w:val="24"/>
          <w:szCs w:val="24"/>
        </w:rPr>
        <w:t>4</w:t>
      </w:r>
      <w:r>
        <w:rPr>
          <w:rFonts w:hint="eastAsia"/>
          <w:sz w:val="24"/>
          <w:szCs w:val="24"/>
        </w:rPr>
        <w:t>、新表干炉出炉辊道接长1</w:t>
      </w:r>
      <w:r>
        <w:rPr>
          <w:sz w:val="24"/>
          <w:szCs w:val="24"/>
        </w:rPr>
        <w:t>3</w:t>
      </w:r>
      <w:r>
        <w:rPr>
          <w:rFonts w:hint="eastAsia"/>
          <w:sz w:val="24"/>
          <w:szCs w:val="24"/>
        </w:rPr>
        <w:t>米，上层辊道配备5个托板位，下层返回辊道配备2个托板位，安装一套砂芯定位校准装置（校准精度±</w:t>
      </w:r>
      <w:r>
        <w:rPr>
          <w:sz w:val="24"/>
          <w:szCs w:val="24"/>
        </w:rPr>
        <w:t>1</w:t>
      </w:r>
      <w:r>
        <w:rPr>
          <w:rFonts w:hint="eastAsia"/>
          <w:sz w:val="24"/>
          <w:szCs w:val="24"/>
        </w:rPr>
        <w:t>mm）和托板定位装置（定位精度±</w:t>
      </w:r>
      <w:r>
        <w:rPr>
          <w:sz w:val="24"/>
          <w:szCs w:val="24"/>
        </w:rPr>
        <w:t>1</w:t>
      </w:r>
      <w:r>
        <w:rPr>
          <w:rFonts w:hint="eastAsia"/>
          <w:sz w:val="24"/>
          <w:szCs w:val="24"/>
        </w:rPr>
        <w:t>mm），确保砂芯定位精度能满足转运机器人抓取要求。</w:t>
      </w:r>
    </w:p>
    <w:p w14:paraId="60C6D575">
      <w:pPr>
        <w:widowControl/>
        <w:spacing w:line="288" w:lineRule="auto"/>
        <w:rPr>
          <w:sz w:val="24"/>
          <w:szCs w:val="24"/>
        </w:rPr>
      </w:pPr>
      <w:r>
        <w:rPr>
          <w:rFonts w:hint="eastAsia"/>
          <w:sz w:val="24"/>
          <w:szCs w:val="24"/>
        </w:rPr>
        <w:t>5、搬迁、安装新表干炉后升降台，同时搬迁后升降台液压站，重新安装液压管路；原升降台地坑安装盖板。</w:t>
      </w:r>
    </w:p>
    <w:p w14:paraId="676E84F8">
      <w:pPr>
        <w:widowControl/>
        <w:spacing w:line="288" w:lineRule="auto"/>
        <w:rPr>
          <w:sz w:val="24"/>
          <w:szCs w:val="24"/>
        </w:rPr>
      </w:pPr>
      <w:r>
        <w:rPr>
          <w:sz w:val="24"/>
          <w:szCs w:val="24"/>
        </w:rPr>
        <w:t>6</w:t>
      </w:r>
      <w:r>
        <w:rPr>
          <w:rFonts w:hint="eastAsia"/>
          <w:sz w:val="24"/>
          <w:szCs w:val="24"/>
        </w:rPr>
        <w:t>、</w:t>
      </w:r>
      <w:r>
        <w:rPr>
          <w:sz w:val="24"/>
          <w:szCs w:val="24"/>
        </w:rPr>
        <w:t>循环辊道线放芯工位安装</w:t>
      </w:r>
      <w:r>
        <w:rPr>
          <w:rFonts w:hint="eastAsia"/>
          <w:sz w:val="24"/>
          <w:szCs w:val="24"/>
        </w:rPr>
        <w:t>一套烘板定位装置；</w:t>
      </w:r>
      <w:r>
        <w:rPr>
          <w:sz w:val="24"/>
          <w:szCs w:val="24"/>
        </w:rPr>
        <w:t>辊道线转角处安装托板缓冲机构</w:t>
      </w:r>
      <w:r>
        <w:rPr>
          <w:rFonts w:hint="eastAsia"/>
          <w:sz w:val="24"/>
          <w:szCs w:val="24"/>
        </w:rPr>
        <w:t>，</w:t>
      </w:r>
      <w:r>
        <w:rPr>
          <w:sz w:val="24"/>
          <w:szCs w:val="24"/>
        </w:rPr>
        <w:t>并</w:t>
      </w:r>
      <w:r>
        <w:rPr>
          <w:rFonts w:hint="eastAsia"/>
          <w:sz w:val="24"/>
          <w:szCs w:val="24"/>
        </w:rPr>
        <w:t>对砂芯托板进行防滑改造，确保砂芯在输送过程中无移位.</w:t>
      </w:r>
    </w:p>
    <w:p w14:paraId="1EF4AD7D">
      <w:pPr>
        <w:widowControl/>
        <w:spacing w:line="288" w:lineRule="auto"/>
        <w:rPr>
          <w:sz w:val="24"/>
          <w:szCs w:val="24"/>
        </w:rPr>
      </w:pPr>
      <w:r>
        <w:rPr>
          <w:sz w:val="24"/>
          <w:szCs w:val="24"/>
        </w:rPr>
        <w:t>7</w:t>
      </w:r>
      <w:r>
        <w:rPr>
          <w:rFonts w:hint="eastAsia"/>
          <w:sz w:val="24"/>
          <w:szCs w:val="24"/>
        </w:rPr>
        <w:t>、按招标方提供的三维图</w:t>
      </w:r>
      <w:r>
        <w:rPr>
          <w:sz w:val="24"/>
          <w:szCs w:val="24"/>
        </w:rPr>
        <w:t>制作</w:t>
      </w:r>
      <w:r>
        <w:rPr>
          <w:rFonts w:hint="eastAsia"/>
          <w:sz w:val="24"/>
          <w:szCs w:val="24"/>
        </w:rPr>
        <w:t>1套615缸盖转运夹具并配合招标方完成夹具的安装、调试。</w:t>
      </w:r>
    </w:p>
    <w:p w14:paraId="70C000B2">
      <w:pPr>
        <w:widowControl/>
        <w:spacing w:line="288" w:lineRule="auto"/>
        <w:rPr>
          <w:sz w:val="24"/>
          <w:szCs w:val="24"/>
        </w:rPr>
      </w:pPr>
      <w:r>
        <w:rPr>
          <w:sz w:val="24"/>
          <w:szCs w:val="24"/>
        </w:rPr>
        <w:t>8</w:t>
      </w:r>
      <w:r>
        <w:rPr>
          <w:rFonts w:hint="eastAsia"/>
          <w:sz w:val="24"/>
          <w:szCs w:val="24"/>
        </w:rPr>
        <w:t>、下芯辊道线及立库辊道线整线运行平稳性改造。</w:t>
      </w:r>
    </w:p>
    <w:p w14:paraId="7D1BDD64">
      <w:pPr>
        <w:widowControl/>
        <w:spacing w:line="288" w:lineRule="auto"/>
        <w:rPr>
          <w:sz w:val="24"/>
          <w:szCs w:val="24"/>
        </w:rPr>
      </w:pPr>
      <w:r>
        <w:rPr>
          <w:rFonts w:hint="eastAsia"/>
          <w:sz w:val="24"/>
          <w:szCs w:val="24"/>
        </w:rPr>
        <w:t>（1）立库辊道线与下芯辊道线升降机对接处安装托板导向装置，确保烘板运行平稳无卡阻。</w:t>
      </w:r>
    </w:p>
    <w:p w14:paraId="56C362B5">
      <w:pPr>
        <w:widowControl/>
        <w:spacing w:line="288" w:lineRule="auto"/>
        <w:rPr>
          <w:sz w:val="24"/>
          <w:szCs w:val="24"/>
        </w:rPr>
      </w:pPr>
      <w:r>
        <w:rPr>
          <w:rFonts w:hint="eastAsia"/>
          <w:sz w:val="24"/>
          <w:szCs w:val="24"/>
        </w:rPr>
        <w:t>（2）下芯辊道线2#升降机改造：转向电机增加到位减速功能，必要时增加缓冲装置，减少砂芯移位。</w:t>
      </w:r>
    </w:p>
    <w:p w14:paraId="0E80EB14">
      <w:pPr>
        <w:widowControl/>
        <w:spacing w:line="288" w:lineRule="auto"/>
        <w:rPr>
          <w:sz w:val="24"/>
          <w:szCs w:val="24"/>
        </w:rPr>
      </w:pPr>
      <w:r>
        <w:rPr>
          <w:sz w:val="24"/>
          <w:szCs w:val="24"/>
        </w:rPr>
        <w:t>9</w:t>
      </w:r>
      <w:r>
        <w:rPr>
          <w:rFonts w:hint="eastAsia"/>
          <w:sz w:val="24"/>
          <w:szCs w:val="24"/>
        </w:rPr>
        <w:t>、BMD下芯工位前一工位安装1套砂芯定位校准装置及1套托板定位装置。</w:t>
      </w:r>
    </w:p>
    <w:p w14:paraId="2BEDDCD4">
      <w:pPr>
        <w:widowControl/>
        <w:spacing w:line="288" w:lineRule="auto"/>
        <w:rPr>
          <w:sz w:val="24"/>
          <w:szCs w:val="24"/>
        </w:rPr>
      </w:pPr>
      <w:r>
        <w:rPr>
          <w:sz w:val="24"/>
          <w:szCs w:val="24"/>
        </w:rPr>
        <w:t>10</w:t>
      </w:r>
      <w:r>
        <w:rPr>
          <w:rFonts w:hint="eastAsia"/>
          <w:sz w:val="24"/>
          <w:szCs w:val="24"/>
        </w:rPr>
        <w:t>、电控系统。</w:t>
      </w:r>
    </w:p>
    <w:p w14:paraId="1753F0C7">
      <w:pPr>
        <w:widowControl/>
        <w:spacing w:line="288" w:lineRule="auto"/>
        <w:rPr>
          <w:sz w:val="24"/>
          <w:szCs w:val="24"/>
        </w:rPr>
      </w:pPr>
      <w:r>
        <w:rPr>
          <w:rFonts w:hint="eastAsia"/>
          <w:sz w:val="24"/>
          <w:szCs w:val="24"/>
        </w:rPr>
        <w:t>（</w:t>
      </w:r>
      <w:r>
        <w:rPr>
          <w:sz w:val="24"/>
          <w:szCs w:val="24"/>
        </w:rPr>
        <w:t>1</w:t>
      </w:r>
      <w:r>
        <w:rPr>
          <w:rFonts w:hint="eastAsia"/>
          <w:sz w:val="24"/>
          <w:szCs w:val="24"/>
        </w:rPr>
        <w:t>）机器人与工艺设备通讯电缆</w:t>
      </w:r>
      <w:r>
        <w:rPr>
          <w:sz w:val="24"/>
          <w:szCs w:val="24"/>
        </w:rPr>
        <w:t>连接</w:t>
      </w:r>
      <w:r>
        <w:rPr>
          <w:rFonts w:hint="eastAsia"/>
          <w:sz w:val="24"/>
          <w:szCs w:val="24"/>
        </w:rPr>
        <w:t>。包括</w:t>
      </w:r>
      <w:r>
        <w:rPr>
          <w:sz w:val="24"/>
          <w:szCs w:val="24"/>
        </w:rPr>
        <w:t>MC缸盖组芯线与KUKA浸涂机器人之间的</w:t>
      </w:r>
      <w:r>
        <w:rPr>
          <w:rFonts w:hint="eastAsia"/>
          <w:sz w:val="24"/>
          <w:szCs w:val="24"/>
        </w:rPr>
        <w:t>通讯电缆</w:t>
      </w:r>
      <w:r>
        <w:rPr>
          <w:sz w:val="24"/>
          <w:szCs w:val="24"/>
        </w:rPr>
        <w:t>连接</w:t>
      </w:r>
      <w:r>
        <w:rPr>
          <w:rFonts w:hint="eastAsia"/>
          <w:sz w:val="24"/>
          <w:szCs w:val="24"/>
        </w:rPr>
        <w:t>；</w:t>
      </w:r>
      <w:r>
        <w:rPr>
          <w:sz w:val="24"/>
          <w:szCs w:val="24"/>
        </w:rPr>
        <w:t>KUKA运转机器人与表干炉接长辊道、循环辊道线、安全围栏系统之间的</w:t>
      </w:r>
      <w:r>
        <w:rPr>
          <w:rFonts w:hint="eastAsia"/>
          <w:sz w:val="24"/>
          <w:szCs w:val="24"/>
        </w:rPr>
        <w:t>数据交换接口</w:t>
      </w:r>
      <w:r>
        <w:rPr>
          <w:sz w:val="24"/>
          <w:szCs w:val="24"/>
        </w:rPr>
        <w:t>连接</w:t>
      </w:r>
      <w:r>
        <w:rPr>
          <w:rFonts w:hint="eastAsia"/>
          <w:sz w:val="24"/>
          <w:szCs w:val="24"/>
        </w:rPr>
        <w:t>，涉及软件部分由招标方负责</w:t>
      </w:r>
      <w:r>
        <w:rPr>
          <w:sz w:val="24"/>
          <w:szCs w:val="24"/>
        </w:rPr>
        <w:t>。</w:t>
      </w:r>
    </w:p>
    <w:p w14:paraId="2550CEF0">
      <w:pPr>
        <w:pStyle w:val="2"/>
        <w:rPr>
          <w:rFonts w:asciiTheme="minorHAnsi" w:hAnsiTheme="minorHAnsi"/>
          <w:sz w:val="24"/>
          <w:szCs w:val="24"/>
        </w:rPr>
      </w:pPr>
      <w:r>
        <w:rPr>
          <w:rFonts w:hint="eastAsia" w:asciiTheme="minorHAnsi" w:hAnsiTheme="minorHAnsi"/>
          <w:sz w:val="24"/>
          <w:szCs w:val="24"/>
        </w:rPr>
        <w:t>（2）机器人安全围栏、安装座、底板及电控系统硬件部分安装。</w:t>
      </w:r>
    </w:p>
    <w:p w14:paraId="2F835112">
      <w:pPr>
        <w:widowControl/>
        <w:spacing w:line="288" w:lineRule="auto"/>
        <w:rPr>
          <w:sz w:val="24"/>
          <w:szCs w:val="24"/>
        </w:rPr>
      </w:pPr>
      <w:r>
        <w:rPr>
          <w:rFonts w:hint="eastAsia"/>
          <w:sz w:val="24"/>
          <w:szCs w:val="24"/>
        </w:rPr>
        <w:t>（</w:t>
      </w:r>
      <w:r>
        <w:rPr>
          <w:sz w:val="24"/>
          <w:szCs w:val="24"/>
        </w:rPr>
        <w:t>3</w:t>
      </w:r>
      <w:r>
        <w:rPr>
          <w:rFonts w:hint="eastAsia"/>
          <w:sz w:val="24"/>
          <w:szCs w:val="24"/>
        </w:rPr>
        <w:t>）表干炉接长辊道新增1个电控柜用于控制表干炉接长辊道和升降台，新增电控柜与表干炉电控柜整合到一处。</w:t>
      </w:r>
    </w:p>
    <w:p w14:paraId="01E4D53F">
      <w:pPr>
        <w:widowControl/>
        <w:spacing w:line="288" w:lineRule="auto"/>
        <w:rPr>
          <w:sz w:val="24"/>
          <w:szCs w:val="24"/>
        </w:rPr>
      </w:pPr>
      <w:r>
        <w:rPr>
          <w:rFonts w:hint="eastAsia"/>
          <w:sz w:val="24"/>
          <w:szCs w:val="24"/>
        </w:rPr>
        <w:t>（</w:t>
      </w:r>
      <w:r>
        <w:rPr>
          <w:sz w:val="24"/>
          <w:szCs w:val="24"/>
        </w:rPr>
        <w:t>4</w:t>
      </w:r>
      <w:r>
        <w:rPr>
          <w:rFonts w:hint="eastAsia"/>
          <w:sz w:val="24"/>
          <w:szCs w:val="24"/>
        </w:rPr>
        <w:t>）升降台、砂芯定位校准装置、托板定位装置、循环辊道线缓冲装置等新增设备与MC组芯线、表干炉、 BMD下芯辊道线、循环辊道线等原设备之间的数据交换接口连接涉及软件部分由招标方负责。</w:t>
      </w:r>
    </w:p>
    <w:p w14:paraId="3F892A9B">
      <w:pPr>
        <w:pStyle w:val="2"/>
        <w:rPr>
          <w:rFonts w:asciiTheme="minorHAnsi" w:hAnsiTheme="minorHAnsi"/>
          <w:sz w:val="24"/>
          <w:szCs w:val="24"/>
        </w:rPr>
      </w:pPr>
      <w:r>
        <w:rPr>
          <w:rFonts w:hint="eastAsia" w:asciiTheme="minorHAnsi" w:hAnsiTheme="minorHAnsi"/>
          <w:sz w:val="24"/>
          <w:szCs w:val="24"/>
        </w:rPr>
        <w:t>（5）电气安装配套电气元件，包括电缆、桥架、线管、各类传感器等。</w:t>
      </w:r>
    </w:p>
    <w:p w14:paraId="70C143EC">
      <w:pPr>
        <w:pStyle w:val="2"/>
        <w:rPr>
          <w:rFonts w:asciiTheme="minorHAnsi" w:hAnsiTheme="minorHAnsi"/>
          <w:sz w:val="24"/>
          <w:szCs w:val="24"/>
        </w:rPr>
      </w:pPr>
      <w:r>
        <w:rPr>
          <w:rFonts w:asciiTheme="minorHAnsi" w:hAnsiTheme="minorHAnsi"/>
          <w:sz w:val="24"/>
          <w:szCs w:val="24"/>
        </w:rPr>
        <w:t>11</w:t>
      </w:r>
      <w:r>
        <w:rPr>
          <w:rFonts w:hint="eastAsia" w:asciiTheme="minorHAnsi" w:hAnsiTheme="minorHAnsi"/>
          <w:sz w:val="24"/>
          <w:szCs w:val="24"/>
        </w:rPr>
        <w:t>、投标方在完成新增设备机械、电气硬件安装后，配合招标方进行相关设备软件的自主调试。</w:t>
      </w:r>
    </w:p>
    <w:p w14:paraId="4C7F92AA">
      <w:pPr>
        <w:pStyle w:val="2"/>
        <w:rPr>
          <w:rFonts w:asciiTheme="minorHAnsi" w:hAnsiTheme="minorHAnsi"/>
          <w:sz w:val="24"/>
          <w:szCs w:val="24"/>
        </w:rPr>
      </w:pPr>
      <w:r>
        <w:rPr>
          <w:rFonts w:hint="eastAsia" w:asciiTheme="minorHAnsi" w:hAnsiTheme="minorHAnsi"/>
          <w:sz w:val="24"/>
          <w:szCs w:val="24"/>
        </w:rPr>
        <w:t>注</w:t>
      </w:r>
      <w:r>
        <w:rPr>
          <w:rFonts w:asciiTheme="minorHAnsi" w:hAnsiTheme="minorHAnsi"/>
          <w:sz w:val="24"/>
          <w:szCs w:val="24"/>
        </w:rPr>
        <w:t>：</w:t>
      </w:r>
      <w:r>
        <w:rPr>
          <w:rFonts w:hint="eastAsia" w:asciiTheme="minorHAnsi" w:hAnsiTheme="minorHAnsi"/>
          <w:sz w:val="24"/>
          <w:szCs w:val="24"/>
        </w:rPr>
        <w:t>招标方自主调试的具体内容包括：</w:t>
      </w:r>
    </w:p>
    <w:p w14:paraId="22D5E55C">
      <w:pPr>
        <w:pStyle w:val="2"/>
        <w:rPr>
          <w:rFonts w:asciiTheme="minorHAnsi" w:hAnsiTheme="minorHAnsi"/>
          <w:sz w:val="24"/>
          <w:szCs w:val="24"/>
        </w:rPr>
      </w:pPr>
      <w:r>
        <w:rPr>
          <w:rFonts w:hint="eastAsia" w:asciiTheme="minorHAnsi" w:hAnsiTheme="minorHAnsi"/>
          <w:sz w:val="24"/>
          <w:szCs w:val="24"/>
        </w:rPr>
        <w:t>（1）</w:t>
      </w:r>
      <w:r>
        <w:rPr>
          <w:rFonts w:asciiTheme="minorHAnsi" w:hAnsiTheme="minorHAnsi"/>
          <w:sz w:val="24"/>
          <w:szCs w:val="24"/>
        </w:rPr>
        <w:t>1台KUKA浸涂机器人（型号KR500 R2830/FLR）</w:t>
      </w:r>
      <w:r>
        <w:rPr>
          <w:rFonts w:hint="eastAsia" w:asciiTheme="minorHAnsi" w:hAnsiTheme="minorHAnsi"/>
          <w:sz w:val="24"/>
          <w:szCs w:val="24"/>
        </w:rPr>
        <w:t>：机器人程序</w:t>
      </w:r>
      <w:r>
        <w:rPr>
          <w:rFonts w:asciiTheme="minorHAnsi" w:hAnsiTheme="minorHAnsi"/>
          <w:sz w:val="24"/>
          <w:szCs w:val="24"/>
        </w:rPr>
        <w:t>编程、现场</w:t>
      </w:r>
      <w:r>
        <w:rPr>
          <w:rFonts w:hint="eastAsia" w:asciiTheme="minorHAnsi" w:hAnsiTheme="minorHAnsi"/>
          <w:sz w:val="24"/>
          <w:szCs w:val="24"/>
        </w:rPr>
        <w:t>动作软件功能</w:t>
      </w:r>
      <w:r>
        <w:rPr>
          <w:rFonts w:asciiTheme="minorHAnsi" w:hAnsiTheme="minorHAnsi"/>
          <w:sz w:val="24"/>
          <w:szCs w:val="24"/>
        </w:rPr>
        <w:t>调试。实现1副MC07缸盖夹具、2副615缸盖夹具快换</w:t>
      </w:r>
      <w:r>
        <w:rPr>
          <w:rFonts w:hint="eastAsia" w:asciiTheme="minorHAnsi" w:hAnsiTheme="minorHAnsi"/>
          <w:sz w:val="24"/>
          <w:szCs w:val="24"/>
        </w:rPr>
        <w:t>功能</w:t>
      </w:r>
      <w:r>
        <w:rPr>
          <w:rFonts w:asciiTheme="minorHAnsi" w:hAnsiTheme="minorHAnsi"/>
          <w:sz w:val="24"/>
          <w:szCs w:val="24"/>
        </w:rPr>
        <w:t>。</w:t>
      </w:r>
    </w:p>
    <w:p w14:paraId="025AEA52">
      <w:pPr>
        <w:pStyle w:val="2"/>
        <w:rPr>
          <w:rFonts w:asciiTheme="minorHAnsi" w:hAnsiTheme="minorHAnsi"/>
          <w:sz w:val="24"/>
          <w:szCs w:val="24"/>
        </w:rPr>
      </w:pPr>
      <w:r>
        <w:rPr>
          <w:rFonts w:hint="eastAsia" w:asciiTheme="minorHAnsi" w:hAnsiTheme="minorHAnsi"/>
          <w:sz w:val="24"/>
          <w:szCs w:val="24"/>
        </w:rPr>
        <w:t>（2）</w:t>
      </w:r>
      <w:r>
        <w:rPr>
          <w:rFonts w:asciiTheme="minorHAnsi" w:hAnsiTheme="minorHAnsi"/>
          <w:sz w:val="24"/>
          <w:szCs w:val="24"/>
        </w:rPr>
        <w:t>1台ABB机器人（型号ABBIRB7600-500/2.55F）</w:t>
      </w:r>
      <w:r>
        <w:rPr>
          <w:rFonts w:hint="eastAsia" w:asciiTheme="minorHAnsi" w:hAnsiTheme="minorHAnsi"/>
          <w:sz w:val="24"/>
          <w:szCs w:val="24"/>
        </w:rPr>
        <w:t>：</w:t>
      </w:r>
      <w:r>
        <w:rPr>
          <w:rFonts w:asciiTheme="minorHAnsi" w:hAnsiTheme="minorHAnsi"/>
          <w:sz w:val="24"/>
          <w:szCs w:val="24"/>
        </w:rPr>
        <w:t>系统仿真模拟，确定更换升降台后ABB</w:t>
      </w:r>
      <w:r>
        <w:rPr>
          <w:rFonts w:hint="eastAsia" w:asciiTheme="minorHAnsi" w:hAnsiTheme="minorHAnsi"/>
          <w:sz w:val="24"/>
          <w:szCs w:val="24"/>
        </w:rPr>
        <w:t>机器人的动作流程和机器人</w:t>
      </w:r>
      <w:r>
        <w:rPr>
          <w:rFonts w:asciiTheme="minorHAnsi" w:hAnsiTheme="minorHAnsi"/>
          <w:sz w:val="24"/>
          <w:szCs w:val="24"/>
        </w:rPr>
        <w:t>编程、现场调试。实现更换升降台后MC07缸盖的抓取、浸涂、中转。</w:t>
      </w:r>
    </w:p>
    <w:p w14:paraId="51BE664D">
      <w:pPr>
        <w:pStyle w:val="2"/>
        <w:rPr>
          <w:rFonts w:asciiTheme="minorHAnsi" w:hAnsiTheme="minorHAnsi"/>
          <w:sz w:val="24"/>
          <w:szCs w:val="24"/>
        </w:rPr>
      </w:pPr>
      <w:r>
        <w:rPr>
          <w:rFonts w:hint="eastAsia" w:asciiTheme="minorHAnsi" w:hAnsiTheme="minorHAnsi"/>
          <w:sz w:val="24"/>
          <w:szCs w:val="24"/>
        </w:rPr>
        <w:t>（3）</w:t>
      </w:r>
      <w:r>
        <w:rPr>
          <w:rFonts w:asciiTheme="minorHAnsi" w:hAnsiTheme="minorHAnsi"/>
          <w:sz w:val="24"/>
          <w:szCs w:val="24"/>
        </w:rPr>
        <w:t>1台KUKA转运机器人（型号KR500 R2830/FLR）</w:t>
      </w:r>
      <w:r>
        <w:rPr>
          <w:rFonts w:hint="eastAsia" w:asciiTheme="minorHAnsi" w:hAnsiTheme="minorHAnsi"/>
          <w:sz w:val="24"/>
          <w:szCs w:val="24"/>
        </w:rPr>
        <w:t>：</w:t>
      </w:r>
      <w:r>
        <w:rPr>
          <w:rFonts w:asciiTheme="minorHAnsi" w:hAnsiTheme="minorHAnsi"/>
          <w:sz w:val="24"/>
          <w:szCs w:val="24"/>
        </w:rPr>
        <w:t>系统仿真模拟，确定KUKA转运机器人搬迁后</w:t>
      </w:r>
      <w:r>
        <w:rPr>
          <w:rFonts w:hint="eastAsia" w:asciiTheme="minorHAnsi" w:hAnsiTheme="minorHAnsi"/>
          <w:sz w:val="24"/>
          <w:szCs w:val="24"/>
        </w:rPr>
        <w:t>机器人的动作流程和机器人</w:t>
      </w:r>
      <w:r>
        <w:rPr>
          <w:rFonts w:asciiTheme="minorHAnsi" w:hAnsiTheme="minorHAnsi"/>
          <w:sz w:val="24"/>
          <w:szCs w:val="24"/>
        </w:rPr>
        <w:t>程序编写、现场调试。实现MC07/615取芯、放芯，并预留出砂芯小车通道</w:t>
      </w:r>
      <w:r>
        <w:rPr>
          <w:rFonts w:hint="eastAsia" w:asciiTheme="minorHAnsi" w:hAnsiTheme="minorHAnsi"/>
          <w:sz w:val="24"/>
          <w:szCs w:val="24"/>
        </w:rPr>
        <w:t>。</w:t>
      </w:r>
      <w:r>
        <w:rPr>
          <w:rFonts w:asciiTheme="minorHAnsi" w:hAnsiTheme="minorHAnsi"/>
          <w:sz w:val="24"/>
          <w:szCs w:val="24"/>
        </w:rPr>
        <w:t xml:space="preserve"> 完成1副MC07缸盖转运夹具、1副615转运缸盖夹具快换编程。</w:t>
      </w:r>
    </w:p>
    <w:p w14:paraId="59A80D1D">
      <w:pPr>
        <w:pStyle w:val="2"/>
        <w:rPr>
          <w:rFonts w:asciiTheme="minorHAnsi" w:hAnsiTheme="minorHAnsi"/>
          <w:sz w:val="24"/>
          <w:szCs w:val="24"/>
        </w:rPr>
      </w:pPr>
      <w:r>
        <w:rPr>
          <w:rFonts w:hint="eastAsia" w:asciiTheme="minorHAnsi" w:hAnsiTheme="minorHAnsi"/>
          <w:sz w:val="24"/>
          <w:szCs w:val="24"/>
        </w:rPr>
        <w:t>（4）</w:t>
      </w:r>
      <w:r>
        <w:rPr>
          <w:rFonts w:asciiTheme="minorHAnsi" w:hAnsiTheme="minorHAnsi"/>
          <w:sz w:val="24"/>
          <w:szCs w:val="24"/>
        </w:rPr>
        <w:t>1台ABB机器人（型号ABBIRB7600-500/2.55F）</w:t>
      </w:r>
      <w:r>
        <w:rPr>
          <w:rFonts w:hint="eastAsia" w:asciiTheme="minorHAnsi" w:hAnsiTheme="minorHAnsi"/>
          <w:sz w:val="24"/>
          <w:szCs w:val="24"/>
        </w:rPr>
        <w:t>：机器人</w:t>
      </w:r>
      <w:r>
        <w:rPr>
          <w:rFonts w:asciiTheme="minorHAnsi" w:hAnsiTheme="minorHAnsi"/>
          <w:sz w:val="24"/>
          <w:szCs w:val="24"/>
        </w:rPr>
        <w:t>编程、现场调试。把615缸盖芯从循环辊道线搬运到下芯辊道线托板。</w:t>
      </w:r>
    </w:p>
    <w:p w14:paraId="5E6B9B66">
      <w:pPr>
        <w:pStyle w:val="2"/>
        <w:rPr>
          <w:rFonts w:asciiTheme="minorHAnsi" w:hAnsiTheme="minorHAnsi"/>
          <w:sz w:val="24"/>
          <w:szCs w:val="24"/>
        </w:rPr>
      </w:pPr>
      <w:r>
        <w:rPr>
          <w:rFonts w:hint="eastAsia" w:asciiTheme="minorHAnsi" w:hAnsiTheme="minorHAnsi"/>
          <w:sz w:val="24"/>
          <w:szCs w:val="24"/>
        </w:rPr>
        <w:t>（5）BMD下芯工位。</w:t>
      </w:r>
      <w:r>
        <w:rPr>
          <w:rFonts w:asciiTheme="minorHAnsi" w:hAnsiTheme="minorHAnsi"/>
          <w:sz w:val="24"/>
          <w:szCs w:val="24"/>
        </w:rPr>
        <w:t>1台ABB机器人（型号ABBIRB7600-500/2.55F）</w:t>
      </w:r>
      <w:r>
        <w:rPr>
          <w:rFonts w:hint="eastAsia" w:asciiTheme="minorHAnsi" w:hAnsiTheme="minorHAnsi"/>
          <w:sz w:val="24"/>
          <w:szCs w:val="24"/>
        </w:rPr>
        <w:t>：</w:t>
      </w:r>
      <w:r>
        <w:rPr>
          <w:rFonts w:asciiTheme="minorHAnsi" w:hAnsiTheme="minorHAnsi"/>
          <w:sz w:val="24"/>
          <w:szCs w:val="24"/>
        </w:rPr>
        <w:t>编程、现场调试</w:t>
      </w:r>
      <w:r>
        <w:rPr>
          <w:rFonts w:hint="eastAsia" w:asciiTheme="minorHAnsi" w:hAnsiTheme="minorHAnsi"/>
          <w:sz w:val="24"/>
          <w:szCs w:val="24"/>
        </w:rPr>
        <w:t>，</w:t>
      </w:r>
      <w:r>
        <w:rPr>
          <w:rFonts w:asciiTheme="minorHAnsi" w:hAnsiTheme="minorHAnsi"/>
          <w:sz w:val="24"/>
          <w:szCs w:val="24"/>
        </w:rPr>
        <w:t>抓取下芯辊道线上的</w:t>
      </w:r>
      <w:r>
        <w:rPr>
          <w:rFonts w:hint="eastAsia" w:asciiTheme="minorHAnsi" w:hAnsiTheme="minorHAnsi"/>
          <w:sz w:val="24"/>
          <w:szCs w:val="24"/>
        </w:rPr>
        <w:t>615缸盖芯</w:t>
      </w:r>
      <w:r>
        <w:rPr>
          <w:rFonts w:asciiTheme="minorHAnsi" w:hAnsiTheme="minorHAnsi"/>
          <w:sz w:val="24"/>
          <w:szCs w:val="24"/>
        </w:rPr>
        <w:t>并放入下芯胎具</w:t>
      </w:r>
      <w:r>
        <w:rPr>
          <w:rFonts w:hint="eastAsia" w:asciiTheme="minorHAnsi" w:hAnsiTheme="minorHAnsi"/>
          <w:sz w:val="24"/>
          <w:szCs w:val="24"/>
        </w:rPr>
        <w:t>；</w:t>
      </w:r>
      <w:r>
        <w:rPr>
          <w:rFonts w:asciiTheme="minorHAnsi" w:hAnsiTheme="minorHAnsi"/>
          <w:sz w:val="24"/>
          <w:szCs w:val="24"/>
        </w:rPr>
        <w:t>1台ABB机器人（型号ABB</w:t>
      </w:r>
      <w:r>
        <w:rPr>
          <w:rFonts w:hint="eastAsia" w:asciiTheme="minorHAnsi" w:hAnsiTheme="minorHAnsi"/>
          <w:sz w:val="24"/>
          <w:szCs w:val="24"/>
        </w:rPr>
        <w:t xml:space="preserve"> IRB 6640-235/2.55</w:t>
      </w:r>
      <w:r>
        <w:rPr>
          <w:rFonts w:asciiTheme="minorHAnsi" w:hAnsiTheme="minorHAnsi"/>
          <w:sz w:val="24"/>
          <w:szCs w:val="24"/>
        </w:rPr>
        <w:t>）信号连接</w:t>
      </w:r>
      <w:r>
        <w:rPr>
          <w:rFonts w:hint="eastAsia" w:asciiTheme="minorHAnsi" w:hAnsiTheme="minorHAnsi"/>
          <w:sz w:val="24"/>
          <w:szCs w:val="24"/>
        </w:rPr>
        <w:t>、</w:t>
      </w:r>
      <w:r>
        <w:rPr>
          <w:rFonts w:asciiTheme="minorHAnsi" w:hAnsiTheme="minorHAnsi"/>
          <w:sz w:val="24"/>
          <w:szCs w:val="24"/>
        </w:rPr>
        <w:t>编程、现场调试</w:t>
      </w:r>
      <w:r>
        <w:rPr>
          <w:rFonts w:hint="eastAsia" w:asciiTheme="minorHAnsi" w:hAnsiTheme="minorHAnsi"/>
          <w:sz w:val="24"/>
          <w:szCs w:val="24"/>
        </w:rPr>
        <w:t>，</w:t>
      </w:r>
      <w:r>
        <w:rPr>
          <w:rFonts w:asciiTheme="minorHAnsi" w:hAnsiTheme="minorHAnsi"/>
          <w:sz w:val="24"/>
          <w:szCs w:val="24"/>
        </w:rPr>
        <w:t>抓取下芯辊道线上的</w:t>
      </w:r>
      <w:r>
        <w:rPr>
          <w:rFonts w:hint="eastAsia" w:asciiTheme="minorHAnsi" w:hAnsiTheme="minorHAnsi"/>
          <w:sz w:val="24"/>
          <w:szCs w:val="24"/>
        </w:rPr>
        <w:t>MC</w:t>
      </w:r>
      <w:r>
        <w:rPr>
          <w:rFonts w:asciiTheme="minorHAnsi" w:hAnsiTheme="minorHAnsi"/>
          <w:sz w:val="24"/>
          <w:szCs w:val="24"/>
        </w:rPr>
        <w:t>砂芯并放入下芯胎具</w:t>
      </w:r>
      <w:r>
        <w:rPr>
          <w:rFonts w:hint="eastAsia" w:asciiTheme="minorHAnsi" w:hAnsiTheme="minorHAnsi"/>
          <w:sz w:val="24"/>
          <w:szCs w:val="24"/>
        </w:rPr>
        <w:t>。</w:t>
      </w:r>
    </w:p>
    <w:p w14:paraId="783A2EE4">
      <w:pPr>
        <w:pStyle w:val="2"/>
        <w:rPr>
          <w:rFonts w:asciiTheme="minorHAnsi" w:hAnsiTheme="minorHAnsi"/>
          <w:sz w:val="24"/>
          <w:szCs w:val="24"/>
        </w:rPr>
      </w:pPr>
      <w:r>
        <w:rPr>
          <w:rFonts w:hint="eastAsia" w:asciiTheme="minorHAnsi" w:hAnsiTheme="minorHAnsi"/>
          <w:sz w:val="24"/>
          <w:szCs w:val="24"/>
        </w:rPr>
        <w:t>（6）控制软件，包括：</w:t>
      </w:r>
      <w:r>
        <w:rPr>
          <w:rFonts w:asciiTheme="minorHAnsi" w:hAnsiTheme="minorHAnsi"/>
          <w:sz w:val="24"/>
          <w:szCs w:val="24"/>
        </w:rPr>
        <w:t>a、原有设备（组芯线、1台表干炉、1条循环辊道线、1条砂芯合芯输送及下芯系统、BMD造型线、6台机器人）控制程序收集、分析、梳理；b、按照投标方提供的电气系统设计要求完成</w:t>
      </w:r>
      <w:r>
        <w:rPr>
          <w:rFonts w:hint="eastAsia" w:asciiTheme="minorHAnsi" w:hAnsiTheme="minorHAnsi"/>
          <w:sz w:val="24"/>
          <w:szCs w:val="24"/>
        </w:rPr>
        <w:t>升降台、炉后新增辊道线、机器人安全围栏、砂芯定位校准装置、托板定位装置、循环辊道线缓冲装置等新增设备</w:t>
      </w:r>
      <w:r>
        <w:rPr>
          <w:rFonts w:asciiTheme="minorHAnsi" w:hAnsiTheme="minorHAnsi"/>
          <w:sz w:val="24"/>
          <w:szCs w:val="24"/>
        </w:rPr>
        <w:t>控制软件</w:t>
      </w:r>
      <w:r>
        <w:rPr>
          <w:rFonts w:hint="eastAsia" w:asciiTheme="minorHAnsi" w:hAnsiTheme="minorHAnsi"/>
          <w:sz w:val="24"/>
          <w:szCs w:val="24"/>
        </w:rPr>
        <w:t>编程</w:t>
      </w:r>
      <w:r>
        <w:rPr>
          <w:rFonts w:asciiTheme="minorHAnsi" w:hAnsiTheme="minorHAnsi"/>
          <w:sz w:val="24"/>
          <w:szCs w:val="24"/>
        </w:rPr>
        <w:t>及</w:t>
      </w:r>
      <w:r>
        <w:rPr>
          <w:rFonts w:hint="eastAsia" w:asciiTheme="minorHAnsi" w:hAnsiTheme="minorHAnsi"/>
          <w:sz w:val="24"/>
          <w:szCs w:val="24"/>
        </w:rPr>
        <w:t>程序</w:t>
      </w:r>
      <w:r>
        <w:rPr>
          <w:rFonts w:asciiTheme="minorHAnsi" w:hAnsiTheme="minorHAnsi"/>
          <w:sz w:val="24"/>
          <w:szCs w:val="24"/>
        </w:rPr>
        <w:t>调试。</w:t>
      </w:r>
    </w:p>
    <w:p w14:paraId="01C0BBF1">
      <w:pPr>
        <w:pStyle w:val="12"/>
        <w:spacing w:line="276" w:lineRule="auto"/>
        <w:rPr>
          <w:rFonts w:asciiTheme="minorHAnsi" w:hAnsiTheme="minorHAnsi" w:eastAsiaTheme="minorEastAsia" w:cstheme="minorBidi"/>
          <w:sz w:val="24"/>
          <w:szCs w:val="24"/>
        </w:rPr>
      </w:pPr>
      <w:r>
        <w:rPr>
          <w:rFonts w:hint="eastAsia" w:asciiTheme="minorHAnsi" w:hAnsiTheme="minorHAnsi" w:eastAsiaTheme="minorEastAsia" w:cstheme="minorBidi"/>
          <w:sz w:val="24"/>
          <w:szCs w:val="24"/>
        </w:rPr>
        <w:t>1</w:t>
      </w:r>
      <w:r>
        <w:rPr>
          <w:rFonts w:asciiTheme="minorHAnsi" w:hAnsiTheme="minorHAnsi" w:eastAsiaTheme="minorEastAsia" w:cstheme="minorBidi"/>
          <w:sz w:val="24"/>
          <w:szCs w:val="24"/>
        </w:rPr>
        <w:t>2</w:t>
      </w:r>
      <w:r>
        <w:rPr>
          <w:rFonts w:hint="eastAsia" w:asciiTheme="minorHAnsi" w:hAnsiTheme="minorHAnsi" w:eastAsiaTheme="minorEastAsia" w:cstheme="minorBidi"/>
          <w:sz w:val="24"/>
          <w:szCs w:val="24"/>
        </w:rPr>
        <w:t>、安全围栏系统。</w:t>
      </w:r>
    </w:p>
    <w:p w14:paraId="52B9A797">
      <w:pPr>
        <w:widowControl/>
        <w:spacing w:line="288" w:lineRule="auto"/>
        <w:ind w:firstLine="480" w:firstLineChars="200"/>
        <w:rPr>
          <w:sz w:val="24"/>
          <w:szCs w:val="24"/>
        </w:rPr>
      </w:pPr>
      <w:r>
        <w:rPr>
          <w:rFonts w:hint="eastAsia"/>
          <w:sz w:val="24"/>
          <w:szCs w:val="24"/>
        </w:rPr>
        <w:t>安全围栏按照G</w:t>
      </w:r>
      <w:r>
        <w:rPr>
          <w:sz w:val="24"/>
          <w:szCs w:val="24"/>
        </w:rPr>
        <w:t>B/T42627</w:t>
      </w:r>
      <w:r>
        <w:rPr>
          <w:rFonts w:hint="eastAsia"/>
          <w:sz w:val="24"/>
          <w:szCs w:val="24"/>
        </w:rPr>
        <w:t>-</w:t>
      </w:r>
      <w:r>
        <w:rPr>
          <w:sz w:val="24"/>
          <w:szCs w:val="24"/>
        </w:rPr>
        <w:t>2024</w:t>
      </w:r>
      <w:r>
        <w:rPr>
          <w:rFonts w:hint="eastAsia"/>
          <w:sz w:val="24"/>
          <w:szCs w:val="24"/>
        </w:rPr>
        <w:t>（机械安全围栏防护系统安全要求）制作、安装，按照招标方通过三维模拟确认的转运机器人位置确定安装位置，安全围栏要求靠通道侧安装滑轨移门，移门开启状态下留出1.2米左右砂芯小车通道，输送线里侧不方便安装安全围栏的区域须安装安全光栅，确保整个机器人运行区域得到全封闭防护。</w:t>
      </w:r>
    </w:p>
    <w:p w14:paraId="14E14E2A">
      <w:pPr>
        <w:pStyle w:val="12"/>
        <w:spacing w:line="276" w:lineRule="auto"/>
        <w:ind w:firstLine="480" w:firstLineChars="200"/>
        <w:rPr>
          <w:rFonts w:asciiTheme="minorHAnsi" w:hAnsiTheme="minorHAnsi" w:eastAsiaTheme="minorEastAsia" w:cstheme="minorBidi"/>
          <w:sz w:val="24"/>
          <w:szCs w:val="24"/>
        </w:rPr>
      </w:pPr>
      <w:r>
        <w:rPr>
          <w:rFonts w:hint="eastAsia" w:asciiTheme="minorHAnsi" w:hAnsiTheme="minorHAnsi" w:eastAsiaTheme="minorEastAsia" w:cstheme="minorBidi"/>
          <w:sz w:val="24"/>
          <w:szCs w:val="24"/>
        </w:rPr>
        <w:t>机器人安装安全围栏并与机器人联动，安全门打开后机器人立刻停止运行，只有当人工按下确认按钮，并再次运行机器人后机器人才能正常工作。</w:t>
      </w:r>
    </w:p>
    <w:p w14:paraId="079C63BE">
      <w:pPr>
        <w:widowControl/>
        <w:spacing w:line="288" w:lineRule="auto"/>
        <w:rPr>
          <w:sz w:val="24"/>
          <w:szCs w:val="24"/>
        </w:rPr>
      </w:pPr>
      <w:r>
        <w:rPr>
          <w:sz w:val="24"/>
          <w:szCs w:val="24"/>
        </w:rPr>
        <w:t>13</w:t>
      </w:r>
      <w:r>
        <w:rPr>
          <w:rFonts w:hint="eastAsia"/>
          <w:sz w:val="24"/>
          <w:szCs w:val="24"/>
        </w:rPr>
        <w:t>、设备基础（升降台地坑，液压管地槽，新增设备预埋板等）、供电等。</w:t>
      </w:r>
    </w:p>
    <w:p w14:paraId="38A4424E">
      <w:pPr>
        <w:rPr>
          <w:sz w:val="24"/>
          <w:szCs w:val="24"/>
        </w:rPr>
      </w:pPr>
      <w:r>
        <w:rPr>
          <w:sz w:val="24"/>
          <w:szCs w:val="24"/>
        </w:rPr>
        <w:t>第四部分：随机</w:t>
      </w:r>
      <w:r>
        <w:rPr>
          <w:rFonts w:hint="eastAsia"/>
          <w:sz w:val="24"/>
          <w:szCs w:val="24"/>
        </w:rPr>
        <w:t>文件</w:t>
      </w:r>
    </w:p>
    <w:p w14:paraId="425B4665">
      <w:pPr>
        <w:spacing w:line="360" w:lineRule="auto"/>
        <w:ind w:left="541" w:leftChars="86" w:hanging="360" w:hangingChars="150"/>
        <w:rPr>
          <w:sz w:val="24"/>
          <w:szCs w:val="24"/>
        </w:rPr>
      </w:pPr>
      <w:r>
        <w:rPr>
          <w:sz w:val="24"/>
          <w:szCs w:val="24"/>
        </w:rPr>
        <w:t>1</w:t>
      </w:r>
      <w:r>
        <w:rPr>
          <w:rFonts w:hint="eastAsia"/>
          <w:sz w:val="24"/>
          <w:szCs w:val="24"/>
        </w:rPr>
        <w:t>、卖方须负责在技术确认或总图会签后7个日历日内，提供下列纸质及电子版资料，电子版文件应当能够使用常用版本软件可以阅读甚至使用。</w:t>
      </w:r>
    </w:p>
    <w:p w14:paraId="70CD548A">
      <w:pPr>
        <w:numPr>
          <w:ilvl w:val="1"/>
          <w:numId w:val="30"/>
        </w:numPr>
        <w:spacing w:line="360" w:lineRule="auto"/>
        <w:rPr>
          <w:sz w:val="24"/>
          <w:szCs w:val="24"/>
        </w:rPr>
      </w:pPr>
      <w:r>
        <w:rPr>
          <w:rFonts w:hint="eastAsia"/>
          <w:sz w:val="24"/>
          <w:szCs w:val="24"/>
        </w:rPr>
        <w:t>设备基础图、基础负荷图。</w:t>
      </w:r>
    </w:p>
    <w:p w14:paraId="53FA373D">
      <w:pPr>
        <w:numPr>
          <w:ilvl w:val="1"/>
          <w:numId w:val="30"/>
        </w:numPr>
        <w:spacing w:line="360" w:lineRule="auto"/>
        <w:rPr>
          <w:sz w:val="24"/>
          <w:szCs w:val="24"/>
        </w:rPr>
      </w:pPr>
      <w:r>
        <w:rPr>
          <w:rFonts w:hint="eastAsia"/>
          <w:sz w:val="24"/>
          <w:szCs w:val="24"/>
        </w:rPr>
        <w:t>设备平面图、剖面图。</w:t>
      </w:r>
    </w:p>
    <w:p w14:paraId="1DEEBA70">
      <w:pPr>
        <w:numPr>
          <w:ilvl w:val="1"/>
          <w:numId w:val="30"/>
        </w:numPr>
        <w:spacing w:line="360" w:lineRule="auto"/>
        <w:rPr>
          <w:sz w:val="24"/>
          <w:szCs w:val="24"/>
        </w:rPr>
      </w:pPr>
      <w:r>
        <w:rPr>
          <w:rFonts w:hint="eastAsia"/>
          <w:sz w:val="24"/>
          <w:szCs w:val="24"/>
        </w:rPr>
        <w:t>设备所需的水、电、气、油料等的技术要求、</w:t>
      </w:r>
      <w:r>
        <w:rPr>
          <w:sz w:val="24"/>
          <w:szCs w:val="24"/>
        </w:rPr>
        <w:t>公用耗量、能源动力用量等相关参数及接口尺寸</w:t>
      </w:r>
      <w:r>
        <w:rPr>
          <w:rFonts w:hint="eastAsia"/>
          <w:sz w:val="24"/>
          <w:szCs w:val="24"/>
        </w:rPr>
        <w:t>。</w:t>
      </w:r>
    </w:p>
    <w:p w14:paraId="6621A574">
      <w:pPr>
        <w:numPr>
          <w:ilvl w:val="1"/>
          <w:numId w:val="30"/>
        </w:numPr>
        <w:spacing w:line="360" w:lineRule="auto"/>
        <w:rPr>
          <w:sz w:val="24"/>
          <w:szCs w:val="24"/>
        </w:rPr>
      </w:pPr>
      <w:r>
        <w:rPr>
          <w:rFonts w:hint="eastAsia"/>
          <w:sz w:val="24"/>
          <w:szCs w:val="24"/>
        </w:rPr>
        <w:t>设备总装配图。</w:t>
      </w:r>
    </w:p>
    <w:p w14:paraId="049BEA6C">
      <w:pPr>
        <w:numPr>
          <w:ilvl w:val="1"/>
          <w:numId w:val="30"/>
        </w:numPr>
        <w:spacing w:line="360" w:lineRule="auto"/>
        <w:rPr>
          <w:sz w:val="24"/>
          <w:szCs w:val="24"/>
        </w:rPr>
      </w:pPr>
      <w:r>
        <w:rPr>
          <w:sz w:val="24"/>
          <w:szCs w:val="24"/>
        </w:rPr>
        <w:t>设备安装指导书</w:t>
      </w:r>
      <w:r>
        <w:rPr>
          <w:rFonts w:hint="eastAsia"/>
          <w:sz w:val="24"/>
          <w:szCs w:val="24"/>
        </w:rPr>
        <w:t>。</w:t>
      </w:r>
    </w:p>
    <w:p w14:paraId="410C71E7">
      <w:pPr>
        <w:spacing w:line="360" w:lineRule="auto"/>
        <w:ind w:left="526" w:leftChars="136" w:hanging="240" w:hangingChars="100"/>
        <w:rPr>
          <w:sz w:val="24"/>
          <w:szCs w:val="24"/>
        </w:rPr>
      </w:pPr>
      <w:r>
        <w:rPr>
          <w:sz w:val="24"/>
          <w:szCs w:val="24"/>
        </w:rPr>
        <w:t>2</w:t>
      </w:r>
      <w:r>
        <w:rPr>
          <w:rFonts w:hint="eastAsia"/>
          <w:sz w:val="24"/>
          <w:szCs w:val="24"/>
        </w:rPr>
        <w:t>、 卖方应同时提出对厂房、基础、公用设施、消防、环保等超出招标文件、投标文件、答疑文件、技术交流文件、技术协议书和合同等规定的、有特殊需要的解释、说明和要求等书面资料。</w:t>
      </w:r>
    </w:p>
    <w:p w14:paraId="6D8EE449">
      <w:pPr>
        <w:spacing w:line="360" w:lineRule="auto"/>
        <w:ind w:left="181" w:leftChars="86" w:firstLine="120" w:firstLineChars="50"/>
        <w:rPr>
          <w:sz w:val="24"/>
          <w:szCs w:val="24"/>
        </w:rPr>
      </w:pPr>
      <w:r>
        <w:rPr>
          <w:sz w:val="24"/>
          <w:szCs w:val="24"/>
        </w:rPr>
        <w:t>3</w:t>
      </w:r>
      <w:r>
        <w:rPr>
          <w:rFonts w:hint="eastAsia"/>
          <w:sz w:val="24"/>
          <w:szCs w:val="24"/>
        </w:rPr>
        <w:t>、卖方须负责在预验收前，提供货物（设备）各部分的功能描述文件、图片、影像等资料（进口件应有中外文对照）。</w:t>
      </w:r>
    </w:p>
    <w:p w14:paraId="658793CA">
      <w:pPr>
        <w:tabs>
          <w:tab w:val="left" w:pos="2160"/>
        </w:tabs>
        <w:spacing w:line="360" w:lineRule="auto"/>
        <w:ind w:left="555" w:leftChars="150" w:hanging="240" w:hangingChars="100"/>
        <w:rPr>
          <w:sz w:val="24"/>
          <w:szCs w:val="24"/>
        </w:rPr>
      </w:pPr>
      <w:r>
        <w:rPr>
          <w:sz w:val="24"/>
          <w:szCs w:val="24"/>
        </w:rPr>
        <w:t>4</w:t>
      </w:r>
      <w:r>
        <w:rPr>
          <w:rFonts w:hint="eastAsia"/>
          <w:sz w:val="24"/>
          <w:szCs w:val="24"/>
        </w:rPr>
        <w:t>、卖方须负责在预验收后终验收前，提供买方为保证货物（设备）安装调试和正常运行所需自制的工装、吊（挂）具明细及其图纸、具体技术要求等资料。</w:t>
      </w:r>
    </w:p>
    <w:p w14:paraId="55ED8DC8">
      <w:pPr>
        <w:tabs>
          <w:tab w:val="left" w:pos="2160"/>
        </w:tabs>
        <w:spacing w:line="360" w:lineRule="auto"/>
        <w:ind w:left="555" w:leftChars="150" w:hanging="240" w:hangingChars="100"/>
        <w:rPr>
          <w:sz w:val="24"/>
          <w:szCs w:val="24"/>
        </w:rPr>
      </w:pPr>
      <w:r>
        <w:rPr>
          <w:sz w:val="24"/>
          <w:szCs w:val="24"/>
        </w:rPr>
        <w:t>5</w:t>
      </w:r>
      <w:r>
        <w:rPr>
          <w:rFonts w:hint="eastAsia"/>
          <w:sz w:val="24"/>
          <w:szCs w:val="24"/>
        </w:rPr>
        <w:t>、 卖方须负责在交货之前，提供确定的而且质保期之后卖方维修所需要的、可以自行采购的外购件、外协件、电气元件及主要原材料的供货厂家明细表。</w:t>
      </w:r>
    </w:p>
    <w:p w14:paraId="7B679E48">
      <w:pPr>
        <w:tabs>
          <w:tab w:val="left" w:pos="2160"/>
        </w:tabs>
        <w:spacing w:line="360" w:lineRule="auto"/>
        <w:ind w:firstLine="360" w:firstLineChars="150"/>
        <w:rPr>
          <w:sz w:val="24"/>
          <w:szCs w:val="24"/>
        </w:rPr>
      </w:pPr>
      <w:r>
        <w:rPr>
          <w:sz w:val="24"/>
          <w:szCs w:val="24"/>
        </w:rPr>
        <w:t>6</w:t>
      </w:r>
      <w:r>
        <w:rPr>
          <w:rFonts w:hint="eastAsia"/>
          <w:sz w:val="24"/>
          <w:szCs w:val="24"/>
        </w:rPr>
        <w:t>、 下列资料在交货时提供：</w:t>
      </w:r>
    </w:p>
    <w:p w14:paraId="38348FFE">
      <w:pPr>
        <w:numPr>
          <w:ilvl w:val="0"/>
          <w:numId w:val="31"/>
        </w:numPr>
        <w:spacing w:line="360" w:lineRule="auto"/>
        <w:rPr>
          <w:sz w:val="24"/>
          <w:szCs w:val="24"/>
        </w:rPr>
      </w:pPr>
      <w:r>
        <w:rPr>
          <w:rFonts w:hint="eastAsia"/>
          <w:sz w:val="24"/>
          <w:szCs w:val="24"/>
        </w:rPr>
        <w:t>货物的备品备件、易损件和专用耗材规定的图纸及技术参数、技术要求等资料。</w:t>
      </w:r>
    </w:p>
    <w:p w14:paraId="01002C30">
      <w:pPr>
        <w:numPr>
          <w:ilvl w:val="0"/>
          <w:numId w:val="31"/>
        </w:numPr>
        <w:spacing w:line="360" w:lineRule="auto"/>
        <w:rPr>
          <w:sz w:val="24"/>
          <w:szCs w:val="24"/>
        </w:rPr>
      </w:pPr>
      <w:r>
        <w:rPr>
          <w:rFonts w:hint="eastAsia"/>
          <w:sz w:val="24"/>
          <w:szCs w:val="24"/>
        </w:rPr>
        <w:t>货物的操作维护手册、保养维修手册、安全注意事项等的使用说明书、仪器仪表检定和使用维修说明书、合格证、产品样本等技术资料（含图片和影像等资料）；进口部件，应有中外文对照资料。</w:t>
      </w:r>
    </w:p>
    <w:p w14:paraId="05D6D275">
      <w:pPr>
        <w:numPr>
          <w:ilvl w:val="0"/>
          <w:numId w:val="31"/>
        </w:numPr>
        <w:spacing w:line="360" w:lineRule="auto"/>
        <w:rPr>
          <w:sz w:val="24"/>
          <w:szCs w:val="24"/>
        </w:rPr>
      </w:pPr>
      <w:r>
        <w:rPr>
          <w:rFonts w:hint="eastAsia"/>
          <w:sz w:val="24"/>
          <w:szCs w:val="24"/>
        </w:rPr>
        <w:t>货物（设备）的电气资料（包括接线图、原理图、布线图、梯形图等）、液压（气动）原理图和系统图、安装基础图、维修图等有关的资料（含图片和影像等资料）；如有进口部件，应有中外文对照资料。</w:t>
      </w:r>
    </w:p>
    <w:p w14:paraId="7682DDF8">
      <w:pPr>
        <w:numPr>
          <w:ilvl w:val="0"/>
          <w:numId w:val="31"/>
        </w:numPr>
        <w:spacing w:line="360" w:lineRule="auto"/>
        <w:rPr>
          <w:sz w:val="24"/>
          <w:szCs w:val="24"/>
        </w:rPr>
      </w:pPr>
      <w:r>
        <w:rPr>
          <w:rFonts w:hint="eastAsia"/>
          <w:sz w:val="24"/>
          <w:szCs w:val="24"/>
        </w:rPr>
        <w:t>本条款所列的技术资料、图片、影像等，投标方应各提供3套纸质文件，另加1套电子版；每份技术文件应装有目录清单。</w:t>
      </w:r>
    </w:p>
    <w:p w14:paraId="53FCA5FA">
      <w:pPr>
        <w:rPr>
          <w:sz w:val="24"/>
          <w:szCs w:val="24"/>
        </w:rPr>
      </w:pPr>
    </w:p>
    <w:p w14:paraId="1E571B5A">
      <w:pPr>
        <w:rPr>
          <w:sz w:val="24"/>
          <w:szCs w:val="24"/>
        </w:rPr>
      </w:pPr>
      <w:r>
        <w:rPr>
          <w:rFonts w:hint="eastAsia"/>
          <w:sz w:val="24"/>
          <w:szCs w:val="24"/>
        </w:rPr>
        <w:t>第三章</w:t>
      </w:r>
      <w:r>
        <w:rPr>
          <w:sz w:val="24"/>
          <w:szCs w:val="24"/>
        </w:rPr>
        <w:t xml:space="preserve">  </w:t>
      </w:r>
      <w:r>
        <w:rPr>
          <w:rFonts w:hint="eastAsia"/>
          <w:sz w:val="24"/>
          <w:szCs w:val="24"/>
        </w:rPr>
        <w:t>供货范围及供货方式</w:t>
      </w:r>
    </w:p>
    <w:p w14:paraId="3336C675">
      <w:pPr>
        <w:rPr>
          <w:sz w:val="24"/>
          <w:szCs w:val="24"/>
        </w:rPr>
      </w:pPr>
      <w:r>
        <w:rPr>
          <w:rFonts w:hint="eastAsia"/>
          <w:sz w:val="24"/>
          <w:szCs w:val="24"/>
        </w:rPr>
        <w:t>第一节  供货范围</w:t>
      </w:r>
    </w:p>
    <w:p w14:paraId="3FFD90BA">
      <w:pPr>
        <w:rPr>
          <w:sz w:val="24"/>
          <w:szCs w:val="24"/>
        </w:rPr>
      </w:pPr>
      <w:r>
        <w:rPr>
          <w:rFonts w:hint="eastAsia"/>
          <w:sz w:val="24"/>
          <w:szCs w:val="24"/>
        </w:rPr>
        <w:t>一、供货范围</w:t>
      </w:r>
    </w:p>
    <w:tbl>
      <w:tblPr>
        <w:tblStyle w:val="30"/>
        <w:tblW w:w="10278" w:type="dxa"/>
        <w:tblInd w:w="-615" w:type="dxa"/>
        <w:tblLayout w:type="autofit"/>
        <w:tblCellMar>
          <w:top w:w="0" w:type="dxa"/>
          <w:left w:w="108" w:type="dxa"/>
          <w:bottom w:w="0" w:type="dxa"/>
          <w:right w:w="108" w:type="dxa"/>
        </w:tblCellMar>
      </w:tblPr>
      <w:tblGrid>
        <w:gridCol w:w="894"/>
        <w:gridCol w:w="2650"/>
        <w:gridCol w:w="3969"/>
        <w:gridCol w:w="709"/>
        <w:gridCol w:w="425"/>
        <w:gridCol w:w="1631"/>
      </w:tblGrid>
      <w:tr w14:paraId="10AB56BA">
        <w:tblPrEx>
          <w:tblCellMar>
            <w:top w:w="0" w:type="dxa"/>
            <w:left w:w="108" w:type="dxa"/>
            <w:bottom w:w="0" w:type="dxa"/>
            <w:right w:w="108" w:type="dxa"/>
          </w:tblCellMar>
        </w:tblPrEx>
        <w:trPr>
          <w:trHeight w:val="360" w:hRule="atLeast"/>
        </w:trPr>
        <w:tc>
          <w:tcPr>
            <w:tcW w:w="89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F5A0B0A">
            <w:pPr>
              <w:widowControl/>
              <w:jc w:val="center"/>
              <w:rPr>
                <w:rFonts w:ascii="宋体" w:hAnsi="宋体" w:cs="宋体"/>
                <w:color w:val="000000"/>
                <w:kern w:val="0"/>
                <w:sz w:val="20"/>
              </w:rPr>
            </w:pPr>
            <w:r>
              <w:rPr>
                <w:rFonts w:hint="eastAsia" w:ascii="宋体" w:hAnsi="宋体" w:cs="宋体"/>
                <w:color w:val="000000"/>
                <w:kern w:val="0"/>
                <w:sz w:val="20"/>
              </w:rPr>
              <w:t>序号</w:t>
            </w:r>
          </w:p>
        </w:tc>
        <w:tc>
          <w:tcPr>
            <w:tcW w:w="2650" w:type="dxa"/>
            <w:tcBorders>
              <w:top w:val="single" w:color="auto" w:sz="4" w:space="0"/>
              <w:left w:val="nil"/>
              <w:bottom w:val="single" w:color="auto" w:sz="4" w:space="0"/>
              <w:right w:val="single" w:color="auto" w:sz="4" w:space="0"/>
            </w:tcBorders>
            <w:shd w:val="clear" w:color="auto" w:fill="auto"/>
            <w:vAlign w:val="center"/>
          </w:tcPr>
          <w:p w14:paraId="315A81B1">
            <w:pPr>
              <w:widowControl/>
              <w:jc w:val="center"/>
              <w:rPr>
                <w:rFonts w:ascii="宋体" w:hAnsi="宋体" w:cs="宋体"/>
                <w:color w:val="000000"/>
                <w:kern w:val="0"/>
                <w:sz w:val="20"/>
              </w:rPr>
            </w:pPr>
            <w:r>
              <w:rPr>
                <w:rFonts w:hint="eastAsia" w:ascii="宋体" w:hAnsi="宋体" w:cs="宋体"/>
                <w:color w:val="000000"/>
                <w:kern w:val="0"/>
                <w:sz w:val="20"/>
              </w:rPr>
              <w:t>部件名称</w:t>
            </w:r>
          </w:p>
        </w:tc>
        <w:tc>
          <w:tcPr>
            <w:tcW w:w="3969" w:type="dxa"/>
            <w:tcBorders>
              <w:top w:val="single" w:color="auto" w:sz="4" w:space="0"/>
              <w:left w:val="nil"/>
              <w:bottom w:val="single" w:color="auto" w:sz="4" w:space="0"/>
              <w:right w:val="single" w:color="auto" w:sz="4" w:space="0"/>
            </w:tcBorders>
            <w:shd w:val="clear" w:color="auto" w:fill="auto"/>
            <w:vAlign w:val="center"/>
          </w:tcPr>
          <w:p w14:paraId="0C60B9EE">
            <w:pPr>
              <w:widowControl/>
              <w:jc w:val="center"/>
              <w:rPr>
                <w:rFonts w:ascii="宋体" w:hAnsi="宋体" w:cs="宋体"/>
                <w:color w:val="000000"/>
                <w:kern w:val="0"/>
                <w:sz w:val="20"/>
              </w:rPr>
            </w:pPr>
            <w:r>
              <w:rPr>
                <w:rFonts w:hint="eastAsia" w:ascii="宋体" w:hAnsi="宋体" w:cs="宋体"/>
                <w:color w:val="000000"/>
                <w:kern w:val="0"/>
                <w:sz w:val="20"/>
              </w:rPr>
              <w:t>规格型号</w:t>
            </w:r>
          </w:p>
        </w:tc>
        <w:tc>
          <w:tcPr>
            <w:tcW w:w="709" w:type="dxa"/>
            <w:tcBorders>
              <w:top w:val="single" w:color="auto" w:sz="4" w:space="0"/>
              <w:left w:val="nil"/>
              <w:bottom w:val="single" w:color="auto" w:sz="4" w:space="0"/>
              <w:right w:val="single" w:color="auto" w:sz="4" w:space="0"/>
            </w:tcBorders>
            <w:shd w:val="clear" w:color="auto" w:fill="auto"/>
            <w:noWrap/>
            <w:vAlign w:val="center"/>
          </w:tcPr>
          <w:p w14:paraId="2C7F7502">
            <w:pPr>
              <w:widowControl/>
              <w:jc w:val="center"/>
              <w:rPr>
                <w:rFonts w:ascii="宋体" w:hAnsi="宋体" w:cs="宋体"/>
                <w:color w:val="000000"/>
                <w:kern w:val="0"/>
                <w:sz w:val="20"/>
              </w:rPr>
            </w:pPr>
            <w:r>
              <w:rPr>
                <w:rFonts w:hint="eastAsia" w:ascii="宋体" w:hAnsi="宋体" w:cs="宋体"/>
                <w:color w:val="000000"/>
                <w:kern w:val="0"/>
                <w:sz w:val="20"/>
              </w:rPr>
              <w:t>计量单位</w:t>
            </w:r>
          </w:p>
        </w:tc>
        <w:tc>
          <w:tcPr>
            <w:tcW w:w="425" w:type="dxa"/>
            <w:tcBorders>
              <w:top w:val="single" w:color="auto" w:sz="4" w:space="0"/>
              <w:left w:val="nil"/>
              <w:bottom w:val="single" w:color="auto" w:sz="4" w:space="0"/>
              <w:right w:val="single" w:color="auto" w:sz="4" w:space="0"/>
            </w:tcBorders>
            <w:shd w:val="clear" w:color="auto" w:fill="auto"/>
            <w:noWrap/>
            <w:vAlign w:val="center"/>
          </w:tcPr>
          <w:p w14:paraId="7C15CCD5">
            <w:pPr>
              <w:widowControl/>
              <w:jc w:val="center"/>
              <w:rPr>
                <w:rFonts w:ascii="宋体" w:hAnsi="宋体" w:cs="宋体"/>
                <w:color w:val="000000"/>
                <w:kern w:val="0"/>
                <w:sz w:val="20"/>
              </w:rPr>
            </w:pPr>
            <w:r>
              <w:rPr>
                <w:rFonts w:hint="eastAsia" w:ascii="宋体" w:hAnsi="宋体" w:cs="宋体"/>
                <w:color w:val="000000"/>
                <w:kern w:val="0"/>
                <w:sz w:val="20"/>
              </w:rPr>
              <w:t>数量</w:t>
            </w:r>
          </w:p>
        </w:tc>
        <w:tc>
          <w:tcPr>
            <w:tcW w:w="1631" w:type="dxa"/>
            <w:tcBorders>
              <w:top w:val="single" w:color="auto" w:sz="4" w:space="0"/>
              <w:left w:val="nil"/>
              <w:bottom w:val="single" w:color="auto" w:sz="4" w:space="0"/>
              <w:right w:val="single" w:color="auto" w:sz="4" w:space="0"/>
            </w:tcBorders>
            <w:shd w:val="clear" w:color="auto" w:fill="auto"/>
            <w:noWrap/>
            <w:vAlign w:val="center"/>
          </w:tcPr>
          <w:p w14:paraId="67190B96">
            <w:pPr>
              <w:widowControl/>
              <w:jc w:val="center"/>
              <w:rPr>
                <w:rFonts w:ascii="宋体" w:hAnsi="宋体" w:cs="宋体"/>
                <w:color w:val="000000"/>
                <w:kern w:val="0"/>
                <w:sz w:val="20"/>
              </w:rPr>
            </w:pPr>
            <w:r>
              <w:rPr>
                <w:rFonts w:hint="eastAsia" w:ascii="宋体" w:hAnsi="宋体" w:cs="宋体"/>
                <w:color w:val="000000"/>
                <w:kern w:val="0"/>
                <w:sz w:val="20"/>
              </w:rPr>
              <w:t>备注</w:t>
            </w:r>
          </w:p>
        </w:tc>
      </w:tr>
      <w:tr w14:paraId="353B7838">
        <w:tblPrEx>
          <w:tblCellMar>
            <w:top w:w="0" w:type="dxa"/>
            <w:left w:w="108" w:type="dxa"/>
            <w:bottom w:w="0" w:type="dxa"/>
            <w:right w:w="108" w:type="dxa"/>
          </w:tblCellMar>
        </w:tblPrEx>
        <w:trPr>
          <w:trHeight w:val="458" w:hRule="atLeast"/>
        </w:trPr>
        <w:tc>
          <w:tcPr>
            <w:tcW w:w="894" w:type="dxa"/>
            <w:tcBorders>
              <w:top w:val="nil"/>
              <w:left w:val="single" w:color="auto" w:sz="4" w:space="0"/>
              <w:bottom w:val="single" w:color="auto" w:sz="4" w:space="0"/>
              <w:right w:val="single" w:color="auto" w:sz="4" w:space="0"/>
            </w:tcBorders>
            <w:shd w:val="clear" w:color="FFFFFF" w:fill="FFFFFF"/>
            <w:vAlign w:val="center"/>
          </w:tcPr>
          <w:p w14:paraId="2216B004">
            <w:pPr>
              <w:widowControl/>
              <w:jc w:val="center"/>
              <w:rPr>
                <w:rFonts w:ascii="宋体" w:hAnsi="宋体" w:cs="宋体"/>
                <w:kern w:val="0"/>
                <w:sz w:val="20"/>
              </w:rPr>
            </w:pPr>
            <w:r>
              <w:rPr>
                <w:rFonts w:ascii="宋体" w:hAnsi="宋体" w:cs="宋体"/>
                <w:kern w:val="0"/>
                <w:sz w:val="20"/>
              </w:rPr>
              <w:t>1</w:t>
            </w:r>
          </w:p>
        </w:tc>
        <w:tc>
          <w:tcPr>
            <w:tcW w:w="2650" w:type="dxa"/>
            <w:tcBorders>
              <w:top w:val="nil"/>
              <w:left w:val="nil"/>
              <w:bottom w:val="single" w:color="auto" w:sz="4" w:space="0"/>
              <w:right w:val="single" w:color="auto" w:sz="4" w:space="0"/>
            </w:tcBorders>
            <w:shd w:val="clear" w:color="auto" w:fill="auto"/>
            <w:vAlign w:val="center"/>
          </w:tcPr>
          <w:p w14:paraId="12729FCC">
            <w:pPr>
              <w:widowControl/>
              <w:jc w:val="center"/>
              <w:rPr>
                <w:rFonts w:ascii="宋体" w:hAnsi="宋体" w:cs="宋体"/>
                <w:color w:val="000000"/>
                <w:kern w:val="0"/>
                <w:sz w:val="20"/>
              </w:rPr>
            </w:pPr>
            <w:r>
              <w:rPr>
                <w:rFonts w:hint="eastAsia" w:ascii="宋体" w:hAnsi="宋体" w:cs="宋体"/>
                <w:color w:val="000000"/>
                <w:kern w:val="0"/>
                <w:sz w:val="20"/>
              </w:rPr>
              <w:t>升降台</w:t>
            </w:r>
          </w:p>
        </w:tc>
        <w:tc>
          <w:tcPr>
            <w:tcW w:w="3969" w:type="dxa"/>
            <w:tcBorders>
              <w:top w:val="nil"/>
              <w:left w:val="nil"/>
              <w:bottom w:val="single" w:color="auto" w:sz="4" w:space="0"/>
              <w:right w:val="single" w:color="auto" w:sz="4" w:space="0"/>
            </w:tcBorders>
            <w:shd w:val="clear" w:color="auto" w:fill="auto"/>
            <w:vAlign w:val="center"/>
          </w:tcPr>
          <w:p w14:paraId="7B9B4B06">
            <w:pPr>
              <w:widowControl/>
              <w:rPr>
                <w:rFonts w:ascii="宋体" w:hAnsi="宋体" w:cs="宋体"/>
                <w:color w:val="000000"/>
                <w:kern w:val="0"/>
                <w:sz w:val="20"/>
              </w:rPr>
            </w:pPr>
            <w:r>
              <w:rPr>
                <w:rFonts w:hint="eastAsia" w:ascii="宋体" w:hAnsi="宋体" w:cs="宋体"/>
                <w:color w:val="000000"/>
                <w:kern w:val="0"/>
                <w:sz w:val="20"/>
              </w:rPr>
              <w:t>电机链式驱动结构;托板尺寸1400*900mm，升降行程400mm；载荷500KG。</w:t>
            </w:r>
          </w:p>
        </w:tc>
        <w:tc>
          <w:tcPr>
            <w:tcW w:w="709" w:type="dxa"/>
            <w:tcBorders>
              <w:top w:val="nil"/>
              <w:left w:val="nil"/>
              <w:bottom w:val="single" w:color="auto" w:sz="4" w:space="0"/>
              <w:right w:val="single" w:color="auto" w:sz="4" w:space="0"/>
            </w:tcBorders>
            <w:shd w:val="clear" w:color="auto" w:fill="auto"/>
            <w:noWrap/>
            <w:vAlign w:val="center"/>
          </w:tcPr>
          <w:p w14:paraId="37E67F5A">
            <w:pPr>
              <w:widowControl/>
              <w:jc w:val="center"/>
              <w:rPr>
                <w:rFonts w:ascii="宋体" w:hAnsi="宋体" w:cs="宋体"/>
                <w:color w:val="000000"/>
                <w:kern w:val="0"/>
                <w:sz w:val="20"/>
              </w:rPr>
            </w:pPr>
            <w:r>
              <w:rPr>
                <w:rFonts w:hint="eastAsia" w:ascii="宋体" w:hAnsi="宋体" w:cs="宋体"/>
                <w:color w:val="000000"/>
                <w:kern w:val="0"/>
                <w:sz w:val="20"/>
              </w:rPr>
              <w:t>台</w:t>
            </w:r>
          </w:p>
        </w:tc>
        <w:tc>
          <w:tcPr>
            <w:tcW w:w="425" w:type="dxa"/>
            <w:tcBorders>
              <w:top w:val="nil"/>
              <w:left w:val="nil"/>
              <w:bottom w:val="single" w:color="auto" w:sz="4" w:space="0"/>
              <w:right w:val="single" w:color="auto" w:sz="4" w:space="0"/>
            </w:tcBorders>
            <w:shd w:val="clear" w:color="auto" w:fill="auto"/>
            <w:noWrap/>
            <w:vAlign w:val="center"/>
          </w:tcPr>
          <w:p w14:paraId="1363FA35">
            <w:pPr>
              <w:widowControl/>
              <w:jc w:val="center"/>
              <w:rPr>
                <w:rFonts w:ascii="宋体" w:hAnsi="宋体" w:cs="宋体"/>
                <w:color w:val="000000"/>
                <w:kern w:val="0"/>
                <w:sz w:val="20"/>
              </w:rPr>
            </w:pPr>
            <w:r>
              <w:rPr>
                <w:rFonts w:hint="eastAsia" w:ascii="宋体" w:hAnsi="宋体" w:cs="宋体"/>
                <w:color w:val="000000"/>
                <w:kern w:val="0"/>
                <w:sz w:val="20"/>
              </w:rPr>
              <w:t>1</w:t>
            </w:r>
          </w:p>
        </w:tc>
        <w:tc>
          <w:tcPr>
            <w:tcW w:w="1631" w:type="dxa"/>
            <w:tcBorders>
              <w:top w:val="nil"/>
              <w:left w:val="nil"/>
              <w:bottom w:val="single" w:color="auto" w:sz="4" w:space="0"/>
              <w:right w:val="single" w:color="auto" w:sz="4" w:space="0"/>
            </w:tcBorders>
            <w:shd w:val="clear" w:color="auto" w:fill="auto"/>
            <w:noWrap/>
            <w:vAlign w:val="center"/>
          </w:tcPr>
          <w:p w14:paraId="32FE7076">
            <w:pPr>
              <w:widowControl/>
              <w:jc w:val="center"/>
              <w:rPr>
                <w:rFonts w:ascii="宋体" w:hAnsi="宋体" w:cs="宋体"/>
                <w:color w:val="000000"/>
                <w:kern w:val="0"/>
                <w:sz w:val="20"/>
              </w:rPr>
            </w:pPr>
            <w:r>
              <w:rPr>
                <w:rFonts w:hint="eastAsia" w:ascii="宋体" w:hAnsi="宋体" w:cs="宋体"/>
                <w:color w:val="000000"/>
                <w:kern w:val="0"/>
                <w:sz w:val="20"/>
              </w:rPr>
              <w:t>　</w:t>
            </w:r>
          </w:p>
        </w:tc>
      </w:tr>
      <w:tr w14:paraId="0F1109D4">
        <w:tblPrEx>
          <w:tblCellMar>
            <w:top w:w="0" w:type="dxa"/>
            <w:left w:w="108" w:type="dxa"/>
            <w:bottom w:w="0" w:type="dxa"/>
            <w:right w:w="108" w:type="dxa"/>
          </w:tblCellMar>
        </w:tblPrEx>
        <w:trPr>
          <w:trHeight w:val="480" w:hRule="atLeast"/>
        </w:trPr>
        <w:tc>
          <w:tcPr>
            <w:tcW w:w="894" w:type="dxa"/>
            <w:tcBorders>
              <w:top w:val="nil"/>
              <w:left w:val="single" w:color="auto" w:sz="4" w:space="0"/>
              <w:bottom w:val="single" w:color="auto" w:sz="4" w:space="0"/>
              <w:right w:val="single" w:color="auto" w:sz="4" w:space="0"/>
            </w:tcBorders>
            <w:shd w:val="clear" w:color="FFFFFF" w:fill="FFFFFF"/>
            <w:vAlign w:val="center"/>
          </w:tcPr>
          <w:p w14:paraId="29440547">
            <w:pPr>
              <w:widowControl/>
              <w:jc w:val="center"/>
              <w:rPr>
                <w:rFonts w:ascii="宋体" w:hAnsi="宋体" w:cs="宋体"/>
                <w:kern w:val="0"/>
                <w:sz w:val="20"/>
              </w:rPr>
            </w:pPr>
            <w:r>
              <w:rPr>
                <w:rFonts w:ascii="宋体" w:hAnsi="宋体" w:cs="宋体"/>
                <w:kern w:val="0"/>
                <w:sz w:val="20"/>
              </w:rPr>
              <w:t>2</w:t>
            </w:r>
          </w:p>
        </w:tc>
        <w:tc>
          <w:tcPr>
            <w:tcW w:w="2650" w:type="dxa"/>
            <w:tcBorders>
              <w:top w:val="nil"/>
              <w:left w:val="nil"/>
              <w:bottom w:val="single" w:color="auto" w:sz="4" w:space="0"/>
              <w:right w:val="single" w:color="auto" w:sz="4" w:space="0"/>
            </w:tcBorders>
            <w:shd w:val="clear" w:color="auto" w:fill="auto"/>
            <w:vAlign w:val="center"/>
          </w:tcPr>
          <w:p w14:paraId="3FB447EB">
            <w:pPr>
              <w:widowControl/>
              <w:jc w:val="center"/>
              <w:rPr>
                <w:rFonts w:ascii="宋体" w:hAnsi="宋体" w:cs="宋体"/>
                <w:color w:val="000000"/>
                <w:kern w:val="0"/>
                <w:sz w:val="20"/>
              </w:rPr>
            </w:pPr>
            <w:r>
              <w:rPr>
                <w:rFonts w:hint="eastAsia" w:ascii="宋体" w:hAnsi="宋体" w:cs="宋体"/>
                <w:color w:val="000000"/>
                <w:kern w:val="0"/>
                <w:sz w:val="20"/>
              </w:rPr>
              <w:t>机器人夹具快换定位储存系统</w:t>
            </w:r>
          </w:p>
        </w:tc>
        <w:tc>
          <w:tcPr>
            <w:tcW w:w="3969" w:type="dxa"/>
            <w:tcBorders>
              <w:top w:val="nil"/>
              <w:left w:val="nil"/>
              <w:bottom w:val="single" w:color="auto" w:sz="4" w:space="0"/>
              <w:right w:val="single" w:color="auto" w:sz="4" w:space="0"/>
            </w:tcBorders>
            <w:shd w:val="clear" w:color="auto" w:fill="auto"/>
            <w:vAlign w:val="center"/>
          </w:tcPr>
          <w:p w14:paraId="0DD8C29A">
            <w:pPr>
              <w:widowControl/>
              <w:jc w:val="center"/>
              <w:rPr>
                <w:rFonts w:ascii="宋体" w:hAnsi="宋体" w:cs="宋体"/>
                <w:color w:val="000000"/>
                <w:kern w:val="0"/>
                <w:sz w:val="20"/>
              </w:rPr>
            </w:pPr>
            <w:r>
              <w:rPr>
                <w:rFonts w:hint="eastAsia" w:ascii="宋体" w:hAnsi="宋体" w:cs="宋体"/>
                <w:color w:val="000000"/>
                <w:kern w:val="0"/>
                <w:sz w:val="20"/>
              </w:rPr>
              <w:t>MC07</w:t>
            </w:r>
            <w:r>
              <w:rPr>
                <w:rFonts w:ascii="宋体" w:hAnsi="宋体" w:cs="宋体"/>
                <w:color w:val="000000"/>
                <w:kern w:val="0"/>
                <w:sz w:val="20"/>
              </w:rPr>
              <w:t>/615</w:t>
            </w:r>
            <w:r>
              <w:rPr>
                <w:rFonts w:hint="eastAsia" w:ascii="宋体" w:hAnsi="宋体" w:cs="宋体"/>
                <w:color w:val="000000"/>
                <w:kern w:val="0"/>
                <w:sz w:val="20"/>
              </w:rPr>
              <w:t>夹具，可存放1套MC07夹具，2套615夹具；含支架</w:t>
            </w:r>
          </w:p>
        </w:tc>
        <w:tc>
          <w:tcPr>
            <w:tcW w:w="709" w:type="dxa"/>
            <w:tcBorders>
              <w:top w:val="nil"/>
              <w:left w:val="nil"/>
              <w:bottom w:val="single" w:color="auto" w:sz="4" w:space="0"/>
              <w:right w:val="single" w:color="auto" w:sz="4" w:space="0"/>
            </w:tcBorders>
            <w:shd w:val="clear" w:color="auto" w:fill="auto"/>
            <w:noWrap/>
            <w:vAlign w:val="center"/>
          </w:tcPr>
          <w:p w14:paraId="5EF433A7">
            <w:pPr>
              <w:widowControl/>
              <w:jc w:val="center"/>
              <w:rPr>
                <w:rFonts w:ascii="宋体" w:hAnsi="宋体" w:cs="宋体"/>
                <w:color w:val="000000"/>
                <w:kern w:val="0"/>
                <w:sz w:val="20"/>
              </w:rPr>
            </w:pPr>
            <w:r>
              <w:rPr>
                <w:rFonts w:hint="eastAsia" w:ascii="宋体" w:hAnsi="宋体" w:cs="宋体"/>
                <w:color w:val="000000"/>
                <w:kern w:val="0"/>
                <w:sz w:val="20"/>
              </w:rPr>
              <w:t>副</w:t>
            </w:r>
          </w:p>
        </w:tc>
        <w:tc>
          <w:tcPr>
            <w:tcW w:w="425" w:type="dxa"/>
            <w:tcBorders>
              <w:top w:val="nil"/>
              <w:left w:val="nil"/>
              <w:bottom w:val="single" w:color="auto" w:sz="4" w:space="0"/>
              <w:right w:val="single" w:color="auto" w:sz="4" w:space="0"/>
            </w:tcBorders>
            <w:shd w:val="clear" w:color="auto" w:fill="auto"/>
            <w:noWrap/>
            <w:vAlign w:val="center"/>
          </w:tcPr>
          <w:p w14:paraId="6477B93D">
            <w:pPr>
              <w:widowControl/>
              <w:jc w:val="center"/>
              <w:rPr>
                <w:rFonts w:ascii="宋体" w:hAnsi="宋体" w:cs="宋体"/>
                <w:color w:val="000000"/>
                <w:kern w:val="0"/>
                <w:sz w:val="20"/>
              </w:rPr>
            </w:pPr>
            <w:r>
              <w:rPr>
                <w:rFonts w:hint="eastAsia" w:ascii="宋体" w:hAnsi="宋体" w:cs="宋体"/>
                <w:color w:val="000000"/>
                <w:kern w:val="0"/>
                <w:sz w:val="20"/>
              </w:rPr>
              <w:t>1</w:t>
            </w:r>
          </w:p>
        </w:tc>
        <w:tc>
          <w:tcPr>
            <w:tcW w:w="1631" w:type="dxa"/>
            <w:tcBorders>
              <w:top w:val="nil"/>
              <w:left w:val="nil"/>
              <w:bottom w:val="single" w:color="auto" w:sz="4" w:space="0"/>
              <w:right w:val="single" w:color="auto" w:sz="4" w:space="0"/>
            </w:tcBorders>
            <w:shd w:val="clear" w:color="auto" w:fill="auto"/>
            <w:noWrap/>
            <w:vAlign w:val="center"/>
          </w:tcPr>
          <w:p w14:paraId="0AA08FCB">
            <w:pPr>
              <w:widowControl/>
              <w:jc w:val="center"/>
              <w:rPr>
                <w:rFonts w:ascii="宋体" w:hAnsi="宋体" w:cs="宋体"/>
                <w:color w:val="000000"/>
                <w:kern w:val="0"/>
                <w:sz w:val="20"/>
              </w:rPr>
            </w:pPr>
            <w:r>
              <w:rPr>
                <w:rFonts w:hint="eastAsia" w:ascii="宋体" w:hAnsi="宋体" w:cs="宋体"/>
                <w:color w:val="000000"/>
                <w:kern w:val="0"/>
                <w:sz w:val="20"/>
              </w:rPr>
              <w:t>　</w:t>
            </w:r>
          </w:p>
        </w:tc>
      </w:tr>
      <w:tr w14:paraId="5AADD906">
        <w:tblPrEx>
          <w:tblCellMar>
            <w:top w:w="0" w:type="dxa"/>
            <w:left w:w="108" w:type="dxa"/>
            <w:bottom w:w="0" w:type="dxa"/>
            <w:right w:w="108" w:type="dxa"/>
          </w:tblCellMar>
        </w:tblPrEx>
        <w:trPr>
          <w:trHeight w:val="270" w:hRule="atLeast"/>
        </w:trPr>
        <w:tc>
          <w:tcPr>
            <w:tcW w:w="894" w:type="dxa"/>
            <w:tcBorders>
              <w:top w:val="nil"/>
              <w:left w:val="single" w:color="auto" w:sz="4" w:space="0"/>
              <w:bottom w:val="single" w:color="auto" w:sz="4" w:space="0"/>
              <w:right w:val="single" w:color="auto" w:sz="4" w:space="0"/>
            </w:tcBorders>
            <w:shd w:val="clear" w:color="FFFFFF" w:fill="FFFFFF"/>
            <w:vAlign w:val="center"/>
          </w:tcPr>
          <w:p w14:paraId="2250A684">
            <w:pPr>
              <w:widowControl/>
              <w:jc w:val="center"/>
              <w:rPr>
                <w:rFonts w:ascii="宋体" w:hAnsi="宋体" w:cs="宋体"/>
                <w:kern w:val="0"/>
                <w:sz w:val="20"/>
              </w:rPr>
            </w:pPr>
            <w:r>
              <w:rPr>
                <w:rFonts w:ascii="宋体" w:hAnsi="宋体" w:cs="宋体"/>
                <w:kern w:val="0"/>
                <w:sz w:val="20"/>
              </w:rPr>
              <w:t>3</w:t>
            </w:r>
          </w:p>
        </w:tc>
        <w:tc>
          <w:tcPr>
            <w:tcW w:w="2650" w:type="dxa"/>
            <w:tcBorders>
              <w:top w:val="nil"/>
              <w:left w:val="nil"/>
              <w:bottom w:val="single" w:color="auto" w:sz="4" w:space="0"/>
              <w:right w:val="single" w:color="auto" w:sz="4" w:space="0"/>
            </w:tcBorders>
            <w:shd w:val="clear" w:color="auto" w:fill="auto"/>
            <w:vAlign w:val="center"/>
          </w:tcPr>
          <w:p w14:paraId="19795837">
            <w:pPr>
              <w:widowControl/>
              <w:jc w:val="center"/>
              <w:rPr>
                <w:rFonts w:ascii="宋体" w:hAnsi="宋体" w:cs="宋体"/>
                <w:color w:val="000000"/>
                <w:kern w:val="0"/>
                <w:sz w:val="20"/>
              </w:rPr>
            </w:pPr>
            <w:r>
              <w:rPr>
                <w:rFonts w:hint="eastAsia" w:ascii="宋体" w:hAnsi="宋体" w:cs="宋体"/>
                <w:color w:val="000000"/>
                <w:kern w:val="0"/>
                <w:sz w:val="20"/>
              </w:rPr>
              <w:t>砂芯转运中转台</w:t>
            </w:r>
          </w:p>
        </w:tc>
        <w:tc>
          <w:tcPr>
            <w:tcW w:w="3969" w:type="dxa"/>
            <w:tcBorders>
              <w:top w:val="nil"/>
              <w:left w:val="nil"/>
              <w:bottom w:val="single" w:color="auto" w:sz="4" w:space="0"/>
              <w:right w:val="single" w:color="auto" w:sz="4" w:space="0"/>
            </w:tcBorders>
            <w:shd w:val="clear" w:color="auto" w:fill="auto"/>
            <w:vAlign w:val="center"/>
          </w:tcPr>
          <w:p w14:paraId="03C19352">
            <w:pPr>
              <w:widowControl/>
              <w:jc w:val="center"/>
              <w:rPr>
                <w:rFonts w:ascii="宋体" w:hAnsi="宋体" w:cs="宋体"/>
                <w:color w:val="000000"/>
                <w:kern w:val="0"/>
                <w:sz w:val="20"/>
              </w:rPr>
            </w:pPr>
            <w:r>
              <w:rPr>
                <w:rFonts w:hint="eastAsia" w:ascii="宋体" w:hAnsi="宋体" w:cs="宋体"/>
                <w:color w:val="000000"/>
                <w:kern w:val="0"/>
                <w:sz w:val="20"/>
              </w:rPr>
              <w:t>含定位块</w:t>
            </w:r>
          </w:p>
        </w:tc>
        <w:tc>
          <w:tcPr>
            <w:tcW w:w="709" w:type="dxa"/>
            <w:tcBorders>
              <w:top w:val="nil"/>
              <w:left w:val="nil"/>
              <w:bottom w:val="single" w:color="auto" w:sz="4" w:space="0"/>
              <w:right w:val="single" w:color="auto" w:sz="4" w:space="0"/>
            </w:tcBorders>
            <w:shd w:val="clear" w:color="auto" w:fill="auto"/>
            <w:noWrap/>
            <w:vAlign w:val="center"/>
          </w:tcPr>
          <w:p w14:paraId="3BEA0691">
            <w:pPr>
              <w:widowControl/>
              <w:jc w:val="center"/>
              <w:rPr>
                <w:rFonts w:ascii="宋体" w:hAnsi="宋体" w:cs="宋体"/>
                <w:color w:val="000000"/>
                <w:kern w:val="0"/>
                <w:sz w:val="20"/>
              </w:rPr>
            </w:pPr>
            <w:r>
              <w:rPr>
                <w:rFonts w:hint="eastAsia" w:ascii="宋体" w:hAnsi="宋体" w:cs="宋体"/>
                <w:color w:val="000000"/>
                <w:kern w:val="0"/>
                <w:sz w:val="20"/>
              </w:rPr>
              <w:t>个</w:t>
            </w:r>
          </w:p>
        </w:tc>
        <w:tc>
          <w:tcPr>
            <w:tcW w:w="425" w:type="dxa"/>
            <w:tcBorders>
              <w:top w:val="nil"/>
              <w:left w:val="nil"/>
              <w:bottom w:val="single" w:color="auto" w:sz="4" w:space="0"/>
              <w:right w:val="single" w:color="auto" w:sz="4" w:space="0"/>
            </w:tcBorders>
            <w:shd w:val="clear" w:color="auto" w:fill="auto"/>
            <w:noWrap/>
            <w:vAlign w:val="center"/>
          </w:tcPr>
          <w:p w14:paraId="04494EDC">
            <w:pPr>
              <w:widowControl/>
              <w:jc w:val="center"/>
              <w:rPr>
                <w:rFonts w:ascii="宋体" w:hAnsi="宋体" w:cs="宋体"/>
                <w:color w:val="000000"/>
                <w:kern w:val="0"/>
                <w:sz w:val="20"/>
              </w:rPr>
            </w:pPr>
            <w:r>
              <w:rPr>
                <w:rFonts w:hint="eastAsia" w:ascii="宋体" w:hAnsi="宋体" w:cs="宋体"/>
                <w:color w:val="000000"/>
                <w:kern w:val="0"/>
                <w:sz w:val="20"/>
              </w:rPr>
              <w:t>1</w:t>
            </w:r>
          </w:p>
        </w:tc>
        <w:tc>
          <w:tcPr>
            <w:tcW w:w="1631" w:type="dxa"/>
            <w:tcBorders>
              <w:top w:val="nil"/>
              <w:left w:val="nil"/>
              <w:bottom w:val="single" w:color="auto" w:sz="4" w:space="0"/>
              <w:right w:val="single" w:color="auto" w:sz="4" w:space="0"/>
            </w:tcBorders>
            <w:shd w:val="clear" w:color="auto" w:fill="auto"/>
            <w:noWrap/>
            <w:vAlign w:val="center"/>
          </w:tcPr>
          <w:p w14:paraId="51CAE1E9">
            <w:pPr>
              <w:widowControl/>
              <w:jc w:val="center"/>
              <w:rPr>
                <w:rFonts w:ascii="宋体" w:hAnsi="宋体" w:cs="宋体"/>
                <w:color w:val="000000"/>
                <w:kern w:val="0"/>
                <w:sz w:val="20"/>
              </w:rPr>
            </w:pPr>
            <w:r>
              <w:rPr>
                <w:rFonts w:hint="eastAsia" w:ascii="宋体" w:hAnsi="宋体" w:cs="宋体"/>
                <w:color w:val="000000"/>
                <w:kern w:val="0"/>
                <w:sz w:val="20"/>
              </w:rPr>
              <w:t>　</w:t>
            </w:r>
          </w:p>
        </w:tc>
      </w:tr>
      <w:tr w14:paraId="3B3BD7D4">
        <w:tblPrEx>
          <w:tblCellMar>
            <w:top w:w="0" w:type="dxa"/>
            <w:left w:w="108" w:type="dxa"/>
            <w:bottom w:w="0" w:type="dxa"/>
            <w:right w:w="108" w:type="dxa"/>
          </w:tblCellMar>
        </w:tblPrEx>
        <w:trPr>
          <w:trHeight w:val="270" w:hRule="atLeast"/>
        </w:trPr>
        <w:tc>
          <w:tcPr>
            <w:tcW w:w="894" w:type="dxa"/>
            <w:tcBorders>
              <w:top w:val="nil"/>
              <w:left w:val="single" w:color="auto" w:sz="4" w:space="0"/>
              <w:bottom w:val="single" w:color="auto" w:sz="4" w:space="0"/>
              <w:right w:val="single" w:color="auto" w:sz="4" w:space="0"/>
            </w:tcBorders>
            <w:shd w:val="clear" w:color="FFFFFF" w:fill="FFFFFF"/>
            <w:vAlign w:val="center"/>
          </w:tcPr>
          <w:p w14:paraId="3D3312D0">
            <w:pPr>
              <w:widowControl/>
              <w:jc w:val="center"/>
              <w:rPr>
                <w:rFonts w:ascii="宋体" w:hAnsi="宋体" w:cs="宋体"/>
                <w:kern w:val="0"/>
                <w:sz w:val="20"/>
              </w:rPr>
            </w:pPr>
            <w:r>
              <w:rPr>
                <w:rFonts w:ascii="宋体" w:hAnsi="宋体" w:cs="宋体"/>
                <w:kern w:val="0"/>
                <w:sz w:val="20"/>
              </w:rPr>
              <w:t>4</w:t>
            </w:r>
          </w:p>
        </w:tc>
        <w:tc>
          <w:tcPr>
            <w:tcW w:w="2650" w:type="dxa"/>
            <w:tcBorders>
              <w:top w:val="nil"/>
              <w:left w:val="nil"/>
              <w:bottom w:val="single" w:color="auto" w:sz="4" w:space="0"/>
              <w:right w:val="single" w:color="auto" w:sz="4" w:space="0"/>
            </w:tcBorders>
            <w:shd w:val="clear" w:color="auto" w:fill="auto"/>
            <w:vAlign w:val="center"/>
          </w:tcPr>
          <w:p w14:paraId="7B74F00C">
            <w:pPr>
              <w:widowControl/>
              <w:jc w:val="center"/>
              <w:rPr>
                <w:rFonts w:ascii="宋体" w:hAnsi="宋体" w:cs="宋体"/>
                <w:color w:val="000000"/>
                <w:kern w:val="0"/>
                <w:sz w:val="20"/>
              </w:rPr>
            </w:pPr>
            <w:r>
              <w:rPr>
                <w:rFonts w:hint="eastAsia" w:ascii="宋体" w:hAnsi="宋体" w:cs="宋体"/>
                <w:color w:val="000000"/>
                <w:kern w:val="0"/>
                <w:sz w:val="20"/>
              </w:rPr>
              <w:t>615缸盖芯转运夹具</w:t>
            </w:r>
          </w:p>
        </w:tc>
        <w:tc>
          <w:tcPr>
            <w:tcW w:w="3969" w:type="dxa"/>
            <w:tcBorders>
              <w:top w:val="nil"/>
              <w:left w:val="nil"/>
              <w:bottom w:val="single" w:color="auto" w:sz="4" w:space="0"/>
              <w:right w:val="single" w:color="auto" w:sz="4" w:space="0"/>
            </w:tcBorders>
            <w:shd w:val="clear" w:color="auto" w:fill="auto"/>
            <w:vAlign w:val="center"/>
          </w:tcPr>
          <w:p w14:paraId="16902ABD">
            <w:pPr>
              <w:widowControl/>
              <w:jc w:val="center"/>
              <w:rPr>
                <w:rFonts w:ascii="宋体" w:hAnsi="宋体" w:cs="宋体"/>
                <w:color w:val="000000"/>
                <w:kern w:val="0"/>
                <w:sz w:val="20"/>
              </w:rPr>
            </w:pPr>
            <w:r>
              <w:rPr>
                <w:rFonts w:hint="eastAsia" w:ascii="宋体" w:hAnsi="宋体" w:cs="宋体"/>
                <w:color w:val="000000"/>
                <w:kern w:val="0"/>
                <w:sz w:val="20"/>
              </w:rPr>
              <w:t>甲方提供图纸，气缸品牌SMC</w:t>
            </w:r>
          </w:p>
        </w:tc>
        <w:tc>
          <w:tcPr>
            <w:tcW w:w="709" w:type="dxa"/>
            <w:tcBorders>
              <w:top w:val="nil"/>
              <w:left w:val="nil"/>
              <w:bottom w:val="single" w:color="auto" w:sz="4" w:space="0"/>
              <w:right w:val="single" w:color="auto" w:sz="4" w:space="0"/>
            </w:tcBorders>
            <w:shd w:val="clear" w:color="auto" w:fill="auto"/>
            <w:noWrap/>
            <w:vAlign w:val="center"/>
          </w:tcPr>
          <w:p w14:paraId="2F180235">
            <w:pPr>
              <w:widowControl/>
              <w:jc w:val="center"/>
              <w:rPr>
                <w:rFonts w:ascii="宋体" w:hAnsi="宋体" w:cs="宋体"/>
                <w:color w:val="000000"/>
                <w:kern w:val="0"/>
                <w:sz w:val="20"/>
              </w:rPr>
            </w:pPr>
            <w:r>
              <w:rPr>
                <w:rFonts w:hint="eastAsia" w:ascii="宋体" w:hAnsi="宋体" w:cs="宋体"/>
                <w:color w:val="000000"/>
                <w:kern w:val="0"/>
                <w:sz w:val="20"/>
              </w:rPr>
              <w:t>副</w:t>
            </w:r>
          </w:p>
        </w:tc>
        <w:tc>
          <w:tcPr>
            <w:tcW w:w="425" w:type="dxa"/>
            <w:tcBorders>
              <w:top w:val="nil"/>
              <w:left w:val="nil"/>
              <w:bottom w:val="single" w:color="auto" w:sz="4" w:space="0"/>
              <w:right w:val="single" w:color="auto" w:sz="4" w:space="0"/>
            </w:tcBorders>
            <w:shd w:val="clear" w:color="auto" w:fill="auto"/>
            <w:noWrap/>
            <w:vAlign w:val="center"/>
          </w:tcPr>
          <w:p w14:paraId="0B4D5727">
            <w:pPr>
              <w:widowControl/>
              <w:jc w:val="center"/>
              <w:rPr>
                <w:rFonts w:ascii="宋体" w:hAnsi="宋体" w:cs="宋体"/>
                <w:color w:val="000000"/>
                <w:kern w:val="0"/>
                <w:sz w:val="20"/>
              </w:rPr>
            </w:pPr>
            <w:r>
              <w:rPr>
                <w:rFonts w:hint="eastAsia" w:ascii="宋体" w:hAnsi="宋体" w:cs="宋体"/>
                <w:color w:val="000000"/>
                <w:kern w:val="0"/>
                <w:sz w:val="20"/>
              </w:rPr>
              <w:t>1</w:t>
            </w:r>
          </w:p>
        </w:tc>
        <w:tc>
          <w:tcPr>
            <w:tcW w:w="1631" w:type="dxa"/>
            <w:tcBorders>
              <w:top w:val="nil"/>
              <w:left w:val="nil"/>
              <w:bottom w:val="single" w:color="auto" w:sz="4" w:space="0"/>
              <w:right w:val="single" w:color="auto" w:sz="4" w:space="0"/>
            </w:tcBorders>
            <w:shd w:val="clear" w:color="auto" w:fill="auto"/>
            <w:noWrap/>
            <w:vAlign w:val="center"/>
          </w:tcPr>
          <w:p w14:paraId="5DCE6F72">
            <w:pPr>
              <w:widowControl/>
              <w:jc w:val="center"/>
              <w:rPr>
                <w:rFonts w:ascii="宋体" w:hAnsi="宋体" w:cs="宋体"/>
                <w:color w:val="000000"/>
                <w:kern w:val="0"/>
                <w:sz w:val="20"/>
              </w:rPr>
            </w:pPr>
            <w:r>
              <w:rPr>
                <w:rFonts w:hint="eastAsia" w:ascii="宋体" w:hAnsi="宋体" w:cs="宋体"/>
                <w:color w:val="000000"/>
                <w:kern w:val="0"/>
                <w:sz w:val="20"/>
              </w:rPr>
              <w:t>　</w:t>
            </w:r>
          </w:p>
        </w:tc>
      </w:tr>
      <w:tr w14:paraId="213D0819">
        <w:tblPrEx>
          <w:tblCellMar>
            <w:top w:w="0" w:type="dxa"/>
            <w:left w:w="108" w:type="dxa"/>
            <w:bottom w:w="0" w:type="dxa"/>
            <w:right w:w="108" w:type="dxa"/>
          </w:tblCellMar>
        </w:tblPrEx>
        <w:trPr>
          <w:trHeight w:val="489" w:hRule="atLeast"/>
        </w:trPr>
        <w:tc>
          <w:tcPr>
            <w:tcW w:w="894" w:type="dxa"/>
            <w:tcBorders>
              <w:top w:val="nil"/>
              <w:left w:val="single" w:color="auto" w:sz="4" w:space="0"/>
              <w:bottom w:val="single" w:color="auto" w:sz="4" w:space="0"/>
              <w:right w:val="single" w:color="auto" w:sz="4" w:space="0"/>
            </w:tcBorders>
            <w:shd w:val="clear" w:color="FFFFFF" w:fill="FFFFFF"/>
            <w:vAlign w:val="center"/>
          </w:tcPr>
          <w:p w14:paraId="311D9AFC">
            <w:pPr>
              <w:widowControl/>
              <w:jc w:val="center"/>
              <w:rPr>
                <w:rFonts w:ascii="宋体" w:hAnsi="宋体" w:cs="宋体"/>
                <w:kern w:val="0"/>
                <w:sz w:val="20"/>
              </w:rPr>
            </w:pPr>
            <w:r>
              <w:rPr>
                <w:rFonts w:ascii="宋体" w:hAnsi="宋体" w:cs="宋体"/>
                <w:kern w:val="0"/>
                <w:sz w:val="20"/>
              </w:rPr>
              <w:t>5</w:t>
            </w:r>
          </w:p>
        </w:tc>
        <w:tc>
          <w:tcPr>
            <w:tcW w:w="2650" w:type="dxa"/>
            <w:tcBorders>
              <w:top w:val="nil"/>
              <w:left w:val="nil"/>
              <w:bottom w:val="single" w:color="auto" w:sz="4" w:space="0"/>
              <w:right w:val="single" w:color="auto" w:sz="4" w:space="0"/>
            </w:tcBorders>
            <w:shd w:val="clear" w:color="auto" w:fill="auto"/>
            <w:vAlign w:val="center"/>
          </w:tcPr>
          <w:p w14:paraId="55D180E8">
            <w:pPr>
              <w:widowControl/>
              <w:jc w:val="center"/>
              <w:rPr>
                <w:rFonts w:ascii="宋体" w:hAnsi="宋体" w:cs="宋体"/>
                <w:color w:val="000000"/>
                <w:kern w:val="0"/>
                <w:sz w:val="20"/>
              </w:rPr>
            </w:pPr>
            <w:r>
              <w:rPr>
                <w:rFonts w:hint="eastAsia" w:ascii="宋体" w:hAnsi="宋体" w:cs="宋体"/>
                <w:color w:val="000000"/>
                <w:kern w:val="0"/>
                <w:sz w:val="20"/>
              </w:rPr>
              <w:t>表干炉延长辊道线</w:t>
            </w:r>
          </w:p>
        </w:tc>
        <w:tc>
          <w:tcPr>
            <w:tcW w:w="3969" w:type="dxa"/>
            <w:tcBorders>
              <w:top w:val="nil"/>
              <w:left w:val="nil"/>
              <w:bottom w:val="single" w:color="auto" w:sz="4" w:space="0"/>
              <w:right w:val="single" w:color="auto" w:sz="4" w:space="0"/>
            </w:tcBorders>
            <w:shd w:val="clear" w:color="auto" w:fill="auto"/>
            <w:vAlign w:val="center"/>
          </w:tcPr>
          <w:p w14:paraId="3BE76BF0">
            <w:pPr>
              <w:widowControl/>
              <w:jc w:val="center"/>
              <w:rPr>
                <w:rFonts w:ascii="宋体" w:hAnsi="宋体" w:cs="宋体"/>
                <w:color w:val="000000"/>
                <w:kern w:val="0"/>
                <w:sz w:val="20"/>
              </w:rPr>
            </w:pPr>
            <w:r>
              <w:rPr>
                <w:rFonts w:hint="eastAsia" w:ascii="宋体" w:hAnsi="宋体" w:cs="宋体"/>
                <w:color w:val="000000"/>
                <w:kern w:val="0"/>
                <w:sz w:val="20"/>
              </w:rPr>
              <w:t>双层，宽1400长13米；含7台SEW电机（型号R37 DT71D4)；</w:t>
            </w:r>
            <w:r>
              <w:rPr>
                <w:rFonts w:ascii="宋体" w:hAnsi="宋体" w:cs="宋体"/>
                <w:color w:val="000000"/>
                <w:kern w:val="0"/>
                <w:sz w:val="20"/>
              </w:rPr>
              <w:t xml:space="preserve"> </w:t>
            </w:r>
          </w:p>
        </w:tc>
        <w:tc>
          <w:tcPr>
            <w:tcW w:w="709" w:type="dxa"/>
            <w:tcBorders>
              <w:top w:val="nil"/>
              <w:left w:val="nil"/>
              <w:bottom w:val="single" w:color="auto" w:sz="4" w:space="0"/>
              <w:right w:val="single" w:color="auto" w:sz="4" w:space="0"/>
            </w:tcBorders>
            <w:shd w:val="clear" w:color="auto" w:fill="auto"/>
            <w:noWrap/>
            <w:vAlign w:val="center"/>
          </w:tcPr>
          <w:p w14:paraId="0BA8E9AC">
            <w:pPr>
              <w:widowControl/>
              <w:jc w:val="center"/>
              <w:rPr>
                <w:rFonts w:ascii="宋体" w:hAnsi="宋体" w:cs="宋体"/>
                <w:color w:val="000000"/>
                <w:kern w:val="0"/>
                <w:sz w:val="20"/>
              </w:rPr>
            </w:pPr>
            <w:r>
              <w:rPr>
                <w:rFonts w:hint="eastAsia" w:ascii="宋体" w:hAnsi="宋体" w:cs="宋体"/>
                <w:color w:val="000000"/>
                <w:kern w:val="0"/>
                <w:sz w:val="20"/>
              </w:rPr>
              <w:t>台套</w:t>
            </w:r>
          </w:p>
        </w:tc>
        <w:tc>
          <w:tcPr>
            <w:tcW w:w="425" w:type="dxa"/>
            <w:tcBorders>
              <w:top w:val="nil"/>
              <w:left w:val="nil"/>
              <w:bottom w:val="single" w:color="auto" w:sz="4" w:space="0"/>
              <w:right w:val="single" w:color="auto" w:sz="4" w:space="0"/>
            </w:tcBorders>
            <w:shd w:val="clear" w:color="auto" w:fill="auto"/>
            <w:noWrap/>
            <w:vAlign w:val="center"/>
          </w:tcPr>
          <w:p w14:paraId="092E9543">
            <w:pPr>
              <w:widowControl/>
              <w:jc w:val="center"/>
              <w:rPr>
                <w:rFonts w:ascii="宋体" w:hAnsi="宋体" w:cs="宋体"/>
                <w:color w:val="000000"/>
                <w:kern w:val="0"/>
                <w:sz w:val="20"/>
              </w:rPr>
            </w:pPr>
            <w:r>
              <w:rPr>
                <w:rFonts w:ascii="宋体" w:hAnsi="宋体" w:cs="宋体"/>
                <w:color w:val="000000"/>
                <w:kern w:val="0"/>
                <w:sz w:val="20"/>
              </w:rPr>
              <w:t>1</w:t>
            </w:r>
          </w:p>
        </w:tc>
        <w:tc>
          <w:tcPr>
            <w:tcW w:w="1631" w:type="dxa"/>
            <w:tcBorders>
              <w:top w:val="nil"/>
              <w:left w:val="nil"/>
              <w:bottom w:val="single" w:color="auto" w:sz="4" w:space="0"/>
              <w:right w:val="single" w:color="auto" w:sz="4" w:space="0"/>
            </w:tcBorders>
            <w:shd w:val="clear" w:color="auto" w:fill="auto"/>
            <w:noWrap/>
            <w:vAlign w:val="center"/>
          </w:tcPr>
          <w:p w14:paraId="26A34760">
            <w:pPr>
              <w:widowControl/>
              <w:jc w:val="center"/>
              <w:rPr>
                <w:rFonts w:ascii="宋体" w:hAnsi="宋体" w:cs="宋体"/>
                <w:color w:val="000000"/>
                <w:kern w:val="0"/>
                <w:sz w:val="20"/>
              </w:rPr>
            </w:pPr>
            <w:r>
              <w:rPr>
                <w:rFonts w:hint="eastAsia" w:ascii="宋体" w:hAnsi="宋体" w:cs="宋体"/>
                <w:color w:val="000000"/>
                <w:kern w:val="0"/>
                <w:sz w:val="20"/>
              </w:rPr>
              <w:t>　</w:t>
            </w:r>
          </w:p>
        </w:tc>
      </w:tr>
      <w:tr w14:paraId="5029407A">
        <w:tblPrEx>
          <w:tblCellMar>
            <w:top w:w="0" w:type="dxa"/>
            <w:left w:w="108" w:type="dxa"/>
            <w:bottom w:w="0" w:type="dxa"/>
            <w:right w:w="108" w:type="dxa"/>
          </w:tblCellMar>
        </w:tblPrEx>
        <w:trPr>
          <w:trHeight w:val="288" w:hRule="atLeast"/>
        </w:trPr>
        <w:tc>
          <w:tcPr>
            <w:tcW w:w="894" w:type="dxa"/>
            <w:tcBorders>
              <w:top w:val="nil"/>
              <w:left w:val="single" w:color="auto" w:sz="4" w:space="0"/>
              <w:bottom w:val="single" w:color="auto" w:sz="4" w:space="0"/>
              <w:right w:val="single" w:color="auto" w:sz="4" w:space="0"/>
            </w:tcBorders>
            <w:shd w:val="clear" w:color="auto" w:fill="auto"/>
            <w:vAlign w:val="center"/>
          </w:tcPr>
          <w:p w14:paraId="62C6E6B9">
            <w:pPr>
              <w:widowControl/>
              <w:jc w:val="center"/>
              <w:rPr>
                <w:rFonts w:ascii="宋体" w:hAnsi="宋体" w:cs="宋体"/>
                <w:kern w:val="0"/>
                <w:sz w:val="20"/>
              </w:rPr>
            </w:pPr>
            <w:r>
              <w:rPr>
                <w:rFonts w:ascii="宋体" w:hAnsi="宋体" w:cs="宋体"/>
                <w:kern w:val="0"/>
                <w:sz w:val="20"/>
              </w:rPr>
              <w:t>6</w:t>
            </w:r>
          </w:p>
        </w:tc>
        <w:tc>
          <w:tcPr>
            <w:tcW w:w="2650" w:type="dxa"/>
            <w:tcBorders>
              <w:top w:val="nil"/>
              <w:left w:val="nil"/>
              <w:bottom w:val="single" w:color="auto" w:sz="4" w:space="0"/>
              <w:right w:val="single" w:color="auto" w:sz="4" w:space="0"/>
            </w:tcBorders>
            <w:shd w:val="clear" w:color="auto" w:fill="auto"/>
            <w:vAlign w:val="center"/>
          </w:tcPr>
          <w:p w14:paraId="3CB40798">
            <w:pPr>
              <w:widowControl/>
              <w:jc w:val="center"/>
              <w:rPr>
                <w:rFonts w:ascii="宋体" w:hAnsi="宋体" w:cs="宋体"/>
                <w:color w:val="000000"/>
                <w:kern w:val="0"/>
                <w:sz w:val="20"/>
              </w:rPr>
            </w:pPr>
            <w:r>
              <w:rPr>
                <w:rFonts w:hint="eastAsia" w:ascii="宋体" w:hAnsi="宋体" w:cs="宋体"/>
                <w:color w:val="000000"/>
                <w:kern w:val="0"/>
                <w:sz w:val="20"/>
              </w:rPr>
              <w:t>砂芯定位校准装置</w:t>
            </w:r>
          </w:p>
        </w:tc>
        <w:tc>
          <w:tcPr>
            <w:tcW w:w="3969" w:type="dxa"/>
            <w:tcBorders>
              <w:top w:val="nil"/>
              <w:left w:val="nil"/>
              <w:bottom w:val="single" w:color="auto" w:sz="4" w:space="0"/>
              <w:right w:val="single" w:color="auto" w:sz="4" w:space="0"/>
            </w:tcBorders>
            <w:shd w:val="clear" w:color="auto" w:fill="auto"/>
            <w:vAlign w:val="center"/>
          </w:tcPr>
          <w:p w14:paraId="1D044369">
            <w:pPr>
              <w:widowControl/>
              <w:jc w:val="center"/>
              <w:rPr>
                <w:rFonts w:ascii="宋体" w:hAnsi="宋体" w:cs="宋体"/>
                <w:color w:val="000000"/>
                <w:kern w:val="0"/>
                <w:sz w:val="20"/>
              </w:rPr>
            </w:pPr>
            <w:r>
              <w:rPr>
                <w:rFonts w:hint="eastAsia" w:ascii="宋体" w:hAnsi="宋体" w:cs="宋体"/>
                <w:color w:val="000000"/>
                <w:kern w:val="0"/>
                <w:sz w:val="20"/>
              </w:rPr>
              <w:t>校准精度±</w:t>
            </w:r>
            <w:r>
              <w:rPr>
                <w:rFonts w:ascii="宋体" w:hAnsi="宋体" w:cs="宋体"/>
                <w:color w:val="000000"/>
                <w:kern w:val="0"/>
                <w:sz w:val="20"/>
              </w:rPr>
              <w:t>1</w:t>
            </w:r>
            <w:r>
              <w:rPr>
                <w:rFonts w:hint="eastAsia" w:ascii="宋体" w:hAnsi="宋体" w:cs="宋体"/>
                <w:color w:val="000000"/>
                <w:kern w:val="0"/>
                <w:sz w:val="20"/>
              </w:rPr>
              <w:t>mm</w:t>
            </w:r>
          </w:p>
        </w:tc>
        <w:tc>
          <w:tcPr>
            <w:tcW w:w="709" w:type="dxa"/>
            <w:tcBorders>
              <w:top w:val="nil"/>
              <w:left w:val="nil"/>
              <w:bottom w:val="single" w:color="auto" w:sz="4" w:space="0"/>
              <w:right w:val="single" w:color="auto" w:sz="4" w:space="0"/>
            </w:tcBorders>
            <w:shd w:val="clear" w:color="auto" w:fill="auto"/>
            <w:noWrap/>
            <w:vAlign w:val="center"/>
          </w:tcPr>
          <w:p w14:paraId="69118233">
            <w:pPr>
              <w:widowControl/>
              <w:jc w:val="center"/>
              <w:rPr>
                <w:rFonts w:ascii="宋体" w:hAnsi="宋体" w:cs="宋体"/>
                <w:color w:val="000000"/>
                <w:kern w:val="0"/>
                <w:sz w:val="20"/>
              </w:rPr>
            </w:pPr>
            <w:r>
              <w:rPr>
                <w:rFonts w:hint="eastAsia" w:ascii="宋体" w:hAnsi="宋体" w:cs="宋体"/>
                <w:color w:val="000000"/>
                <w:kern w:val="0"/>
                <w:sz w:val="20"/>
              </w:rPr>
              <w:t>台</w:t>
            </w:r>
          </w:p>
        </w:tc>
        <w:tc>
          <w:tcPr>
            <w:tcW w:w="425" w:type="dxa"/>
            <w:tcBorders>
              <w:top w:val="nil"/>
              <w:left w:val="nil"/>
              <w:bottom w:val="single" w:color="auto" w:sz="4" w:space="0"/>
              <w:right w:val="single" w:color="auto" w:sz="4" w:space="0"/>
            </w:tcBorders>
            <w:shd w:val="clear" w:color="auto" w:fill="auto"/>
            <w:noWrap/>
            <w:vAlign w:val="center"/>
          </w:tcPr>
          <w:p w14:paraId="4F8B8D0A">
            <w:pPr>
              <w:widowControl/>
              <w:jc w:val="center"/>
              <w:rPr>
                <w:rFonts w:ascii="宋体" w:hAnsi="宋体" w:cs="宋体"/>
                <w:color w:val="000000"/>
                <w:kern w:val="0"/>
                <w:sz w:val="20"/>
              </w:rPr>
            </w:pPr>
            <w:r>
              <w:rPr>
                <w:rFonts w:hint="eastAsia" w:ascii="宋体" w:hAnsi="宋体" w:cs="宋体"/>
                <w:color w:val="000000"/>
                <w:kern w:val="0"/>
                <w:sz w:val="20"/>
              </w:rPr>
              <w:t>2</w:t>
            </w:r>
          </w:p>
        </w:tc>
        <w:tc>
          <w:tcPr>
            <w:tcW w:w="1631" w:type="dxa"/>
            <w:tcBorders>
              <w:top w:val="nil"/>
              <w:left w:val="nil"/>
              <w:bottom w:val="single" w:color="auto" w:sz="4" w:space="0"/>
              <w:right w:val="single" w:color="auto" w:sz="4" w:space="0"/>
            </w:tcBorders>
            <w:shd w:val="clear" w:color="auto" w:fill="auto"/>
            <w:noWrap/>
            <w:vAlign w:val="center"/>
          </w:tcPr>
          <w:p w14:paraId="4B80A681">
            <w:pPr>
              <w:widowControl/>
              <w:jc w:val="center"/>
              <w:rPr>
                <w:rFonts w:ascii="宋体" w:hAnsi="宋体" w:cs="宋体"/>
                <w:color w:val="000000"/>
                <w:kern w:val="0"/>
                <w:sz w:val="20"/>
              </w:rPr>
            </w:pPr>
            <w:r>
              <w:rPr>
                <w:rFonts w:hint="eastAsia" w:ascii="宋体" w:hAnsi="宋体" w:cs="宋体"/>
                <w:color w:val="000000"/>
                <w:kern w:val="0"/>
                <w:sz w:val="20"/>
              </w:rPr>
              <w:t>　</w:t>
            </w:r>
          </w:p>
        </w:tc>
      </w:tr>
      <w:tr w14:paraId="08777552">
        <w:tblPrEx>
          <w:tblCellMar>
            <w:top w:w="0" w:type="dxa"/>
            <w:left w:w="108" w:type="dxa"/>
            <w:bottom w:w="0" w:type="dxa"/>
            <w:right w:w="108" w:type="dxa"/>
          </w:tblCellMar>
        </w:tblPrEx>
        <w:trPr>
          <w:trHeight w:val="279" w:hRule="atLeast"/>
        </w:trPr>
        <w:tc>
          <w:tcPr>
            <w:tcW w:w="894" w:type="dxa"/>
            <w:tcBorders>
              <w:top w:val="nil"/>
              <w:left w:val="single" w:color="auto" w:sz="4" w:space="0"/>
              <w:bottom w:val="single" w:color="auto" w:sz="4" w:space="0"/>
              <w:right w:val="single" w:color="auto" w:sz="4" w:space="0"/>
            </w:tcBorders>
            <w:shd w:val="clear" w:color="auto" w:fill="auto"/>
            <w:vAlign w:val="center"/>
          </w:tcPr>
          <w:p w14:paraId="7F366271">
            <w:pPr>
              <w:widowControl/>
              <w:jc w:val="center"/>
              <w:rPr>
                <w:rFonts w:ascii="宋体" w:hAnsi="宋体" w:cs="宋体"/>
                <w:kern w:val="0"/>
                <w:sz w:val="20"/>
              </w:rPr>
            </w:pPr>
            <w:r>
              <w:rPr>
                <w:rFonts w:ascii="宋体" w:hAnsi="宋体" w:cs="宋体"/>
                <w:kern w:val="0"/>
                <w:sz w:val="20"/>
              </w:rPr>
              <w:t>7</w:t>
            </w:r>
          </w:p>
        </w:tc>
        <w:tc>
          <w:tcPr>
            <w:tcW w:w="2650" w:type="dxa"/>
            <w:tcBorders>
              <w:top w:val="nil"/>
              <w:left w:val="nil"/>
              <w:bottom w:val="single" w:color="auto" w:sz="4" w:space="0"/>
              <w:right w:val="single" w:color="auto" w:sz="4" w:space="0"/>
            </w:tcBorders>
            <w:shd w:val="clear" w:color="auto" w:fill="auto"/>
            <w:vAlign w:val="center"/>
          </w:tcPr>
          <w:p w14:paraId="4EA80EDD">
            <w:pPr>
              <w:widowControl/>
              <w:jc w:val="center"/>
              <w:rPr>
                <w:rFonts w:ascii="宋体" w:hAnsi="宋体" w:cs="宋体"/>
                <w:color w:val="000000"/>
                <w:kern w:val="0"/>
                <w:sz w:val="20"/>
              </w:rPr>
            </w:pPr>
            <w:r>
              <w:rPr>
                <w:rFonts w:hint="eastAsia" w:ascii="宋体" w:hAnsi="宋体" w:cs="宋体"/>
                <w:color w:val="000000"/>
                <w:kern w:val="0"/>
                <w:sz w:val="20"/>
              </w:rPr>
              <w:t>托板定位装置</w:t>
            </w:r>
          </w:p>
        </w:tc>
        <w:tc>
          <w:tcPr>
            <w:tcW w:w="3969" w:type="dxa"/>
            <w:tcBorders>
              <w:top w:val="nil"/>
              <w:left w:val="nil"/>
              <w:bottom w:val="single" w:color="auto" w:sz="4" w:space="0"/>
              <w:right w:val="single" w:color="auto" w:sz="4" w:space="0"/>
            </w:tcBorders>
            <w:shd w:val="clear" w:color="auto" w:fill="auto"/>
            <w:vAlign w:val="center"/>
          </w:tcPr>
          <w:p w14:paraId="6796F090">
            <w:pPr>
              <w:widowControl/>
              <w:jc w:val="center"/>
              <w:rPr>
                <w:rFonts w:ascii="宋体" w:hAnsi="宋体" w:cs="宋体"/>
                <w:color w:val="000000"/>
                <w:kern w:val="0"/>
                <w:sz w:val="20"/>
              </w:rPr>
            </w:pPr>
            <w:r>
              <w:rPr>
                <w:rFonts w:hint="eastAsia" w:ascii="宋体" w:hAnsi="宋体" w:cs="宋体"/>
                <w:color w:val="000000"/>
                <w:kern w:val="0"/>
                <w:sz w:val="20"/>
              </w:rPr>
              <w:t>定位精度±</w:t>
            </w:r>
            <w:r>
              <w:rPr>
                <w:rFonts w:ascii="宋体" w:hAnsi="宋体" w:cs="宋体"/>
                <w:color w:val="000000"/>
                <w:kern w:val="0"/>
                <w:sz w:val="20"/>
              </w:rPr>
              <w:t>1</w:t>
            </w:r>
            <w:r>
              <w:rPr>
                <w:rFonts w:hint="eastAsia" w:ascii="宋体" w:hAnsi="宋体" w:cs="宋体"/>
                <w:color w:val="000000"/>
                <w:kern w:val="0"/>
                <w:sz w:val="20"/>
              </w:rPr>
              <w:t>mm</w:t>
            </w:r>
            <w:r>
              <w:rPr>
                <w:rFonts w:ascii="宋体" w:hAnsi="宋体" w:cs="宋体"/>
                <w:color w:val="000000"/>
                <w:kern w:val="0"/>
                <w:sz w:val="20"/>
              </w:rPr>
              <w:t xml:space="preserve"> </w:t>
            </w:r>
          </w:p>
        </w:tc>
        <w:tc>
          <w:tcPr>
            <w:tcW w:w="709" w:type="dxa"/>
            <w:tcBorders>
              <w:top w:val="nil"/>
              <w:left w:val="nil"/>
              <w:bottom w:val="single" w:color="auto" w:sz="4" w:space="0"/>
              <w:right w:val="single" w:color="auto" w:sz="4" w:space="0"/>
            </w:tcBorders>
            <w:shd w:val="clear" w:color="auto" w:fill="auto"/>
            <w:noWrap/>
            <w:vAlign w:val="center"/>
          </w:tcPr>
          <w:p w14:paraId="79607C36">
            <w:pPr>
              <w:widowControl/>
              <w:jc w:val="center"/>
              <w:rPr>
                <w:rFonts w:ascii="宋体" w:hAnsi="宋体" w:cs="宋体"/>
                <w:color w:val="000000"/>
                <w:kern w:val="0"/>
                <w:sz w:val="20"/>
              </w:rPr>
            </w:pPr>
            <w:r>
              <w:rPr>
                <w:rFonts w:hint="eastAsia" w:ascii="宋体" w:hAnsi="宋体" w:cs="宋体"/>
                <w:color w:val="000000"/>
                <w:kern w:val="0"/>
                <w:sz w:val="20"/>
              </w:rPr>
              <w:t>台</w:t>
            </w:r>
          </w:p>
        </w:tc>
        <w:tc>
          <w:tcPr>
            <w:tcW w:w="425" w:type="dxa"/>
            <w:tcBorders>
              <w:top w:val="nil"/>
              <w:left w:val="nil"/>
              <w:bottom w:val="single" w:color="auto" w:sz="4" w:space="0"/>
              <w:right w:val="single" w:color="auto" w:sz="4" w:space="0"/>
            </w:tcBorders>
            <w:shd w:val="clear" w:color="auto" w:fill="auto"/>
            <w:noWrap/>
            <w:vAlign w:val="center"/>
          </w:tcPr>
          <w:p w14:paraId="35293E9F">
            <w:pPr>
              <w:widowControl/>
              <w:jc w:val="center"/>
              <w:rPr>
                <w:rFonts w:ascii="宋体" w:hAnsi="宋体" w:cs="宋体"/>
                <w:color w:val="000000"/>
                <w:kern w:val="0"/>
                <w:sz w:val="20"/>
              </w:rPr>
            </w:pPr>
            <w:r>
              <w:rPr>
                <w:rFonts w:hint="eastAsia" w:ascii="宋体" w:hAnsi="宋体" w:cs="宋体"/>
                <w:color w:val="000000"/>
                <w:kern w:val="0"/>
                <w:sz w:val="20"/>
              </w:rPr>
              <w:t>3</w:t>
            </w:r>
          </w:p>
        </w:tc>
        <w:tc>
          <w:tcPr>
            <w:tcW w:w="1631" w:type="dxa"/>
            <w:tcBorders>
              <w:top w:val="nil"/>
              <w:left w:val="nil"/>
              <w:bottom w:val="single" w:color="auto" w:sz="4" w:space="0"/>
              <w:right w:val="single" w:color="auto" w:sz="4" w:space="0"/>
            </w:tcBorders>
            <w:shd w:val="clear" w:color="auto" w:fill="auto"/>
            <w:noWrap/>
            <w:vAlign w:val="center"/>
          </w:tcPr>
          <w:p w14:paraId="7CE36D38">
            <w:pPr>
              <w:widowControl/>
              <w:jc w:val="center"/>
              <w:rPr>
                <w:rFonts w:ascii="宋体" w:hAnsi="宋体" w:cs="宋体"/>
                <w:color w:val="000000"/>
                <w:kern w:val="0"/>
                <w:sz w:val="20"/>
              </w:rPr>
            </w:pPr>
            <w:r>
              <w:rPr>
                <w:rFonts w:hint="eastAsia" w:ascii="宋体" w:hAnsi="宋体" w:cs="宋体"/>
                <w:color w:val="000000"/>
                <w:kern w:val="0"/>
                <w:sz w:val="20"/>
              </w:rPr>
              <w:t>　</w:t>
            </w:r>
          </w:p>
        </w:tc>
      </w:tr>
      <w:tr w14:paraId="746447B0">
        <w:tblPrEx>
          <w:tblCellMar>
            <w:top w:w="0" w:type="dxa"/>
            <w:left w:w="108" w:type="dxa"/>
            <w:bottom w:w="0" w:type="dxa"/>
            <w:right w:w="108" w:type="dxa"/>
          </w:tblCellMar>
        </w:tblPrEx>
        <w:trPr>
          <w:trHeight w:val="377" w:hRule="atLeast"/>
        </w:trPr>
        <w:tc>
          <w:tcPr>
            <w:tcW w:w="894" w:type="dxa"/>
            <w:tcBorders>
              <w:top w:val="nil"/>
              <w:left w:val="single" w:color="auto" w:sz="4" w:space="0"/>
              <w:bottom w:val="single" w:color="auto" w:sz="4" w:space="0"/>
              <w:right w:val="single" w:color="auto" w:sz="4" w:space="0"/>
            </w:tcBorders>
            <w:shd w:val="clear" w:color="auto" w:fill="auto"/>
            <w:vAlign w:val="center"/>
          </w:tcPr>
          <w:p w14:paraId="3B0F9B43">
            <w:pPr>
              <w:widowControl/>
              <w:jc w:val="center"/>
              <w:rPr>
                <w:rFonts w:ascii="宋体" w:hAnsi="宋体" w:cs="宋体"/>
                <w:kern w:val="0"/>
                <w:sz w:val="20"/>
              </w:rPr>
            </w:pPr>
            <w:r>
              <w:rPr>
                <w:rFonts w:ascii="宋体" w:hAnsi="宋体" w:cs="宋体"/>
                <w:kern w:val="0"/>
                <w:sz w:val="20"/>
              </w:rPr>
              <w:t>8</w:t>
            </w:r>
          </w:p>
        </w:tc>
        <w:tc>
          <w:tcPr>
            <w:tcW w:w="2650" w:type="dxa"/>
            <w:tcBorders>
              <w:top w:val="nil"/>
              <w:left w:val="nil"/>
              <w:bottom w:val="single" w:color="auto" w:sz="4" w:space="0"/>
              <w:right w:val="single" w:color="auto" w:sz="4" w:space="0"/>
            </w:tcBorders>
            <w:shd w:val="clear" w:color="auto" w:fill="auto"/>
            <w:vAlign w:val="center"/>
          </w:tcPr>
          <w:p w14:paraId="05342E10">
            <w:pPr>
              <w:widowControl/>
              <w:jc w:val="center"/>
              <w:rPr>
                <w:rFonts w:ascii="宋体" w:hAnsi="宋体" w:cs="宋体"/>
                <w:color w:val="000000"/>
                <w:kern w:val="0"/>
                <w:sz w:val="20"/>
              </w:rPr>
            </w:pPr>
            <w:r>
              <w:rPr>
                <w:rFonts w:hint="eastAsia" w:ascii="宋体" w:hAnsi="宋体" w:cs="宋体"/>
                <w:color w:val="000000"/>
                <w:kern w:val="0"/>
                <w:sz w:val="20"/>
              </w:rPr>
              <w:t>循环辊道线缓冲装置</w:t>
            </w:r>
          </w:p>
        </w:tc>
        <w:tc>
          <w:tcPr>
            <w:tcW w:w="3969" w:type="dxa"/>
            <w:tcBorders>
              <w:top w:val="nil"/>
              <w:left w:val="nil"/>
              <w:bottom w:val="single" w:color="auto" w:sz="4" w:space="0"/>
              <w:right w:val="single" w:color="auto" w:sz="4" w:space="0"/>
            </w:tcBorders>
            <w:shd w:val="clear" w:color="auto" w:fill="auto"/>
            <w:vAlign w:val="center"/>
          </w:tcPr>
          <w:p w14:paraId="419105B4">
            <w:pPr>
              <w:widowControl/>
              <w:jc w:val="center"/>
              <w:rPr>
                <w:rFonts w:ascii="宋体" w:hAnsi="宋体" w:cs="宋体"/>
                <w:color w:val="000000"/>
                <w:kern w:val="0"/>
                <w:sz w:val="20"/>
              </w:rPr>
            </w:pPr>
            <w:r>
              <w:rPr>
                <w:rFonts w:ascii="宋体" w:hAnsi="宋体" w:cs="宋体"/>
                <w:color w:val="000000"/>
                <w:kern w:val="0"/>
                <w:sz w:val="20"/>
              </w:rPr>
              <w:t>ZDTC50D</w:t>
            </w:r>
            <w:r>
              <w:rPr>
                <w:rFonts w:hint="eastAsia" w:ascii="宋体" w:hAnsi="宋体" w:cs="宋体"/>
                <w:color w:val="000000"/>
                <w:kern w:val="0"/>
                <w:sz w:val="20"/>
              </w:rPr>
              <w:t>双活塞长行程阻挡气缸及附件</w:t>
            </w:r>
          </w:p>
        </w:tc>
        <w:tc>
          <w:tcPr>
            <w:tcW w:w="709" w:type="dxa"/>
            <w:tcBorders>
              <w:top w:val="nil"/>
              <w:left w:val="nil"/>
              <w:bottom w:val="single" w:color="auto" w:sz="4" w:space="0"/>
              <w:right w:val="single" w:color="auto" w:sz="4" w:space="0"/>
            </w:tcBorders>
            <w:shd w:val="clear" w:color="auto" w:fill="auto"/>
            <w:noWrap/>
            <w:vAlign w:val="center"/>
          </w:tcPr>
          <w:p w14:paraId="01588D7D">
            <w:pPr>
              <w:widowControl/>
              <w:jc w:val="center"/>
              <w:rPr>
                <w:rFonts w:ascii="宋体" w:hAnsi="宋体" w:cs="宋体"/>
                <w:color w:val="000000"/>
                <w:kern w:val="0"/>
                <w:sz w:val="20"/>
              </w:rPr>
            </w:pPr>
            <w:r>
              <w:rPr>
                <w:rFonts w:hint="eastAsia" w:ascii="宋体" w:hAnsi="宋体" w:cs="宋体"/>
                <w:color w:val="000000"/>
                <w:kern w:val="0"/>
                <w:sz w:val="20"/>
              </w:rPr>
              <w:t>台</w:t>
            </w:r>
          </w:p>
        </w:tc>
        <w:tc>
          <w:tcPr>
            <w:tcW w:w="425" w:type="dxa"/>
            <w:tcBorders>
              <w:top w:val="nil"/>
              <w:left w:val="nil"/>
              <w:bottom w:val="single" w:color="auto" w:sz="4" w:space="0"/>
              <w:right w:val="single" w:color="auto" w:sz="4" w:space="0"/>
            </w:tcBorders>
            <w:shd w:val="clear" w:color="auto" w:fill="auto"/>
            <w:noWrap/>
            <w:vAlign w:val="center"/>
          </w:tcPr>
          <w:p w14:paraId="32A6D4BC">
            <w:pPr>
              <w:widowControl/>
              <w:jc w:val="center"/>
              <w:rPr>
                <w:rFonts w:ascii="宋体" w:hAnsi="宋体" w:cs="宋体"/>
                <w:color w:val="000000"/>
                <w:kern w:val="0"/>
                <w:sz w:val="20"/>
              </w:rPr>
            </w:pPr>
            <w:r>
              <w:rPr>
                <w:rFonts w:hint="eastAsia" w:ascii="宋体" w:hAnsi="宋体" w:cs="宋体"/>
                <w:color w:val="000000"/>
                <w:kern w:val="0"/>
                <w:sz w:val="20"/>
              </w:rPr>
              <w:t>4</w:t>
            </w:r>
          </w:p>
        </w:tc>
        <w:tc>
          <w:tcPr>
            <w:tcW w:w="1631" w:type="dxa"/>
            <w:tcBorders>
              <w:top w:val="nil"/>
              <w:left w:val="nil"/>
              <w:bottom w:val="single" w:color="auto" w:sz="4" w:space="0"/>
              <w:right w:val="single" w:color="auto" w:sz="4" w:space="0"/>
            </w:tcBorders>
            <w:shd w:val="clear" w:color="auto" w:fill="auto"/>
            <w:noWrap/>
            <w:vAlign w:val="center"/>
          </w:tcPr>
          <w:p w14:paraId="4747823C">
            <w:pPr>
              <w:widowControl/>
              <w:jc w:val="center"/>
              <w:rPr>
                <w:rFonts w:ascii="宋体" w:hAnsi="宋体" w:cs="宋体"/>
                <w:color w:val="000000"/>
                <w:kern w:val="0"/>
                <w:sz w:val="20"/>
              </w:rPr>
            </w:pPr>
            <w:r>
              <w:rPr>
                <w:rFonts w:hint="eastAsia" w:ascii="宋体" w:hAnsi="宋体" w:cs="宋体"/>
                <w:color w:val="000000"/>
                <w:kern w:val="0"/>
                <w:sz w:val="20"/>
              </w:rPr>
              <w:t>　</w:t>
            </w:r>
          </w:p>
        </w:tc>
      </w:tr>
      <w:tr w14:paraId="5624F976">
        <w:tblPrEx>
          <w:tblCellMar>
            <w:top w:w="0" w:type="dxa"/>
            <w:left w:w="108" w:type="dxa"/>
            <w:bottom w:w="0" w:type="dxa"/>
            <w:right w:w="108" w:type="dxa"/>
          </w:tblCellMar>
        </w:tblPrEx>
        <w:trPr>
          <w:trHeight w:val="268" w:hRule="atLeast"/>
        </w:trPr>
        <w:tc>
          <w:tcPr>
            <w:tcW w:w="894" w:type="dxa"/>
            <w:tcBorders>
              <w:top w:val="nil"/>
              <w:left w:val="single" w:color="auto" w:sz="4" w:space="0"/>
              <w:bottom w:val="single" w:color="auto" w:sz="4" w:space="0"/>
              <w:right w:val="single" w:color="auto" w:sz="4" w:space="0"/>
            </w:tcBorders>
            <w:shd w:val="clear" w:color="auto" w:fill="auto"/>
            <w:vAlign w:val="center"/>
          </w:tcPr>
          <w:p w14:paraId="6B9C1F60">
            <w:pPr>
              <w:widowControl/>
              <w:jc w:val="center"/>
              <w:rPr>
                <w:rFonts w:ascii="宋体" w:hAnsi="宋体" w:cs="宋体"/>
                <w:kern w:val="0"/>
                <w:sz w:val="20"/>
              </w:rPr>
            </w:pPr>
            <w:r>
              <w:rPr>
                <w:rFonts w:ascii="宋体" w:hAnsi="宋体" w:cs="宋体"/>
                <w:kern w:val="0"/>
                <w:sz w:val="20"/>
              </w:rPr>
              <w:t>9</w:t>
            </w:r>
          </w:p>
        </w:tc>
        <w:tc>
          <w:tcPr>
            <w:tcW w:w="2650" w:type="dxa"/>
            <w:tcBorders>
              <w:top w:val="nil"/>
              <w:left w:val="nil"/>
              <w:bottom w:val="single" w:color="auto" w:sz="4" w:space="0"/>
              <w:right w:val="single" w:color="auto" w:sz="4" w:space="0"/>
            </w:tcBorders>
            <w:shd w:val="clear" w:color="auto" w:fill="auto"/>
            <w:vAlign w:val="center"/>
          </w:tcPr>
          <w:p w14:paraId="2774E9A7">
            <w:pPr>
              <w:widowControl/>
              <w:jc w:val="center"/>
              <w:rPr>
                <w:rFonts w:ascii="宋体" w:hAnsi="宋体" w:cs="宋体"/>
                <w:color w:val="000000"/>
                <w:kern w:val="0"/>
                <w:sz w:val="20"/>
              </w:rPr>
            </w:pPr>
            <w:r>
              <w:rPr>
                <w:rFonts w:hint="eastAsia" w:ascii="宋体" w:hAnsi="宋体" w:cs="宋体"/>
                <w:color w:val="000000"/>
                <w:kern w:val="0"/>
                <w:sz w:val="20"/>
              </w:rPr>
              <w:t>砂芯定位</w:t>
            </w:r>
          </w:p>
        </w:tc>
        <w:tc>
          <w:tcPr>
            <w:tcW w:w="3969" w:type="dxa"/>
            <w:tcBorders>
              <w:top w:val="nil"/>
              <w:left w:val="nil"/>
              <w:bottom w:val="single" w:color="auto" w:sz="4" w:space="0"/>
              <w:right w:val="single" w:color="auto" w:sz="4" w:space="0"/>
            </w:tcBorders>
            <w:shd w:val="clear" w:color="auto" w:fill="auto"/>
            <w:vAlign w:val="center"/>
          </w:tcPr>
          <w:p w14:paraId="0A91DCC3">
            <w:pPr>
              <w:widowControl/>
              <w:jc w:val="center"/>
              <w:rPr>
                <w:rFonts w:ascii="宋体" w:hAnsi="宋体" w:cs="宋体"/>
                <w:color w:val="000000"/>
                <w:kern w:val="0"/>
                <w:sz w:val="20"/>
              </w:rPr>
            </w:pPr>
            <w:r>
              <w:rPr>
                <w:rFonts w:ascii="宋体" w:hAnsi="宋体" w:cs="宋体"/>
                <w:color w:val="000000"/>
                <w:kern w:val="0"/>
                <w:sz w:val="20"/>
              </w:rPr>
              <w:t>不锈钢</w:t>
            </w:r>
            <w:r>
              <w:rPr>
                <w:rFonts w:hint="eastAsia" w:ascii="宋体" w:hAnsi="宋体" w:cs="宋体"/>
                <w:color w:val="000000"/>
                <w:kern w:val="0"/>
                <w:sz w:val="20"/>
              </w:rPr>
              <w:t>定制防滑螺钉</w:t>
            </w:r>
          </w:p>
        </w:tc>
        <w:tc>
          <w:tcPr>
            <w:tcW w:w="709" w:type="dxa"/>
            <w:tcBorders>
              <w:top w:val="nil"/>
              <w:left w:val="nil"/>
              <w:bottom w:val="single" w:color="auto" w:sz="4" w:space="0"/>
              <w:right w:val="single" w:color="auto" w:sz="4" w:space="0"/>
            </w:tcBorders>
            <w:shd w:val="clear" w:color="auto" w:fill="auto"/>
            <w:noWrap/>
            <w:vAlign w:val="center"/>
          </w:tcPr>
          <w:p w14:paraId="496543D7">
            <w:pPr>
              <w:widowControl/>
              <w:jc w:val="center"/>
              <w:rPr>
                <w:rFonts w:ascii="宋体" w:hAnsi="宋体" w:cs="宋体"/>
                <w:color w:val="000000"/>
                <w:kern w:val="0"/>
                <w:sz w:val="20"/>
              </w:rPr>
            </w:pPr>
            <w:r>
              <w:rPr>
                <w:rFonts w:hint="eastAsia" w:ascii="宋体" w:hAnsi="宋体" w:cs="宋体"/>
                <w:color w:val="000000"/>
                <w:kern w:val="0"/>
                <w:sz w:val="20"/>
              </w:rPr>
              <w:t>套</w:t>
            </w:r>
          </w:p>
        </w:tc>
        <w:tc>
          <w:tcPr>
            <w:tcW w:w="425" w:type="dxa"/>
            <w:tcBorders>
              <w:top w:val="nil"/>
              <w:left w:val="nil"/>
              <w:bottom w:val="single" w:color="auto" w:sz="4" w:space="0"/>
              <w:right w:val="single" w:color="auto" w:sz="4" w:space="0"/>
            </w:tcBorders>
            <w:shd w:val="clear" w:color="auto" w:fill="auto"/>
            <w:noWrap/>
            <w:vAlign w:val="center"/>
          </w:tcPr>
          <w:p w14:paraId="35BB071A">
            <w:pPr>
              <w:widowControl/>
              <w:jc w:val="center"/>
              <w:rPr>
                <w:rFonts w:ascii="宋体" w:hAnsi="宋体" w:cs="宋体"/>
                <w:color w:val="000000"/>
                <w:kern w:val="0"/>
                <w:sz w:val="20"/>
              </w:rPr>
            </w:pPr>
            <w:r>
              <w:rPr>
                <w:rFonts w:hint="eastAsia" w:ascii="宋体" w:hAnsi="宋体" w:cs="宋体"/>
                <w:color w:val="000000"/>
                <w:kern w:val="0"/>
                <w:sz w:val="20"/>
              </w:rPr>
              <w:t>6</w:t>
            </w:r>
          </w:p>
        </w:tc>
        <w:tc>
          <w:tcPr>
            <w:tcW w:w="1631" w:type="dxa"/>
            <w:tcBorders>
              <w:top w:val="nil"/>
              <w:left w:val="nil"/>
              <w:bottom w:val="single" w:color="auto" w:sz="4" w:space="0"/>
              <w:right w:val="single" w:color="auto" w:sz="4" w:space="0"/>
            </w:tcBorders>
            <w:shd w:val="clear" w:color="auto" w:fill="auto"/>
            <w:noWrap/>
            <w:vAlign w:val="center"/>
          </w:tcPr>
          <w:p w14:paraId="580A52B5">
            <w:pPr>
              <w:widowControl/>
              <w:jc w:val="center"/>
              <w:rPr>
                <w:rFonts w:ascii="宋体" w:hAnsi="宋体" w:cs="宋体"/>
                <w:color w:val="000000"/>
                <w:kern w:val="0"/>
                <w:sz w:val="20"/>
              </w:rPr>
            </w:pPr>
            <w:r>
              <w:rPr>
                <w:rFonts w:hint="eastAsia" w:ascii="宋体" w:hAnsi="宋体" w:cs="宋体"/>
                <w:color w:val="000000"/>
                <w:kern w:val="0"/>
                <w:sz w:val="20"/>
              </w:rPr>
              <w:t>　</w:t>
            </w:r>
          </w:p>
        </w:tc>
      </w:tr>
      <w:tr w14:paraId="71566731">
        <w:tblPrEx>
          <w:tblCellMar>
            <w:top w:w="0" w:type="dxa"/>
            <w:left w:w="108" w:type="dxa"/>
            <w:bottom w:w="0" w:type="dxa"/>
            <w:right w:w="108" w:type="dxa"/>
          </w:tblCellMar>
        </w:tblPrEx>
        <w:trPr>
          <w:trHeight w:val="339" w:hRule="atLeast"/>
        </w:trPr>
        <w:tc>
          <w:tcPr>
            <w:tcW w:w="894" w:type="dxa"/>
            <w:tcBorders>
              <w:top w:val="nil"/>
              <w:left w:val="single" w:color="auto" w:sz="4" w:space="0"/>
              <w:bottom w:val="single" w:color="auto" w:sz="4" w:space="0"/>
              <w:right w:val="single" w:color="auto" w:sz="4" w:space="0"/>
            </w:tcBorders>
            <w:shd w:val="clear" w:color="FFFFFF" w:fill="FFFFFF"/>
            <w:vAlign w:val="center"/>
          </w:tcPr>
          <w:p w14:paraId="4CEB9189">
            <w:pPr>
              <w:widowControl/>
              <w:jc w:val="center"/>
              <w:rPr>
                <w:rFonts w:ascii="宋体" w:hAnsi="宋体" w:cs="宋体"/>
                <w:kern w:val="0"/>
                <w:sz w:val="20"/>
              </w:rPr>
            </w:pPr>
            <w:r>
              <w:rPr>
                <w:rFonts w:ascii="宋体" w:hAnsi="宋体" w:cs="宋体"/>
                <w:kern w:val="0"/>
                <w:sz w:val="20"/>
              </w:rPr>
              <w:t>10</w:t>
            </w:r>
          </w:p>
        </w:tc>
        <w:tc>
          <w:tcPr>
            <w:tcW w:w="2650" w:type="dxa"/>
            <w:tcBorders>
              <w:top w:val="nil"/>
              <w:left w:val="nil"/>
              <w:bottom w:val="single" w:color="auto" w:sz="4" w:space="0"/>
              <w:right w:val="single" w:color="auto" w:sz="4" w:space="0"/>
            </w:tcBorders>
            <w:shd w:val="clear" w:color="auto" w:fill="auto"/>
            <w:vAlign w:val="center"/>
          </w:tcPr>
          <w:p w14:paraId="3CE8AF1D">
            <w:pPr>
              <w:widowControl/>
              <w:jc w:val="center"/>
              <w:rPr>
                <w:rFonts w:ascii="宋体" w:hAnsi="宋体" w:cs="宋体"/>
                <w:color w:val="000000"/>
                <w:kern w:val="0"/>
                <w:sz w:val="20"/>
              </w:rPr>
            </w:pPr>
            <w:r>
              <w:rPr>
                <w:rFonts w:hint="eastAsia" w:ascii="宋体" w:hAnsi="宋体" w:cs="宋体"/>
                <w:color w:val="000000"/>
                <w:kern w:val="0"/>
                <w:sz w:val="20"/>
              </w:rPr>
              <w:t>KUKA转运机器人搬迁、安装</w:t>
            </w:r>
          </w:p>
        </w:tc>
        <w:tc>
          <w:tcPr>
            <w:tcW w:w="3969" w:type="dxa"/>
            <w:tcBorders>
              <w:top w:val="nil"/>
              <w:left w:val="nil"/>
              <w:bottom w:val="single" w:color="auto" w:sz="4" w:space="0"/>
              <w:right w:val="single" w:color="auto" w:sz="4" w:space="0"/>
            </w:tcBorders>
            <w:shd w:val="clear" w:color="auto" w:fill="auto"/>
            <w:vAlign w:val="center"/>
          </w:tcPr>
          <w:p w14:paraId="5FCF9AD2">
            <w:pPr>
              <w:widowControl/>
              <w:rPr>
                <w:rFonts w:ascii="宋体" w:hAnsi="宋体" w:cs="宋体"/>
                <w:color w:val="000000"/>
                <w:kern w:val="0"/>
                <w:sz w:val="20"/>
              </w:rPr>
            </w:pPr>
            <w:r>
              <w:rPr>
                <w:rFonts w:hint="eastAsia" w:ascii="宋体" w:hAnsi="宋体" w:cs="宋体"/>
                <w:color w:val="000000"/>
                <w:kern w:val="0"/>
                <w:sz w:val="20"/>
              </w:rPr>
              <w:t>KUKA转运机器人拆卸并按招标方提供的位置就位、安装，含机器人底座、安装底板等附件</w:t>
            </w:r>
          </w:p>
        </w:tc>
        <w:tc>
          <w:tcPr>
            <w:tcW w:w="709" w:type="dxa"/>
            <w:tcBorders>
              <w:top w:val="nil"/>
              <w:left w:val="nil"/>
              <w:bottom w:val="single" w:color="auto" w:sz="4" w:space="0"/>
              <w:right w:val="single" w:color="auto" w:sz="4" w:space="0"/>
            </w:tcBorders>
            <w:shd w:val="clear" w:color="auto" w:fill="auto"/>
            <w:noWrap/>
            <w:vAlign w:val="center"/>
          </w:tcPr>
          <w:p w14:paraId="0B979895">
            <w:pPr>
              <w:widowControl/>
              <w:jc w:val="center"/>
              <w:rPr>
                <w:rFonts w:ascii="宋体" w:hAnsi="宋体" w:cs="宋体"/>
                <w:color w:val="000000"/>
                <w:kern w:val="0"/>
                <w:sz w:val="20"/>
              </w:rPr>
            </w:pPr>
            <w:r>
              <w:rPr>
                <w:rFonts w:hint="eastAsia" w:ascii="宋体" w:hAnsi="宋体" w:cs="宋体"/>
                <w:color w:val="000000"/>
                <w:kern w:val="0"/>
                <w:sz w:val="20"/>
              </w:rPr>
              <w:t>台　</w:t>
            </w:r>
          </w:p>
        </w:tc>
        <w:tc>
          <w:tcPr>
            <w:tcW w:w="425" w:type="dxa"/>
            <w:tcBorders>
              <w:top w:val="nil"/>
              <w:left w:val="nil"/>
              <w:bottom w:val="single" w:color="auto" w:sz="4" w:space="0"/>
              <w:right w:val="single" w:color="auto" w:sz="4" w:space="0"/>
            </w:tcBorders>
            <w:shd w:val="clear" w:color="auto" w:fill="auto"/>
            <w:noWrap/>
            <w:vAlign w:val="center"/>
          </w:tcPr>
          <w:p w14:paraId="76AFEC40">
            <w:pPr>
              <w:widowControl/>
              <w:jc w:val="center"/>
              <w:rPr>
                <w:rFonts w:ascii="宋体" w:hAnsi="宋体" w:cs="宋体"/>
                <w:color w:val="000000"/>
                <w:kern w:val="0"/>
                <w:sz w:val="20"/>
              </w:rPr>
            </w:pPr>
            <w:r>
              <w:rPr>
                <w:rFonts w:hint="eastAsia" w:ascii="宋体" w:hAnsi="宋体" w:cs="宋体"/>
                <w:color w:val="000000"/>
                <w:kern w:val="0"/>
                <w:sz w:val="20"/>
              </w:rPr>
              <w:t>1</w:t>
            </w:r>
          </w:p>
        </w:tc>
        <w:tc>
          <w:tcPr>
            <w:tcW w:w="1631" w:type="dxa"/>
            <w:tcBorders>
              <w:top w:val="nil"/>
              <w:left w:val="nil"/>
              <w:bottom w:val="single" w:color="auto" w:sz="4" w:space="0"/>
              <w:right w:val="single" w:color="auto" w:sz="4" w:space="0"/>
            </w:tcBorders>
            <w:shd w:val="clear" w:color="auto" w:fill="auto"/>
            <w:vAlign w:val="center"/>
          </w:tcPr>
          <w:p w14:paraId="36C4BD6D">
            <w:pPr>
              <w:widowControl/>
              <w:jc w:val="center"/>
              <w:rPr>
                <w:rFonts w:ascii="宋体" w:hAnsi="宋体" w:cs="宋体"/>
                <w:color w:val="000000"/>
                <w:kern w:val="0"/>
                <w:sz w:val="20"/>
              </w:rPr>
            </w:pPr>
            <w:r>
              <w:rPr>
                <w:rFonts w:ascii="宋体" w:hAnsi="宋体" w:cs="宋体"/>
                <w:color w:val="000000"/>
                <w:kern w:val="0"/>
                <w:sz w:val="20"/>
              </w:rPr>
              <w:t>招标方配合吊装</w:t>
            </w:r>
          </w:p>
        </w:tc>
      </w:tr>
      <w:tr w14:paraId="34555E1A">
        <w:tblPrEx>
          <w:tblCellMar>
            <w:top w:w="0" w:type="dxa"/>
            <w:left w:w="108" w:type="dxa"/>
            <w:bottom w:w="0" w:type="dxa"/>
            <w:right w:w="108" w:type="dxa"/>
          </w:tblCellMar>
        </w:tblPrEx>
        <w:trPr>
          <w:trHeight w:val="480" w:hRule="atLeast"/>
        </w:trPr>
        <w:tc>
          <w:tcPr>
            <w:tcW w:w="894" w:type="dxa"/>
            <w:tcBorders>
              <w:top w:val="nil"/>
              <w:left w:val="single" w:color="auto" w:sz="4" w:space="0"/>
              <w:bottom w:val="single" w:color="auto" w:sz="4" w:space="0"/>
              <w:right w:val="single" w:color="auto" w:sz="4" w:space="0"/>
            </w:tcBorders>
            <w:shd w:val="clear" w:color="FFFFFF" w:fill="FFFFFF"/>
            <w:vAlign w:val="center"/>
          </w:tcPr>
          <w:p w14:paraId="2A139EB4">
            <w:pPr>
              <w:widowControl/>
              <w:jc w:val="center"/>
              <w:rPr>
                <w:rFonts w:ascii="宋体" w:hAnsi="宋体" w:cs="宋体"/>
                <w:kern w:val="0"/>
                <w:sz w:val="20"/>
              </w:rPr>
            </w:pPr>
            <w:r>
              <w:rPr>
                <w:rFonts w:ascii="宋体" w:hAnsi="宋体" w:cs="宋体"/>
                <w:kern w:val="0"/>
                <w:sz w:val="20"/>
              </w:rPr>
              <w:t>11</w:t>
            </w:r>
          </w:p>
        </w:tc>
        <w:tc>
          <w:tcPr>
            <w:tcW w:w="2650" w:type="dxa"/>
            <w:tcBorders>
              <w:top w:val="nil"/>
              <w:left w:val="nil"/>
              <w:bottom w:val="single" w:color="auto" w:sz="4" w:space="0"/>
              <w:right w:val="single" w:color="auto" w:sz="4" w:space="0"/>
            </w:tcBorders>
            <w:shd w:val="clear" w:color="auto" w:fill="auto"/>
            <w:vAlign w:val="center"/>
          </w:tcPr>
          <w:p w14:paraId="02B11C8F">
            <w:pPr>
              <w:widowControl/>
              <w:jc w:val="center"/>
              <w:rPr>
                <w:rFonts w:ascii="宋体" w:hAnsi="宋体" w:cs="宋体"/>
                <w:color w:val="000000"/>
                <w:kern w:val="0"/>
                <w:sz w:val="20"/>
              </w:rPr>
            </w:pPr>
            <w:r>
              <w:rPr>
                <w:rFonts w:hint="eastAsia" w:ascii="宋体" w:hAnsi="宋体" w:cs="宋体"/>
                <w:color w:val="000000"/>
                <w:kern w:val="0"/>
                <w:sz w:val="20"/>
              </w:rPr>
              <w:t>机器人安全围栏</w:t>
            </w:r>
          </w:p>
        </w:tc>
        <w:tc>
          <w:tcPr>
            <w:tcW w:w="3969" w:type="dxa"/>
            <w:tcBorders>
              <w:top w:val="nil"/>
              <w:left w:val="nil"/>
              <w:bottom w:val="single" w:color="auto" w:sz="4" w:space="0"/>
              <w:right w:val="single" w:color="auto" w:sz="4" w:space="0"/>
            </w:tcBorders>
            <w:shd w:val="clear" w:color="auto" w:fill="auto"/>
            <w:vAlign w:val="center"/>
          </w:tcPr>
          <w:p w14:paraId="60A2AD12">
            <w:pPr>
              <w:widowControl/>
              <w:jc w:val="center"/>
              <w:rPr>
                <w:rFonts w:ascii="宋体" w:hAnsi="宋体" w:cs="宋体"/>
                <w:color w:val="000000"/>
                <w:kern w:val="0"/>
                <w:sz w:val="20"/>
              </w:rPr>
            </w:pPr>
            <w:r>
              <w:rPr>
                <w:rFonts w:hint="eastAsia" w:ascii="宋体" w:hAnsi="宋体" w:cs="宋体"/>
                <w:color w:val="000000"/>
                <w:kern w:val="0"/>
                <w:sz w:val="20"/>
              </w:rPr>
              <w:t>高2000mm，含安全光栅、安全门锁、滑轨门等；安全围栏品牌德拉科</w:t>
            </w:r>
          </w:p>
        </w:tc>
        <w:tc>
          <w:tcPr>
            <w:tcW w:w="709" w:type="dxa"/>
            <w:tcBorders>
              <w:top w:val="nil"/>
              <w:left w:val="nil"/>
              <w:bottom w:val="single" w:color="auto" w:sz="4" w:space="0"/>
              <w:right w:val="single" w:color="auto" w:sz="4" w:space="0"/>
            </w:tcBorders>
            <w:shd w:val="clear" w:color="auto" w:fill="auto"/>
            <w:noWrap/>
            <w:vAlign w:val="center"/>
          </w:tcPr>
          <w:p w14:paraId="5FF55125">
            <w:pPr>
              <w:widowControl/>
              <w:jc w:val="center"/>
              <w:rPr>
                <w:rFonts w:ascii="宋体" w:hAnsi="宋体" w:cs="宋体"/>
                <w:color w:val="000000"/>
                <w:kern w:val="0"/>
                <w:sz w:val="20"/>
              </w:rPr>
            </w:pPr>
            <w:r>
              <w:rPr>
                <w:rFonts w:hint="eastAsia" w:ascii="宋体" w:hAnsi="宋体" w:cs="宋体"/>
                <w:color w:val="000000"/>
                <w:kern w:val="0"/>
                <w:sz w:val="20"/>
              </w:rPr>
              <w:t>套</w:t>
            </w:r>
          </w:p>
        </w:tc>
        <w:tc>
          <w:tcPr>
            <w:tcW w:w="425" w:type="dxa"/>
            <w:tcBorders>
              <w:top w:val="nil"/>
              <w:left w:val="nil"/>
              <w:bottom w:val="single" w:color="auto" w:sz="4" w:space="0"/>
              <w:right w:val="single" w:color="auto" w:sz="4" w:space="0"/>
            </w:tcBorders>
            <w:shd w:val="clear" w:color="auto" w:fill="auto"/>
            <w:noWrap/>
            <w:vAlign w:val="center"/>
          </w:tcPr>
          <w:p w14:paraId="42739086">
            <w:pPr>
              <w:widowControl/>
              <w:jc w:val="center"/>
              <w:rPr>
                <w:rFonts w:ascii="宋体" w:hAnsi="宋体" w:cs="宋体"/>
                <w:color w:val="000000"/>
                <w:kern w:val="0"/>
                <w:sz w:val="20"/>
              </w:rPr>
            </w:pPr>
            <w:r>
              <w:rPr>
                <w:rFonts w:hint="eastAsia" w:ascii="宋体" w:hAnsi="宋体" w:cs="宋体"/>
                <w:color w:val="000000"/>
                <w:kern w:val="0"/>
                <w:sz w:val="20"/>
              </w:rPr>
              <w:t>1</w:t>
            </w:r>
          </w:p>
        </w:tc>
        <w:tc>
          <w:tcPr>
            <w:tcW w:w="1631" w:type="dxa"/>
            <w:tcBorders>
              <w:top w:val="nil"/>
              <w:left w:val="nil"/>
              <w:bottom w:val="single" w:color="auto" w:sz="4" w:space="0"/>
              <w:right w:val="single" w:color="auto" w:sz="4" w:space="0"/>
            </w:tcBorders>
            <w:shd w:val="clear" w:color="auto" w:fill="auto"/>
            <w:noWrap/>
            <w:vAlign w:val="center"/>
          </w:tcPr>
          <w:p w14:paraId="0FF7311B">
            <w:pPr>
              <w:widowControl/>
              <w:jc w:val="center"/>
              <w:rPr>
                <w:rFonts w:ascii="宋体" w:hAnsi="宋体" w:cs="宋体"/>
                <w:color w:val="000000"/>
                <w:kern w:val="0"/>
                <w:sz w:val="20"/>
              </w:rPr>
            </w:pPr>
            <w:r>
              <w:rPr>
                <w:rFonts w:hint="eastAsia" w:ascii="宋体" w:hAnsi="宋体" w:cs="宋体"/>
                <w:color w:val="000000"/>
                <w:kern w:val="0"/>
                <w:sz w:val="20"/>
              </w:rPr>
              <w:t>　</w:t>
            </w:r>
          </w:p>
        </w:tc>
      </w:tr>
      <w:tr w14:paraId="3BFE842F">
        <w:tblPrEx>
          <w:tblCellMar>
            <w:top w:w="0" w:type="dxa"/>
            <w:left w:w="108" w:type="dxa"/>
            <w:bottom w:w="0" w:type="dxa"/>
            <w:right w:w="108" w:type="dxa"/>
          </w:tblCellMar>
        </w:tblPrEx>
        <w:trPr>
          <w:trHeight w:val="554" w:hRule="atLeast"/>
        </w:trPr>
        <w:tc>
          <w:tcPr>
            <w:tcW w:w="894" w:type="dxa"/>
            <w:tcBorders>
              <w:top w:val="nil"/>
              <w:left w:val="single" w:color="auto" w:sz="4" w:space="0"/>
              <w:bottom w:val="single" w:color="auto" w:sz="4" w:space="0"/>
              <w:right w:val="single" w:color="auto" w:sz="4" w:space="0"/>
            </w:tcBorders>
            <w:shd w:val="clear" w:color="FFFFFF" w:fill="FFFFFF"/>
            <w:vAlign w:val="center"/>
          </w:tcPr>
          <w:p w14:paraId="66EC7DF2">
            <w:pPr>
              <w:widowControl/>
              <w:jc w:val="center"/>
              <w:rPr>
                <w:rFonts w:ascii="宋体" w:hAnsi="宋体" w:cs="宋体"/>
                <w:kern w:val="0"/>
                <w:sz w:val="20"/>
              </w:rPr>
            </w:pPr>
            <w:r>
              <w:rPr>
                <w:rFonts w:ascii="宋体" w:hAnsi="宋体" w:cs="宋体"/>
                <w:kern w:val="0"/>
                <w:sz w:val="20"/>
              </w:rPr>
              <w:t>12</w:t>
            </w:r>
          </w:p>
        </w:tc>
        <w:tc>
          <w:tcPr>
            <w:tcW w:w="2650" w:type="dxa"/>
            <w:tcBorders>
              <w:top w:val="nil"/>
              <w:left w:val="nil"/>
              <w:bottom w:val="single" w:color="auto" w:sz="4" w:space="0"/>
              <w:right w:val="single" w:color="auto" w:sz="4" w:space="0"/>
            </w:tcBorders>
            <w:shd w:val="clear" w:color="auto" w:fill="auto"/>
            <w:vAlign w:val="center"/>
          </w:tcPr>
          <w:p w14:paraId="7DC81087">
            <w:pPr>
              <w:widowControl/>
              <w:jc w:val="center"/>
              <w:rPr>
                <w:rFonts w:ascii="宋体" w:hAnsi="宋体" w:cs="宋体"/>
                <w:color w:val="000000"/>
                <w:kern w:val="0"/>
                <w:sz w:val="20"/>
              </w:rPr>
            </w:pPr>
            <w:r>
              <w:rPr>
                <w:rFonts w:hint="eastAsia" w:ascii="宋体" w:hAnsi="宋体" w:cs="宋体"/>
                <w:color w:val="000000"/>
                <w:kern w:val="0"/>
                <w:sz w:val="20"/>
              </w:rPr>
              <w:t>电气系统设计</w:t>
            </w:r>
          </w:p>
        </w:tc>
        <w:tc>
          <w:tcPr>
            <w:tcW w:w="3969" w:type="dxa"/>
            <w:tcBorders>
              <w:top w:val="nil"/>
              <w:left w:val="nil"/>
              <w:bottom w:val="single" w:color="auto" w:sz="4" w:space="0"/>
              <w:right w:val="single" w:color="auto" w:sz="4" w:space="0"/>
            </w:tcBorders>
            <w:shd w:val="clear" w:color="auto" w:fill="auto"/>
            <w:vAlign w:val="center"/>
          </w:tcPr>
          <w:p w14:paraId="449EDB68">
            <w:pPr>
              <w:widowControl/>
              <w:rPr>
                <w:rFonts w:ascii="宋体" w:hAnsi="宋体" w:cs="宋体"/>
                <w:color w:val="000000"/>
                <w:kern w:val="0"/>
                <w:sz w:val="20"/>
              </w:rPr>
            </w:pPr>
            <w:r>
              <w:rPr>
                <w:rFonts w:hint="eastAsia" w:ascii="宋体" w:hAnsi="宋体" w:cs="宋体"/>
                <w:color w:val="000000"/>
                <w:kern w:val="0"/>
                <w:sz w:val="20"/>
              </w:rPr>
              <w:t>1、新增设备电气控制设计；</w:t>
            </w:r>
            <w:r>
              <w:rPr>
                <w:rFonts w:hint="eastAsia" w:ascii="宋体" w:hAnsi="宋体" w:cs="宋体"/>
                <w:color w:val="000000"/>
                <w:kern w:val="0"/>
                <w:sz w:val="20"/>
              </w:rPr>
              <w:br w:type="textWrapping"/>
            </w:r>
            <w:r>
              <w:rPr>
                <w:rFonts w:hint="eastAsia" w:ascii="宋体" w:hAnsi="宋体" w:cs="宋体"/>
                <w:color w:val="000000"/>
                <w:kern w:val="0"/>
                <w:sz w:val="20"/>
              </w:rPr>
              <w:t>2、新增设备后对原设备图纸修改。</w:t>
            </w:r>
          </w:p>
        </w:tc>
        <w:tc>
          <w:tcPr>
            <w:tcW w:w="709" w:type="dxa"/>
            <w:tcBorders>
              <w:top w:val="nil"/>
              <w:left w:val="nil"/>
              <w:bottom w:val="single" w:color="auto" w:sz="4" w:space="0"/>
              <w:right w:val="single" w:color="auto" w:sz="4" w:space="0"/>
            </w:tcBorders>
            <w:shd w:val="clear" w:color="auto" w:fill="auto"/>
            <w:noWrap/>
            <w:vAlign w:val="center"/>
          </w:tcPr>
          <w:p w14:paraId="0410334E">
            <w:pPr>
              <w:widowControl/>
              <w:jc w:val="center"/>
              <w:rPr>
                <w:rFonts w:ascii="宋体" w:hAnsi="宋体" w:cs="宋体"/>
                <w:color w:val="000000"/>
                <w:kern w:val="0"/>
                <w:sz w:val="20"/>
              </w:rPr>
            </w:pPr>
            <w:r>
              <w:rPr>
                <w:rFonts w:hint="eastAsia" w:ascii="宋体" w:hAnsi="宋体" w:cs="宋体"/>
                <w:color w:val="000000"/>
                <w:kern w:val="0"/>
                <w:sz w:val="20"/>
              </w:rPr>
              <w:t>项</w:t>
            </w:r>
          </w:p>
        </w:tc>
        <w:tc>
          <w:tcPr>
            <w:tcW w:w="425" w:type="dxa"/>
            <w:tcBorders>
              <w:top w:val="nil"/>
              <w:left w:val="nil"/>
              <w:bottom w:val="single" w:color="auto" w:sz="4" w:space="0"/>
              <w:right w:val="single" w:color="auto" w:sz="4" w:space="0"/>
            </w:tcBorders>
            <w:shd w:val="clear" w:color="auto" w:fill="auto"/>
            <w:noWrap/>
            <w:vAlign w:val="center"/>
          </w:tcPr>
          <w:p w14:paraId="5A7B3E0A">
            <w:pPr>
              <w:widowControl/>
              <w:jc w:val="center"/>
              <w:rPr>
                <w:rFonts w:ascii="宋体" w:hAnsi="宋体" w:cs="宋体"/>
                <w:color w:val="000000"/>
                <w:kern w:val="0"/>
                <w:sz w:val="20"/>
              </w:rPr>
            </w:pPr>
            <w:r>
              <w:rPr>
                <w:rFonts w:hint="eastAsia" w:ascii="宋体" w:hAnsi="宋体" w:cs="宋体"/>
                <w:color w:val="000000"/>
                <w:kern w:val="0"/>
                <w:sz w:val="20"/>
              </w:rPr>
              <w:t>1</w:t>
            </w:r>
          </w:p>
        </w:tc>
        <w:tc>
          <w:tcPr>
            <w:tcW w:w="1631" w:type="dxa"/>
            <w:tcBorders>
              <w:top w:val="nil"/>
              <w:left w:val="nil"/>
              <w:bottom w:val="single" w:color="auto" w:sz="4" w:space="0"/>
              <w:right w:val="single" w:color="auto" w:sz="4" w:space="0"/>
            </w:tcBorders>
            <w:shd w:val="clear" w:color="auto" w:fill="auto"/>
            <w:noWrap/>
            <w:vAlign w:val="center"/>
          </w:tcPr>
          <w:p w14:paraId="326AF951">
            <w:pPr>
              <w:widowControl/>
              <w:jc w:val="center"/>
              <w:rPr>
                <w:rFonts w:ascii="宋体" w:hAnsi="宋体" w:cs="宋体"/>
                <w:color w:val="000000"/>
                <w:kern w:val="0"/>
                <w:sz w:val="20"/>
              </w:rPr>
            </w:pPr>
            <w:r>
              <w:rPr>
                <w:rFonts w:hint="eastAsia" w:ascii="宋体" w:hAnsi="宋体" w:cs="宋体"/>
                <w:color w:val="000000"/>
                <w:kern w:val="0"/>
                <w:sz w:val="20"/>
              </w:rPr>
              <w:t>不含PLC和机器人的软件编程及现场程序调试　</w:t>
            </w:r>
          </w:p>
        </w:tc>
      </w:tr>
      <w:tr w14:paraId="2CD43C9E">
        <w:tblPrEx>
          <w:tblCellMar>
            <w:top w:w="0" w:type="dxa"/>
            <w:left w:w="108" w:type="dxa"/>
            <w:bottom w:w="0" w:type="dxa"/>
            <w:right w:w="108" w:type="dxa"/>
          </w:tblCellMar>
        </w:tblPrEx>
        <w:trPr>
          <w:trHeight w:val="586" w:hRule="atLeast"/>
        </w:trPr>
        <w:tc>
          <w:tcPr>
            <w:tcW w:w="894" w:type="dxa"/>
            <w:tcBorders>
              <w:top w:val="nil"/>
              <w:left w:val="single" w:color="auto" w:sz="4" w:space="0"/>
              <w:bottom w:val="single" w:color="auto" w:sz="4" w:space="0"/>
              <w:right w:val="single" w:color="auto" w:sz="4" w:space="0"/>
            </w:tcBorders>
            <w:shd w:val="clear" w:color="FFFFFF" w:fill="FFFFFF"/>
            <w:vAlign w:val="center"/>
          </w:tcPr>
          <w:p w14:paraId="2D87D5D5">
            <w:pPr>
              <w:widowControl/>
              <w:jc w:val="center"/>
              <w:rPr>
                <w:rFonts w:ascii="宋体" w:hAnsi="宋体" w:cs="宋体"/>
                <w:kern w:val="0"/>
                <w:sz w:val="20"/>
              </w:rPr>
            </w:pPr>
            <w:r>
              <w:rPr>
                <w:rFonts w:ascii="宋体" w:hAnsi="宋体" w:cs="宋体"/>
                <w:kern w:val="0"/>
                <w:sz w:val="20"/>
              </w:rPr>
              <w:t>13</w:t>
            </w:r>
          </w:p>
        </w:tc>
        <w:tc>
          <w:tcPr>
            <w:tcW w:w="2650" w:type="dxa"/>
            <w:tcBorders>
              <w:top w:val="nil"/>
              <w:left w:val="nil"/>
              <w:bottom w:val="single" w:color="auto" w:sz="4" w:space="0"/>
              <w:right w:val="single" w:color="auto" w:sz="4" w:space="0"/>
            </w:tcBorders>
            <w:shd w:val="clear" w:color="auto" w:fill="auto"/>
            <w:vAlign w:val="center"/>
          </w:tcPr>
          <w:p w14:paraId="3A7BE394">
            <w:pPr>
              <w:widowControl/>
              <w:jc w:val="center"/>
              <w:rPr>
                <w:rFonts w:ascii="宋体" w:hAnsi="宋体" w:cs="宋体"/>
                <w:color w:val="000000"/>
                <w:kern w:val="0"/>
                <w:sz w:val="20"/>
              </w:rPr>
            </w:pPr>
            <w:r>
              <w:rPr>
                <w:rFonts w:hint="eastAsia" w:ascii="宋体" w:hAnsi="宋体" w:cs="宋体"/>
                <w:color w:val="000000"/>
                <w:kern w:val="0"/>
                <w:sz w:val="20"/>
              </w:rPr>
              <w:t>新增电控柜及配置电气元件</w:t>
            </w:r>
          </w:p>
        </w:tc>
        <w:tc>
          <w:tcPr>
            <w:tcW w:w="3969" w:type="dxa"/>
            <w:tcBorders>
              <w:top w:val="nil"/>
              <w:left w:val="nil"/>
              <w:bottom w:val="single" w:color="auto" w:sz="4" w:space="0"/>
              <w:right w:val="single" w:color="auto" w:sz="4" w:space="0"/>
            </w:tcBorders>
            <w:shd w:val="clear" w:color="auto" w:fill="auto"/>
            <w:vAlign w:val="center"/>
          </w:tcPr>
          <w:p w14:paraId="07F4AD6D">
            <w:pPr>
              <w:widowControl/>
              <w:rPr>
                <w:rFonts w:ascii="宋体" w:hAnsi="宋体" w:cs="宋体"/>
                <w:color w:val="000000"/>
                <w:kern w:val="0"/>
                <w:sz w:val="20"/>
              </w:rPr>
            </w:pPr>
            <w:r>
              <w:rPr>
                <w:rFonts w:hint="eastAsia" w:ascii="宋体" w:hAnsi="宋体" w:cs="宋体"/>
                <w:color w:val="000000"/>
                <w:kern w:val="0"/>
                <w:sz w:val="20"/>
              </w:rPr>
              <w:t>1.威图电控柜；2.西门子PLC及模块组；</w:t>
            </w:r>
            <w:r>
              <w:rPr>
                <w:rFonts w:hint="eastAsia" w:ascii="宋体" w:hAnsi="宋体" w:cs="宋体"/>
                <w:color w:val="000000"/>
                <w:kern w:val="0"/>
                <w:sz w:val="20"/>
              </w:rPr>
              <w:br w:type="textWrapping"/>
            </w:r>
            <w:r>
              <w:rPr>
                <w:rFonts w:hint="eastAsia" w:ascii="宋体" w:hAnsi="宋体" w:cs="宋体"/>
                <w:color w:val="000000"/>
                <w:kern w:val="0"/>
                <w:sz w:val="20"/>
              </w:rPr>
              <w:t>3.中间继电器、交流接触器，品牌施耐德或西门子；4、雷普端子排、卡迪夫线缆线束等。</w:t>
            </w:r>
          </w:p>
        </w:tc>
        <w:tc>
          <w:tcPr>
            <w:tcW w:w="709" w:type="dxa"/>
            <w:tcBorders>
              <w:top w:val="nil"/>
              <w:left w:val="nil"/>
              <w:bottom w:val="single" w:color="auto" w:sz="4" w:space="0"/>
              <w:right w:val="single" w:color="auto" w:sz="4" w:space="0"/>
            </w:tcBorders>
            <w:shd w:val="clear" w:color="auto" w:fill="auto"/>
            <w:noWrap/>
            <w:vAlign w:val="center"/>
          </w:tcPr>
          <w:p w14:paraId="4E8D457B">
            <w:pPr>
              <w:widowControl/>
              <w:jc w:val="center"/>
              <w:rPr>
                <w:rFonts w:ascii="宋体" w:hAnsi="宋体" w:cs="宋体"/>
                <w:color w:val="000000"/>
                <w:kern w:val="0"/>
                <w:sz w:val="20"/>
              </w:rPr>
            </w:pPr>
            <w:r>
              <w:rPr>
                <w:rFonts w:hint="eastAsia" w:ascii="宋体" w:hAnsi="宋体" w:cs="宋体"/>
                <w:color w:val="000000"/>
                <w:kern w:val="0"/>
                <w:sz w:val="20"/>
              </w:rPr>
              <w:t>套</w:t>
            </w:r>
          </w:p>
        </w:tc>
        <w:tc>
          <w:tcPr>
            <w:tcW w:w="425" w:type="dxa"/>
            <w:tcBorders>
              <w:top w:val="nil"/>
              <w:left w:val="nil"/>
              <w:bottom w:val="single" w:color="auto" w:sz="4" w:space="0"/>
              <w:right w:val="single" w:color="auto" w:sz="4" w:space="0"/>
            </w:tcBorders>
            <w:shd w:val="clear" w:color="auto" w:fill="auto"/>
            <w:noWrap/>
            <w:vAlign w:val="center"/>
          </w:tcPr>
          <w:p w14:paraId="0928CA47">
            <w:pPr>
              <w:widowControl/>
              <w:jc w:val="center"/>
              <w:rPr>
                <w:rFonts w:ascii="宋体" w:hAnsi="宋体" w:cs="宋体"/>
                <w:color w:val="000000"/>
                <w:kern w:val="0"/>
                <w:sz w:val="20"/>
              </w:rPr>
            </w:pPr>
            <w:r>
              <w:rPr>
                <w:rFonts w:hint="eastAsia" w:ascii="宋体" w:hAnsi="宋体" w:cs="宋体"/>
                <w:color w:val="000000"/>
                <w:kern w:val="0"/>
                <w:sz w:val="20"/>
              </w:rPr>
              <w:t>1</w:t>
            </w:r>
          </w:p>
        </w:tc>
        <w:tc>
          <w:tcPr>
            <w:tcW w:w="1631" w:type="dxa"/>
            <w:tcBorders>
              <w:top w:val="nil"/>
              <w:left w:val="nil"/>
              <w:bottom w:val="single" w:color="auto" w:sz="4" w:space="0"/>
              <w:right w:val="single" w:color="auto" w:sz="4" w:space="0"/>
            </w:tcBorders>
            <w:shd w:val="clear" w:color="auto" w:fill="auto"/>
            <w:noWrap/>
            <w:vAlign w:val="center"/>
          </w:tcPr>
          <w:p w14:paraId="4B7270F6">
            <w:pPr>
              <w:widowControl/>
              <w:jc w:val="center"/>
              <w:rPr>
                <w:rFonts w:ascii="宋体" w:hAnsi="宋体" w:cs="宋体"/>
                <w:color w:val="000000"/>
                <w:kern w:val="0"/>
                <w:sz w:val="20"/>
              </w:rPr>
            </w:pPr>
            <w:r>
              <w:rPr>
                <w:rFonts w:hint="eastAsia" w:ascii="宋体" w:hAnsi="宋体" w:cs="宋体"/>
                <w:color w:val="000000"/>
                <w:kern w:val="0"/>
                <w:sz w:val="20"/>
              </w:rPr>
              <w:t>　</w:t>
            </w:r>
          </w:p>
        </w:tc>
      </w:tr>
      <w:tr w14:paraId="0B2D7A8B">
        <w:tblPrEx>
          <w:tblCellMar>
            <w:top w:w="0" w:type="dxa"/>
            <w:left w:w="108" w:type="dxa"/>
            <w:bottom w:w="0" w:type="dxa"/>
            <w:right w:w="108" w:type="dxa"/>
          </w:tblCellMar>
        </w:tblPrEx>
        <w:trPr>
          <w:trHeight w:val="329" w:hRule="atLeast"/>
        </w:trPr>
        <w:tc>
          <w:tcPr>
            <w:tcW w:w="894" w:type="dxa"/>
            <w:tcBorders>
              <w:top w:val="nil"/>
              <w:left w:val="single" w:color="auto" w:sz="4" w:space="0"/>
              <w:bottom w:val="single" w:color="auto" w:sz="4" w:space="0"/>
              <w:right w:val="single" w:color="auto" w:sz="4" w:space="0"/>
            </w:tcBorders>
            <w:shd w:val="clear" w:color="FFFFFF" w:fill="FFFFFF"/>
            <w:vAlign w:val="center"/>
          </w:tcPr>
          <w:p w14:paraId="72C29333">
            <w:pPr>
              <w:widowControl/>
              <w:jc w:val="center"/>
              <w:rPr>
                <w:rFonts w:ascii="宋体" w:hAnsi="宋体" w:cs="宋体"/>
                <w:kern w:val="0"/>
                <w:sz w:val="20"/>
              </w:rPr>
            </w:pPr>
            <w:r>
              <w:rPr>
                <w:rFonts w:ascii="宋体" w:hAnsi="宋体" w:cs="宋体"/>
                <w:kern w:val="0"/>
                <w:sz w:val="20"/>
              </w:rPr>
              <w:t>14</w:t>
            </w:r>
          </w:p>
        </w:tc>
        <w:tc>
          <w:tcPr>
            <w:tcW w:w="2650" w:type="dxa"/>
            <w:tcBorders>
              <w:top w:val="nil"/>
              <w:left w:val="nil"/>
              <w:bottom w:val="single" w:color="auto" w:sz="4" w:space="0"/>
              <w:right w:val="single" w:color="auto" w:sz="4" w:space="0"/>
            </w:tcBorders>
            <w:shd w:val="clear" w:color="FFFFFF" w:fill="FFFFFF"/>
            <w:vAlign w:val="center"/>
          </w:tcPr>
          <w:p w14:paraId="6AA12E59">
            <w:pPr>
              <w:widowControl/>
              <w:jc w:val="center"/>
              <w:rPr>
                <w:rFonts w:ascii="宋体" w:hAnsi="宋体" w:cs="宋体"/>
                <w:kern w:val="0"/>
                <w:sz w:val="20"/>
              </w:rPr>
            </w:pPr>
            <w:r>
              <w:rPr>
                <w:rFonts w:hint="eastAsia" w:ascii="宋体" w:hAnsi="宋体" w:cs="宋体"/>
                <w:kern w:val="0"/>
                <w:sz w:val="20"/>
              </w:rPr>
              <w:t>传感器配置</w:t>
            </w:r>
          </w:p>
        </w:tc>
        <w:tc>
          <w:tcPr>
            <w:tcW w:w="3969" w:type="dxa"/>
            <w:tcBorders>
              <w:top w:val="nil"/>
              <w:left w:val="nil"/>
              <w:bottom w:val="single" w:color="auto" w:sz="4" w:space="0"/>
              <w:right w:val="single" w:color="auto" w:sz="4" w:space="0"/>
            </w:tcBorders>
            <w:shd w:val="clear" w:color="auto" w:fill="auto"/>
            <w:vAlign w:val="center"/>
          </w:tcPr>
          <w:p w14:paraId="3EA69F9C">
            <w:pPr>
              <w:widowControl/>
              <w:jc w:val="center"/>
              <w:rPr>
                <w:rFonts w:ascii="宋体" w:hAnsi="宋体" w:cs="宋体"/>
                <w:color w:val="000000"/>
                <w:kern w:val="0"/>
                <w:sz w:val="20"/>
              </w:rPr>
            </w:pPr>
            <w:r>
              <w:rPr>
                <w:rFonts w:hint="eastAsia" w:ascii="宋体" w:hAnsi="宋体" w:cs="宋体"/>
                <w:color w:val="000000"/>
                <w:kern w:val="0"/>
                <w:sz w:val="20"/>
              </w:rPr>
              <w:t>接近开关、光电开关，品牌：图尔克或P+F</w:t>
            </w:r>
          </w:p>
        </w:tc>
        <w:tc>
          <w:tcPr>
            <w:tcW w:w="709" w:type="dxa"/>
            <w:tcBorders>
              <w:top w:val="nil"/>
              <w:left w:val="nil"/>
              <w:bottom w:val="single" w:color="auto" w:sz="4" w:space="0"/>
              <w:right w:val="single" w:color="auto" w:sz="4" w:space="0"/>
            </w:tcBorders>
            <w:shd w:val="clear" w:color="auto" w:fill="auto"/>
            <w:noWrap/>
            <w:vAlign w:val="center"/>
          </w:tcPr>
          <w:p w14:paraId="133D8AB5">
            <w:pPr>
              <w:widowControl/>
              <w:jc w:val="center"/>
              <w:rPr>
                <w:rFonts w:ascii="宋体" w:hAnsi="宋体" w:cs="宋体"/>
                <w:color w:val="000000"/>
                <w:kern w:val="0"/>
                <w:sz w:val="20"/>
              </w:rPr>
            </w:pPr>
            <w:r>
              <w:rPr>
                <w:rFonts w:hint="eastAsia" w:ascii="宋体" w:hAnsi="宋体" w:cs="宋体"/>
                <w:color w:val="000000"/>
                <w:kern w:val="0"/>
                <w:sz w:val="20"/>
              </w:rPr>
              <w:t>套</w:t>
            </w:r>
          </w:p>
        </w:tc>
        <w:tc>
          <w:tcPr>
            <w:tcW w:w="425" w:type="dxa"/>
            <w:tcBorders>
              <w:top w:val="nil"/>
              <w:left w:val="nil"/>
              <w:bottom w:val="single" w:color="auto" w:sz="4" w:space="0"/>
              <w:right w:val="single" w:color="auto" w:sz="4" w:space="0"/>
            </w:tcBorders>
            <w:shd w:val="clear" w:color="auto" w:fill="auto"/>
            <w:noWrap/>
            <w:vAlign w:val="center"/>
          </w:tcPr>
          <w:p w14:paraId="2D808AED">
            <w:pPr>
              <w:widowControl/>
              <w:jc w:val="center"/>
              <w:rPr>
                <w:rFonts w:ascii="宋体" w:hAnsi="宋体" w:cs="宋体"/>
                <w:color w:val="000000"/>
                <w:kern w:val="0"/>
                <w:sz w:val="20"/>
              </w:rPr>
            </w:pPr>
            <w:r>
              <w:rPr>
                <w:rFonts w:hint="eastAsia" w:ascii="宋体" w:hAnsi="宋体" w:cs="宋体"/>
                <w:color w:val="000000"/>
                <w:kern w:val="0"/>
                <w:sz w:val="20"/>
              </w:rPr>
              <w:t>1</w:t>
            </w:r>
          </w:p>
        </w:tc>
        <w:tc>
          <w:tcPr>
            <w:tcW w:w="1631" w:type="dxa"/>
            <w:tcBorders>
              <w:top w:val="nil"/>
              <w:left w:val="nil"/>
              <w:bottom w:val="single" w:color="auto" w:sz="4" w:space="0"/>
              <w:right w:val="single" w:color="auto" w:sz="4" w:space="0"/>
            </w:tcBorders>
            <w:shd w:val="clear" w:color="auto" w:fill="auto"/>
            <w:noWrap/>
            <w:vAlign w:val="center"/>
          </w:tcPr>
          <w:p w14:paraId="73CE2B07">
            <w:pPr>
              <w:widowControl/>
              <w:jc w:val="center"/>
              <w:rPr>
                <w:rFonts w:ascii="宋体" w:hAnsi="宋体" w:cs="宋体"/>
                <w:color w:val="000000"/>
                <w:kern w:val="0"/>
                <w:sz w:val="20"/>
              </w:rPr>
            </w:pPr>
            <w:r>
              <w:rPr>
                <w:rFonts w:hint="eastAsia" w:ascii="宋体" w:hAnsi="宋体" w:cs="宋体"/>
                <w:color w:val="000000"/>
                <w:kern w:val="0"/>
                <w:sz w:val="20"/>
              </w:rPr>
              <w:t>　</w:t>
            </w:r>
          </w:p>
        </w:tc>
      </w:tr>
      <w:tr w14:paraId="66DFDB53">
        <w:tblPrEx>
          <w:tblCellMar>
            <w:top w:w="0" w:type="dxa"/>
            <w:left w:w="108" w:type="dxa"/>
            <w:bottom w:w="0" w:type="dxa"/>
            <w:right w:w="108" w:type="dxa"/>
          </w:tblCellMar>
        </w:tblPrEx>
        <w:trPr>
          <w:trHeight w:val="480" w:hRule="atLeast"/>
        </w:trPr>
        <w:tc>
          <w:tcPr>
            <w:tcW w:w="894" w:type="dxa"/>
            <w:tcBorders>
              <w:top w:val="nil"/>
              <w:left w:val="single" w:color="auto" w:sz="4" w:space="0"/>
              <w:bottom w:val="single" w:color="auto" w:sz="4" w:space="0"/>
              <w:right w:val="single" w:color="auto" w:sz="4" w:space="0"/>
            </w:tcBorders>
            <w:shd w:val="clear" w:color="FFFFFF" w:fill="FFFFFF"/>
            <w:vAlign w:val="center"/>
          </w:tcPr>
          <w:p w14:paraId="0AC9D4C5">
            <w:pPr>
              <w:widowControl/>
              <w:jc w:val="center"/>
              <w:rPr>
                <w:rFonts w:ascii="宋体" w:hAnsi="宋体" w:cs="宋体"/>
                <w:kern w:val="0"/>
                <w:sz w:val="20"/>
              </w:rPr>
            </w:pPr>
            <w:r>
              <w:rPr>
                <w:rFonts w:ascii="宋体" w:hAnsi="宋体" w:cs="宋体"/>
                <w:kern w:val="0"/>
                <w:sz w:val="20"/>
              </w:rPr>
              <w:t>15</w:t>
            </w:r>
          </w:p>
        </w:tc>
        <w:tc>
          <w:tcPr>
            <w:tcW w:w="2650" w:type="dxa"/>
            <w:tcBorders>
              <w:top w:val="nil"/>
              <w:left w:val="nil"/>
              <w:bottom w:val="single" w:color="auto" w:sz="4" w:space="0"/>
              <w:right w:val="single" w:color="auto" w:sz="4" w:space="0"/>
            </w:tcBorders>
            <w:shd w:val="clear" w:color="auto" w:fill="auto"/>
            <w:vAlign w:val="center"/>
          </w:tcPr>
          <w:p w14:paraId="5FAF8010">
            <w:pPr>
              <w:widowControl/>
              <w:jc w:val="center"/>
              <w:rPr>
                <w:rFonts w:ascii="宋体" w:hAnsi="宋体" w:cs="宋体"/>
                <w:color w:val="000000"/>
                <w:kern w:val="0"/>
                <w:sz w:val="20"/>
              </w:rPr>
            </w:pPr>
            <w:r>
              <w:rPr>
                <w:rFonts w:hint="eastAsia" w:ascii="宋体" w:hAnsi="宋体" w:cs="宋体"/>
                <w:color w:val="000000"/>
                <w:kern w:val="0"/>
                <w:sz w:val="20"/>
              </w:rPr>
              <w:t>电缆、桥架、线管等</w:t>
            </w:r>
          </w:p>
        </w:tc>
        <w:tc>
          <w:tcPr>
            <w:tcW w:w="3969" w:type="dxa"/>
            <w:tcBorders>
              <w:top w:val="nil"/>
              <w:left w:val="nil"/>
              <w:bottom w:val="single" w:color="auto" w:sz="4" w:space="0"/>
              <w:right w:val="single" w:color="auto" w:sz="4" w:space="0"/>
            </w:tcBorders>
            <w:shd w:val="clear" w:color="auto" w:fill="auto"/>
            <w:vAlign w:val="center"/>
          </w:tcPr>
          <w:p w14:paraId="56B57C39">
            <w:pPr>
              <w:widowControl/>
              <w:jc w:val="center"/>
              <w:rPr>
                <w:rFonts w:ascii="宋体" w:hAnsi="宋体" w:cs="宋体"/>
                <w:color w:val="000000"/>
                <w:kern w:val="0"/>
                <w:sz w:val="20"/>
              </w:rPr>
            </w:pPr>
            <w:r>
              <w:rPr>
                <w:rFonts w:hint="eastAsia" w:ascii="宋体" w:hAnsi="宋体" w:cs="宋体"/>
                <w:color w:val="000000"/>
                <w:kern w:val="0"/>
                <w:sz w:val="20"/>
              </w:rPr>
              <w:t>新增设备部件与原有设备之间的连接电缆及安装辅件</w:t>
            </w:r>
          </w:p>
        </w:tc>
        <w:tc>
          <w:tcPr>
            <w:tcW w:w="709" w:type="dxa"/>
            <w:tcBorders>
              <w:top w:val="nil"/>
              <w:left w:val="nil"/>
              <w:bottom w:val="single" w:color="auto" w:sz="4" w:space="0"/>
              <w:right w:val="single" w:color="auto" w:sz="4" w:space="0"/>
            </w:tcBorders>
            <w:shd w:val="clear" w:color="auto" w:fill="auto"/>
            <w:noWrap/>
            <w:vAlign w:val="center"/>
          </w:tcPr>
          <w:p w14:paraId="654CF5E1">
            <w:pPr>
              <w:widowControl/>
              <w:jc w:val="center"/>
              <w:rPr>
                <w:rFonts w:ascii="宋体" w:hAnsi="宋体" w:cs="宋体"/>
                <w:color w:val="000000"/>
                <w:kern w:val="0"/>
                <w:sz w:val="20"/>
              </w:rPr>
            </w:pPr>
            <w:r>
              <w:rPr>
                <w:rFonts w:hint="eastAsia" w:ascii="宋体" w:hAnsi="宋体" w:cs="宋体"/>
                <w:color w:val="000000"/>
                <w:kern w:val="0"/>
                <w:sz w:val="20"/>
              </w:rPr>
              <w:t>套</w:t>
            </w:r>
          </w:p>
        </w:tc>
        <w:tc>
          <w:tcPr>
            <w:tcW w:w="425" w:type="dxa"/>
            <w:tcBorders>
              <w:top w:val="nil"/>
              <w:left w:val="nil"/>
              <w:bottom w:val="single" w:color="auto" w:sz="4" w:space="0"/>
              <w:right w:val="single" w:color="auto" w:sz="4" w:space="0"/>
            </w:tcBorders>
            <w:shd w:val="clear" w:color="auto" w:fill="auto"/>
            <w:noWrap/>
            <w:vAlign w:val="center"/>
          </w:tcPr>
          <w:p w14:paraId="57EDFC36">
            <w:pPr>
              <w:widowControl/>
              <w:jc w:val="center"/>
              <w:rPr>
                <w:rFonts w:ascii="宋体" w:hAnsi="宋体" w:cs="宋体"/>
                <w:color w:val="000000"/>
                <w:kern w:val="0"/>
                <w:sz w:val="20"/>
              </w:rPr>
            </w:pPr>
            <w:r>
              <w:rPr>
                <w:rFonts w:hint="eastAsia" w:ascii="宋体" w:hAnsi="宋体" w:cs="宋体"/>
                <w:color w:val="000000"/>
                <w:kern w:val="0"/>
                <w:sz w:val="20"/>
              </w:rPr>
              <w:t>1</w:t>
            </w:r>
          </w:p>
        </w:tc>
        <w:tc>
          <w:tcPr>
            <w:tcW w:w="1631" w:type="dxa"/>
            <w:tcBorders>
              <w:top w:val="nil"/>
              <w:left w:val="nil"/>
              <w:bottom w:val="single" w:color="auto" w:sz="4" w:space="0"/>
              <w:right w:val="single" w:color="auto" w:sz="4" w:space="0"/>
            </w:tcBorders>
            <w:shd w:val="clear" w:color="auto" w:fill="auto"/>
            <w:noWrap/>
            <w:vAlign w:val="center"/>
          </w:tcPr>
          <w:p w14:paraId="38323AC9">
            <w:pPr>
              <w:widowControl/>
              <w:jc w:val="center"/>
              <w:rPr>
                <w:rFonts w:ascii="宋体" w:hAnsi="宋体" w:cs="宋体"/>
                <w:color w:val="000000"/>
                <w:kern w:val="0"/>
                <w:sz w:val="20"/>
              </w:rPr>
            </w:pPr>
            <w:r>
              <w:rPr>
                <w:rFonts w:hint="eastAsia" w:ascii="宋体" w:hAnsi="宋体" w:cs="宋体"/>
                <w:color w:val="000000"/>
                <w:kern w:val="0"/>
                <w:sz w:val="20"/>
              </w:rPr>
              <w:t>　</w:t>
            </w:r>
          </w:p>
        </w:tc>
      </w:tr>
      <w:tr w14:paraId="502ADE4E">
        <w:tblPrEx>
          <w:tblCellMar>
            <w:top w:w="0" w:type="dxa"/>
            <w:left w:w="108" w:type="dxa"/>
            <w:bottom w:w="0" w:type="dxa"/>
            <w:right w:w="108" w:type="dxa"/>
          </w:tblCellMar>
        </w:tblPrEx>
        <w:trPr>
          <w:trHeight w:val="480" w:hRule="atLeast"/>
        </w:trPr>
        <w:tc>
          <w:tcPr>
            <w:tcW w:w="894" w:type="dxa"/>
            <w:tcBorders>
              <w:top w:val="nil"/>
              <w:left w:val="single" w:color="auto" w:sz="4" w:space="0"/>
              <w:bottom w:val="single" w:color="auto" w:sz="4" w:space="0"/>
              <w:right w:val="single" w:color="auto" w:sz="4" w:space="0"/>
            </w:tcBorders>
            <w:shd w:val="clear" w:color="FFFFFF" w:fill="FFFFFF"/>
            <w:vAlign w:val="center"/>
          </w:tcPr>
          <w:p w14:paraId="6011922A">
            <w:pPr>
              <w:widowControl/>
              <w:jc w:val="center"/>
              <w:rPr>
                <w:rFonts w:ascii="宋体" w:hAnsi="宋体" w:cs="宋体"/>
                <w:kern w:val="0"/>
                <w:sz w:val="20"/>
              </w:rPr>
            </w:pPr>
            <w:r>
              <w:rPr>
                <w:rFonts w:ascii="宋体" w:hAnsi="宋体" w:cs="宋体"/>
                <w:kern w:val="0"/>
                <w:sz w:val="20"/>
              </w:rPr>
              <w:t>16</w:t>
            </w:r>
          </w:p>
        </w:tc>
        <w:tc>
          <w:tcPr>
            <w:tcW w:w="2650" w:type="dxa"/>
            <w:tcBorders>
              <w:top w:val="nil"/>
              <w:left w:val="nil"/>
              <w:bottom w:val="single" w:color="auto" w:sz="4" w:space="0"/>
              <w:right w:val="single" w:color="auto" w:sz="4" w:space="0"/>
            </w:tcBorders>
            <w:shd w:val="clear" w:color="auto" w:fill="auto"/>
            <w:vAlign w:val="center"/>
          </w:tcPr>
          <w:p w14:paraId="62F2FC85">
            <w:pPr>
              <w:widowControl/>
              <w:jc w:val="center"/>
              <w:rPr>
                <w:rFonts w:ascii="宋体" w:hAnsi="宋体" w:cs="宋体"/>
                <w:color w:val="000000"/>
                <w:kern w:val="0"/>
                <w:sz w:val="20"/>
              </w:rPr>
            </w:pPr>
            <w:r>
              <w:rPr>
                <w:rFonts w:hint="eastAsia" w:ascii="宋体" w:hAnsi="宋体" w:cs="宋体"/>
                <w:color w:val="000000"/>
                <w:kern w:val="0"/>
                <w:sz w:val="20"/>
              </w:rPr>
              <w:t>设备基础</w:t>
            </w:r>
          </w:p>
        </w:tc>
        <w:tc>
          <w:tcPr>
            <w:tcW w:w="3969" w:type="dxa"/>
            <w:tcBorders>
              <w:top w:val="nil"/>
              <w:left w:val="nil"/>
              <w:bottom w:val="single" w:color="auto" w:sz="4" w:space="0"/>
              <w:right w:val="single" w:color="auto" w:sz="4" w:space="0"/>
            </w:tcBorders>
            <w:shd w:val="clear" w:color="auto" w:fill="auto"/>
            <w:vAlign w:val="center"/>
          </w:tcPr>
          <w:p w14:paraId="416283A8">
            <w:pPr>
              <w:widowControl/>
              <w:jc w:val="center"/>
              <w:rPr>
                <w:rFonts w:ascii="宋体" w:hAnsi="宋体" w:cs="宋体"/>
                <w:color w:val="000000"/>
                <w:kern w:val="0"/>
                <w:sz w:val="20"/>
              </w:rPr>
            </w:pPr>
            <w:r>
              <w:rPr>
                <w:rFonts w:hint="eastAsia" w:ascii="宋体" w:hAnsi="宋体" w:cs="宋体"/>
                <w:color w:val="000000"/>
                <w:kern w:val="0"/>
                <w:sz w:val="20"/>
              </w:rPr>
              <w:t>1、表干炉升降台防水地坑；2、线槽、液压管路地槽等；3、表干炉后升降台移位安装及原升降台地坑盖板</w:t>
            </w:r>
          </w:p>
        </w:tc>
        <w:tc>
          <w:tcPr>
            <w:tcW w:w="709" w:type="dxa"/>
            <w:tcBorders>
              <w:top w:val="nil"/>
              <w:left w:val="nil"/>
              <w:bottom w:val="single" w:color="auto" w:sz="4" w:space="0"/>
              <w:right w:val="single" w:color="auto" w:sz="4" w:space="0"/>
            </w:tcBorders>
            <w:shd w:val="clear" w:color="auto" w:fill="auto"/>
            <w:noWrap/>
            <w:vAlign w:val="center"/>
          </w:tcPr>
          <w:p w14:paraId="7B00D46E">
            <w:pPr>
              <w:widowControl/>
              <w:jc w:val="center"/>
              <w:rPr>
                <w:rFonts w:ascii="宋体" w:hAnsi="宋体" w:cs="宋体"/>
                <w:color w:val="000000"/>
                <w:kern w:val="0"/>
                <w:sz w:val="20"/>
              </w:rPr>
            </w:pPr>
            <w:r>
              <w:rPr>
                <w:rFonts w:hint="eastAsia" w:ascii="宋体" w:hAnsi="宋体" w:cs="宋体"/>
                <w:color w:val="000000"/>
                <w:kern w:val="0"/>
                <w:sz w:val="20"/>
              </w:rPr>
              <w:t>套</w:t>
            </w:r>
          </w:p>
        </w:tc>
        <w:tc>
          <w:tcPr>
            <w:tcW w:w="425" w:type="dxa"/>
            <w:tcBorders>
              <w:top w:val="nil"/>
              <w:left w:val="nil"/>
              <w:bottom w:val="single" w:color="auto" w:sz="4" w:space="0"/>
              <w:right w:val="single" w:color="auto" w:sz="4" w:space="0"/>
            </w:tcBorders>
            <w:shd w:val="clear" w:color="auto" w:fill="auto"/>
            <w:noWrap/>
            <w:vAlign w:val="center"/>
          </w:tcPr>
          <w:p w14:paraId="2688E33B">
            <w:pPr>
              <w:widowControl/>
              <w:jc w:val="center"/>
              <w:rPr>
                <w:rFonts w:ascii="宋体" w:hAnsi="宋体" w:cs="宋体"/>
                <w:color w:val="000000"/>
                <w:kern w:val="0"/>
                <w:sz w:val="20"/>
              </w:rPr>
            </w:pPr>
            <w:r>
              <w:rPr>
                <w:rFonts w:ascii="宋体" w:hAnsi="宋体" w:cs="宋体"/>
                <w:color w:val="000000"/>
                <w:kern w:val="0"/>
                <w:sz w:val="20"/>
              </w:rPr>
              <w:t>1</w:t>
            </w:r>
          </w:p>
        </w:tc>
        <w:tc>
          <w:tcPr>
            <w:tcW w:w="1631" w:type="dxa"/>
            <w:tcBorders>
              <w:top w:val="nil"/>
              <w:left w:val="nil"/>
              <w:bottom w:val="single" w:color="auto" w:sz="4" w:space="0"/>
              <w:right w:val="single" w:color="auto" w:sz="4" w:space="0"/>
            </w:tcBorders>
            <w:shd w:val="clear" w:color="auto" w:fill="auto"/>
            <w:noWrap/>
            <w:vAlign w:val="center"/>
          </w:tcPr>
          <w:p w14:paraId="478DAE05">
            <w:pPr>
              <w:widowControl/>
              <w:rPr>
                <w:rFonts w:ascii="宋体" w:hAnsi="宋体" w:cs="宋体"/>
                <w:color w:val="000000"/>
                <w:kern w:val="0"/>
                <w:sz w:val="20"/>
              </w:rPr>
            </w:pPr>
            <w:r>
              <w:rPr>
                <w:rFonts w:hint="eastAsia" w:ascii="宋体" w:hAnsi="宋体" w:cs="宋体"/>
                <w:color w:val="000000"/>
                <w:kern w:val="0"/>
                <w:sz w:val="20"/>
              </w:rPr>
              <w:t>　</w:t>
            </w:r>
          </w:p>
        </w:tc>
      </w:tr>
      <w:tr w14:paraId="45CD1941">
        <w:tblPrEx>
          <w:tblCellMar>
            <w:top w:w="0" w:type="dxa"/>
            <w:left w:w="108" w:type="dxa"/>
            <w:bottom w:w="0" w:type="dxa"/>
            <w:right w:w="108" w:type="dxa"/>
          </w:tblCellMar>
        </w:tblPrEx>
        <w:trPr>
          <w:trHeight w:val="373" w:hRule="atLeast"/>
        </w:trPr>
        <w:tc>
          <w:tcPr>
            <w:tcW w:w="894" w:type="dxa"/>
            <w:tcBorders>
              <w:top w:val="nil"/>
              <w:left w:val="single" w:color="auto" w:sz="4" w:space="0"/>
              <w:bottom w:val="single" w:color="auto" w:sz="4" w:space="0"/>
              <w:right w:val="single" w:color="auto" w:sz="4" w:space="0"/>
            </w:tcBorders>
            <w:shd w:val="clear" w:color="FFFFFF" w:fill="FFFFFF"/>
            <w:vAlign w:val="center"/>
          </w:tcPr>
          <w:p w14:paraId="496F7D16">
            <w:pPr>
              <w:widowControl/>
              <w:jc w:val="center"/>
              <w:rPr>
                <w:rFonts w:ascii="宋体" w:hAnsi="宋体" w:cs="宋体"/>
                <w:kern w:val="0"/>
                <w:sz w:val="20"/>
              </w:rPr>
            </w:pPr>
            <w:r>
              <w:rPr>
                <w:rFonts w:ascii="宋体" w:hAnsi="宋体" w:cs="宋体"/>
                <w:kern w:val="0"/>
                <w:sz w:val="20"/>
              </w:rPr>
              <w:t>17</w:t>
            </w:r>
          </w:p>
        </w:tc>
        <w:tc>
          <w:tcPr>
            <w:tcW w:w="2650" w:type="dxa"/>
            <w:tcBorders>
              <w:top w:val="nil"/>
              <w:left w:val="nil"/>
              <w:bottom w:val="single" w:color="auto" w:sz="4" w:space="0"/>
              <w:right w:val="single" w:color="auto" w:sz="4" w:space="0"/>
            </w:tcBorders>
            <w:shd w:val="clear" w:color="auto" w:fill="auto"/>
            <w:vAlign w:val="center"/>
          </w:tcPr>
          <w:p w14:paraId="6E0743C0">
            <w:pPr>
              <w:widowControl/>
              <w:jc w:val="center"/>
              <w:rPr>
                <w:rFonts w:ascii="宋体" w:hAnsi="宋体" w:cs="宋体"/>
                <w:color w:val="000000"/>
                <w:kern w:val="0"/>
                <w:sz w:val="20"/>
              </w:rPr>
            </w:pPr>
            <w:r>
              <w:rPr>
                <w:rFonts w:hint="eastAsia" w:ascii="宋体" w:hAnsi="宋体" w:cs="宋体"/>
                <w:color w:val="000000"/>
                <w:kern w:val="0"/>
                <w:sz w:val="20"/>
              </w:rPr>
              <w:t>供电电缆及敷设</w:t>
            </w:r>
          </w:p>
        </w:tc>
        <w:tc>
          <w:tcPr>
            <w:tcW w:w="3969" w:type="dxa"/>
            <w:tcBorders>
              <w:top w:val="nil"/>
              <w:left w:val="nil"/>
              <w:bottom w:val="single" w:color="auto" w:sz="4" w:space="0"/>
              <w:right w:val="single" w:color="auto" w:sz="4" w:space="0"/>
            </w:tcBorders>
            <w:shd w:val="clear" w:color="auto" w:fill="auto"/>
            <w:vAlign w:val="center"/>
          </w:tcPr>
          <w:p w14:paraId="2A1C6453">
            <w:pPr>
              <w:widowControl/>
              <w:jc w:val="center"/>
              <w:rPr>
                <w:rFonts w:ascii="宋体" w:hAnsi="宋体" w:cs="宋体"/>
                <w:color w:val="000000"/>
                <w:kern w:val="0"/>
                <w:sz w:val="20"/>
              </w:rPr>
            </w:pPr>
            <w:r>
              <w:rPr>
                <w:rFonts w:hint="eastAsia" w:ascii="宋体" w:hAnsi="宋体" w:cs="宋体"/>
                <w:color w:val="000000"/>
                <w:kern w:val="0"/>
                <w:sz w:val="20"/>
              </w:rPr>
              <w:t>表干炉电柜到新增设备电控柜之间的供电电缆及敷设</w:t>
            </w:r>
          </w:p>
        </w:tc>
        <w:tc>
          <w:tcPr>
            <w:tcW w:w="709" w:type="dxa"/>
            <w:tcBorders>
              <w:top w:val="nil"/>
              <w:left w:val="nil"/>
              <w:bottom w:val="single" w:color="auto" w:sz="4" w:space="0"/>
              <w:right w:val="single" w:color="auto" w:sz="4" w:space="0"/>
            </w:tcBorders>
            <w:shd w:val="clear" w:color="auto" w:fill="auto"/>
            <w:noWrap/>
            <w:vAlign w:val="center"/>
          </w:tcPr>
          <w:p w14:paraId="0E82F618">
            <w:pPr>
              <w:widowControl/>
              <w:jc w:val="center"/>
              <w:rPr>
                <w:rFonts w:ascii="宋体" w:hAnsi="宋体" w:cs="宋体"/>
                <w:color w:val="000000"/>
                <w:kern w:val="0"/>
                <w:sz w:val="20"/>
              </w:rPr>
            </w:pPr>
            <w:r>
              <w:rPr>
                <w:rFonts w:hint="eastAsia" w:ascii="宋体" w:hAnsi="宋体" w:cs="宋体"/>
                <w:color w:val="000000"/>
                <w:kern w:val="0"/>
                <w:sz w:val="20"/>
              </w:rPr>
              <w:t>套</w:t>
            </w:r>
          </w:p>
        </w:tc>
        <w:tc>
          <w:tcPr>
            <w:tcW w:w="425" w:type="dxa"/>
            <w:tcBorders>
              <w:top w:val="nil"/>
              <w:left w:val="nil"/>
              <w:bottom w:val="single" w:color="auto" w:sz="4" w:space="0"/>
              <w:right w:val="single" w:color="auto" w:sz="4" w:space="0"/>
            </w:tcBorders>
            <w:shd w:val="clear" w:color="auto" w:fill="auto"/>
            <w:noWrap/>
            <w:vAlign w:val="center"/>
          </w:tcPr>
          <w:p w14:paraId="0DBBB0C9">
            <w:pPr>
              <w:widowControl/>
              <w:jc w:val="center"/>
              <w:rPr>
                <w:rFonts w:ascii="宋体" w:hAnsi="宋体" w:cs="宋体"/>
                <w:color w:val="000000"/>
                <w:kern w:val="0"/>
                <w:sz w:val="20"/>
              </w:rPr>
            </w:pPr>
            <w:r>
              <w:rPr>
                <w:rFonts w:hint="eastAsia" w:ascii="宋体" w:hAnsi="宋体" w:cs="宋体"/>
                <w:color w:val="000000"/>
                <w:kern w:val="0"/>
                <w:sz w:val="20"/>
              </w:rPr>
              <w:t>1</w:t>
            </w:r>
          </w:p>
        </w:tc>
        <w:tc>
          <w:tcPr>
            <w:tcW w:w="1631" w:type="dxa"/>
            <w:tcBorders>
              <w:top w:val="nil"/>
              <w:left w:val="nil"/>
              <w:bottom w:val="single" w:color="auto" w:sz="4" w:space="0"/>
              <w:right w:val="single" w:color="auto" w:sz="4" w:space="0"/>
            </w:tcBorders>
            <w:shd w:val="clear" w:color="auto" w:fill="auto"/>
            <w:noWrap/>
            <w:vAlign w:val="center"/>
          </w:tcPr>
          <w:p w14:paraId="5CB6BE2A">
            <w:pPr>
              <w:widowControl/>
              <w:rPr>
                <w:rFonts w:ascii="宋体" w:hAnsi="宋体" w:cs="宋体"/>
                <w:color w:val="000000"/>
                <w:kern w:val="0"/>
                <w:sz w:val="20"/>
              </w:rPr>
            </w:pPr>
            <w:r>
              <w:rPr>
                <w:rFonts w:hint="eastAsia" w:ascii="宋体" w:hAnsi="宋体" w:cs="宋体"/>
                <w:color w:val="000000"/>
                <w:kern w:val="0"/>
                <w:sz w:val="20"/>
              </w:rPr>
              <w:t>　</w:t>
            </w:r>
          </w:p>
        </w:tc>
      </w:tr>
      <w:tr w14:paraId="24DF0499">
        <w:tblPrEx>
          <w:tblCellMar>
            <w:top w:w="0" w:type="dxa"/>
            <w:left w:w="108" w:type="dxa"/>
            <w:bottom w:w="0" w:type="dxa"/>
            <w:right w:w="108" w:type="dxa"/>
          </w:tblCellMar>
        </w:tblPrEx>
        <w:trPr>
          <w:trHeight w:val="284" w:hRule="atLeast"/>
        </w:trPr>
        <w:tc>
          <w:tcPr>
            <w:tcW w:w="894" w:type="dxa"/>
            <w:tcBorders>
              <w:top w:val="nil"/>
              <w:left w:val="single" w:color="auto" w:sz="4" w:space="0"/>
              <w:bottom w:val="single" w:color="auto" w:sz="4" w:space="0"/>
              <w:right w:val="single" w:color="auto" w:sz="4" w:space="0"/>
            </w:tcBorders>
            <w:shd w:val="clear" w:color="FFFFFF" w:fill="FFFFFF"/>
            <w:vAlign w:val="center"/>
          </w:tcPr>
          <w:p w14:paraId="2E6FA1B8">
            <w:pPr>
              <w:widowControl/>
              <w:jc w:val="center"/>
              <w:rPr>
                <w:rFonts w:ascii="宋体" w:hAnsi="宋体" w:cs="宋体"/>
                <w:b/>
                <w:bCs/>
                <w:kern w:val="0"/>
                <w:sz w:val="20"/>
              </w:rPr>
            </w:pPr>
            <w:r>
              <w:rPr>
                <w:rFonts w:ascii="宋体" w:hAnsi="宋体" w:cs="宋体"/>
                <w:b/>
                <w:bCs/>
                <w:kern w:val="0"/>
                <w:sz w:val="20"/>
              </w:rPr>
              <w:t>18</w:t>
            </w:r>
          </w:p>
        </w:tc>
        <w:tc>
          <w:tcPr>
            <w:tcW w:w="2650" w:type="dxa"/>
            <w:tcBorders>
              <w:top w:val="nil"/>
              <w:left w:val="nil"/>
              <w:bottom w:val="single" w:color="auto" w:sz="4" w:space="0"/>
              <w:right w:val="single" w:color="auto" w:sz="4" w:space="0"/>
            </w:tcBorders>
            <w:shd w:val="clear" w:color="auto" w:fill="auto"/>
            <w:vAlign w:val="center"/>
          </w:tcPr>
          <w:p w14:paraId="09755B4D">
            <w:pPr>
              <w:widowControl/>
              <w:jc w:val="center"/>
              <w:rPr>
                <w:rFonts w:ascii="宋体" w:hAnsi="宋体" w:cs="宋体"/>
                <w:color w:val="000000"/>
                <w:kern w:val="0"/>
                <w:sz w:val="20"/>
              </w:rPr>
            </w:pPr>
            <w:r>
              <w:rPr>
                <w:rFonts w:hint="eastAsia" w:ascii="宋体" w:hAnsi="宋体" w:cs="宋体"/>
                <w:color w:val="000000"/>
                <w:kern w:val="0"/>
                <w:sz w:val="20"/>
              </w:rPr>
              <w:t>包装运输</w:t>
            </w:r>
          </w:p>
        </w:tc>
        <w:tc>
          <w:tcPr>
            <w:tcW w:w="3969" w:type="dxa"/>
            <w:tcBorders>
              <w:top w:val="nil"/>
              <w:left w:val="nil"/>
              <w:bottom w:val="single" w:color="auto" w:sz="4" w:space="0"/>
              <w:right w:val="single" w:color="auto" w:sz="4" w:space="0"/>
            </w:tcBorders>
            <w:shd w:val="clear" w:color="auto" w:fill="auto"/>
            <w:vAlign w:val="center"/>
          </w:tcPr>
          <w:p w14:paraId="10DA4596">
            <w:pPr>
              <w:widowControl/>
              <w:jc w:val="center"/>
              <w:rPr>
                <w:rFonts w:ascii="宋体" w:hAnsi="宋体" w:cs="宋体"/>
                <w:color w:val="000000"/>
                <w:kern w:val="0"/>
                <w:sz w:val="20"/>
              </w:rPr>
            </w:pPr>
            <w:r>
              <w:rPr>
                <w:rFonts w:hint="eastAsia" w:ascii="宋体" w:hAnsi="宋体" w:cs="宋体"/>
                <w:color w:val="000000"/>
                <w:kern w:val="0"/>
                <w:sz w:val="20"/>
              </w:rPr>
              <w:t>设备包装并发送到萧山的运费</w:t>
            </w:r>
          </w:p>
        </w:tc>
        <w:tc>
          <w:tcPr>
            <w:tcW w:w="709" w:type="dxa"/>
            <w:tcBorders>
              <w:top w:val="nil"/>
              <w:left w:val="nil"/>
              <w:bottom w:val="single" w:color="auto" w:sz="4" w:space="0"/>
              <w:right w:val="single" w:color="auto" w:sz="4" w:space="0"/>
            </w:tcBorders>
            <w:shd w:val="clear" w:color="auto" w:fill="auto"/>
            <w:noWrap/>
            <w:vAlign w:val="center"/>
          </w:tcPr>
          <w:p w14:paraId="1F17FE98">
            <w:pPr>
              <w:widowControl/>
              <w:jc w:val="center"/>
              <w:rPr>
                <w:rFonts w:ascii="宋体" w:hAnsi="宋体" w:cs="宋体"/>
                <w:color w:val="000000"/>
                <w:kern w:val="0"/>
                <w:sz w:val="20"/>
              </w:rPr>
            </w:pPr>
            <w:r>
              <w:rPr>
                <w:rFonts w:hint="eastAsia" w:ascii="宋体" w:hAnsi="宋体" w:cs="宋体"/>
                <w:color w:val="000000"/>
                <w:kern w:val="0"/>
                <w:sz w:val="20"/>
              </w:rPr>
              <w:t>项</w:t>
            </w:r>
          </w:p>
        </w:tc>
        <w:tc>
          <w:tcPr>
            <w:tcW w:w="425" w:type="dxa"/>
            <w:tcBorders>
              <w:top w:val="nil"/>
              <w:left w:val="nil"/>
              <w:bottom w:val="single" w:color="auto" w:sz="4" w:space="0"/>
              <w:right w:val="single" w:color="auto" w:sz="4" w:space="0"/>
            </w:tcBorders>
            <w:shd w:val="clear" w:color="auto" w:fill="auto"/>
            <w:noWrap/>
            <w:vAlign w:val="center"/>
          </w:tcPr>
          <w:p w14:paraId="3FCD2DCB">
            <w:pPr>
              <w:widowControl/>
              <w:jc w:val="center"/>
              <w:rPr>
                <w:rFonts w:ascii="宋体" w:hAnsi="宋体" w:cs="宋体"/>
                <w:color w:val="000000"/>
                <w:kern w:val="0"/>
                <w:sz w:val="20"/>
              </w:rPr>
            </w:pPr>
            <w:r>
              <w:rPr>
                <w:rFonts w:hint="eastAsia" w:ascii="宋体" w:hAnsi="宋体" w:cs="宋体"/>
                <w:color w:val="000000"/>
                <w:kern w:val="0"/>
                <w:sz w:val="20"/>
              </w:rPr>
              <w:t>1</w:t>
            </w:r>
          </w:p>
        </w:tc>
        <w:tc>
          <w:tcPr>
            <w:tcW w:w="1631" w:type="dxa"/>
            <w:tcBorders>
              <w:top w:val="nil"/>
              <w:left w:val="nil"/>
              <w:bottom w:val="single" w:color="auto" w:sz="4" w:space="0"/>
              <w:right w:val="single" w:color="auto" w:sz="4" w:space="0"/>
            </w:tcBorders>
            <w:shd w:val="clear" w:color="auto" w:fill="auto"/>
            <w:noWrap/>
            <w:vAlign w:val="center"/>
          </w:tcPr>
          <w:p w14:paraId="005AC002">
            <w:pPr>
              <w:widowControl/>
              <w:rPr>
                <w:rFonts w:ascii="宋体" w:hAnsi="宋体" w:cs="宋体"/>
                <w:color w:val="000000"/>
                <w:kern w:val="0"/>
                <w:sz w:val="20"/>
              </w:rPr>
            </w:pPr>
          </w:p>
        </w:tc>
      </w:tr>
      <w:tr w14:paraId="3D5936D4">
        <w:tblPrEx>
          <w:tblCellMar>
            <w:top w:w="0" w:type="dxa"/>
            <w:left w:w="108" w:type="dxa"/>
            <w:bottom w:w="0" w:type="dxa"/>
            <w:right w:w="108" w:type="dxa"/>
          </w:tblCellMar>
        </w:tblPrEx>
        <w:trPr>
          <w:trHeight w:val="499" w:hRule="atLeast"/>
        </w:trPr>
        <w:tc>
          <w:tcPr>
            <w:tcW w:w="894" w:type="dxa"/>
            <w:tcBorders>
              <w:top w:val="nil"/>
              <w:left w:val="single" w:color="auto" w:sz="4" w:space="0"/>
              <w:bottom w:val="single" w:color="auto" w:sz="4" w:space="0"/>
              <w:right w:val="single" w:color="auto" w:sz="4" w:space="0"/>
            </w:tcBorders>
            <w:shd w:val="clear" w:color="FFFFFF" w:fill="FFFFFF"/>
            <w:vAlign w:val="center"/>
          </w:tcPr>
          <w:p w14:paraId="2075692D">
            <w:pPr>
              <w:widowControl/>
              <w:jc w:val="center"/>
              <w:rPr>
                <w:rFonts w:ascii="宋体" w:hAnsi="宋体" w:cs="宋体"/>
                <w:b/>
                <w:bCs/>
                <w:kern w:val="0"/>
                <w:sz w:val="20"/>
              </w:rPr>
            </w:pPr>
            <w:r>
              <w:rPr>
                <w:rFonts w:ascii="宋体" w:hAnsi="宋体" w:cs="宋体"/>
                <w:b/>
                <w:bCs/>
                <w:kern w:val="0"/>
                <w:sz w:val="20"/>
              </w:rPr>
              <w:t>19</w:t>
            </w:r>
          </w:p>
        </w:tc>
        <w:tc>
          <w:tcPr>
            <w:tcW w:w="2650" w:type="dxa"/>
            <w:tcBorders>
              <w:top w:val="nil"/>
              <w:left w:val="nil"/>
              <w:bottom w:val="single" w:color="auto" w:sz="4" w:space="0"/>
              <w:right w:val="single" w:color="auto" w:sz="4" w:space="0"/>
            </w:tcBorders>
            <w:shd w:val="clear" w:color="auto" w:fill="auto"/>
            <w:vAlign w:val="center"/>
          </w:tcPr>
          <w:p w14:paraId="02C20765">
            <w:pPr>
              <w:widowControl/>
              <w:jc w:val="center"/>
              <w:rPr>
                <w:rFonts w:ascii="宋体" w:hAnsi="宋体" w:cs="宋体"/>
                <w:color w:val="000000"/>
                <w:kern w:val="0"/>
                <w:sz w:val="20"/>
              </w:rPr>
            </w:pPr>
            <w:r>
              <w:rPr>
                <w:rFonts w:hint="eastAsia" w:ascii="宋体" w:hAnsi="宋体" w:cs="宋体"/>
                <w:color w:val="000000"/>
                <w:kern w:val="0"/>
                <w:sz w:val="20"/>
              </w:rPr>
              <w:t>安装调试</w:t>
            </w:r>
          </w:p>
        </w:tc>
        <w:tc>
          <w:tcPr>
            <w:tcW w:w="3969" w:type="dxa"/>
            <w:tcBorders>
              <w:top w:val="nil"/>
              <w:left w:val="nil"/>
              <w:bottom w:val="single" w:color="auto" w:sz="4" w:space="0"/>
              <w:right w:val="single" w:color="auto" w:sz="4" w:space="0"/>
            </w:tcBorders>
            <w:shd w:val="clear" w:color="auto" w:fill="auto"/>
            <w:vAlign w:val="center"/>
          </w:tcPr>
          <w:p w14:paraId="7AF13CBD">
            <w:pPr>
              <w:widowControl/>
              <w:jc w:val="center"/>
              <w:rPr>
                <w:rFonts w:ascii="宋体" w:hAnsi="宋体" w:cs="宋体"/>
                <w:color w:val="000000"/>
                <w:kern w:val="0"/>
                <w:sz w:val="20"/>
              </w:rPr>
            </w:pPr>
            <w:r>
              <w:rPr>
                <w:rFonts w:hint="eastAsia" w:ascii="宋体" w:hAnsi="宋体" w:cs="宋体"/>
                <w:color w:val="000000"/>
                <w:kern w:val="0"/>
                <w:sz w:val="20"/>
              </w:rPr>
              <w:t>包括：新增设备安装调试、试生产、培训及终验收后短期陪产等。</w:t>
            </w:r>
          </w:p>
        </w:tc>
        <w:tc>
          <w:tcPr>
            <w:tcW w:w="709" w:type="dxa"/>
            <w:tcBorders>
              <w:top w:val="nil"/>
              <w:left w:val="nil"/>
              <w:bottom w:val="single" w:color="auto" w:sz="4" w:space="0"/>
              <w:right w:val="single" w:color="auto" w:sz="4" w:space="0"/>
            </w:tcBorders>
            <w:shd w:val="clear" w:color="auto" w:fill="auto"/>
            <w:noWrap/>
            <w:vAlign w:val="center"/>
          </w:tcPr>
          <w:p w14:paraId="634001F7">
            <w:pPr>
              <w:widowControl/>
              <w:jc w:val="center"/>
              <w:rPr>
                <w:rFonts w:ascii="宋体" w:hAnsi="宋体" w:cs="宋体"/>
                <w:color w:val="000000"/>
                <w:kern w:val="0"/>
                <w:sz w:val="20"/>
              </w:rPr>
            </w:pPr>
            <w:r>
              <w:rPr>
                <w:rFonts w:hint="eastAsia" w:ascii="宋体" w:hAnsi="宋体" w:cs="宋体"/>
                <w:color w:val="000000"/>
                <w:kern w:val="0"/>
                <w:sz w:val="20"/>
              </w:rPr>
              <w:t>项</w:t>
            </w:r>
          </w:p>
        </w:tc>
        <w:tc>
          <w:tcPr>
            <w:tcW w:w="425" w:type="dxa"/>
            <w:tcBorders>
              <w:top w:val="nil"/>
              <w:left w:val="nil"/>
              <w:bottom w:val="single" w:color="auto" w:sz="4" w:space="0"/>
              <w:right w:val="single" w:color="auto" w:sz="4" w:space="0"/>
            </w:tcBorders>
            <w:shd w:val="clear" w:color="auto" w:fill="auto"/>
            <w:noWrap/>
            <w:vAlign w:val="center"/>
          </w:tcPr>
          <w:p w14:paraId="01F7CEC3">
            <w:pPr>
              <w:widowControl/>
              <w:jc w:val="center"/>
              <w:rPr>
                <w:rFonts w:ascii="宋体" w:hAnsi="宋体" w:cs="宋体"/>
                <w:color w:val="000000"/>
                <w:kern w:val="0"/>
                <w:sz w:val="20"/>
              </w:rPr>
            </w:pPr>
            <w:r>
              <w:rPr>
                <w:rFonts w:hint="eastAsia" w:ascii="宋体" w:hAnsi="宋体" w:cs="宋体"/>
                <w:color w:val="000000"/>
                <w:kern w:val="0"/>
                <w:sz w:val="20"/>
              </w:rPr>
              <w:t>1</w:t>
            </w:r>
          </w:p>
        </w:tc>
        <w:tc>
          <w:tcPr>
            <w:tcW w:w="1631" w:type="dxa"/>
            <w:tcBorders>
              <w:top w:val="nil"/>
              <w:left w:val="nil"/>
              <w:bottom w:val="single" w:color="auto" w:sz="4" w:space="0"/>
              <w:right w:val="single" w:color="auto" w:sz="4" w:space="0"/>
            </w:tcBorders>
            <w:shd w:val="clear" w:color="auto" w:fill="auto"/>
            <w:noWrap/>
            <w:vAlign w:val="center"/>
          </w:tcPr>
          <w:p w14:paraId="0E8CDB91">
            <w:pPr>
              <w:widowControl/>
              <w:rPr>
                <w:rFonts w:ascii="宋体" w:hAnsi="宋体" w:cs="宋体"/>
                <w:color w:val="000000"/>
                <w:kern w:val="0"/>
                <w:sz w:val="20"/>
              </w:rPr>
            </w:pPr>
            <w:r>
              <w:rPr>
                <w:rFonts w:hint="eastAsia" w:ascii="宋体" w:hAnsi="宋体" w:cs="宋体"/>
                <w:color w:val="000000"/>
                <w:kern w:val="0"/>
                <w:sz w:val="20"/>
              </w:rPr>
              <w:t>不含PLC和机器人的软件编程及现场程序调试。</w:t>
            </w:r>
          </w:p>
        </w:tc>
      </w:tr>
      <w:tr w14:paraId="700652D4">
        <w:tblPrEx>
          <w:tblCellMar>
            <w:top w:w="0" w:type="dxa"/>
            <w:left w:w="108" w:type="dxa"/>
            <w:bottom w:w="0" w:type="dxa"/>
            <w:right w:w="108" w:type="dxa"/>
          </w:tblCellMar>
        </w:tblPrEx>
        <w:trPr>
          <w:trHeight w:val="311" w:hRule="atLeast"/>
        </w:trPr>
        <w:tc>
          <w:tcPr>
            <w:tcW w:w="894" w:type="dxa"/>
            <w:tcBorders>
              <w:top w:val="nil"/>
              <w:left w:val="single" w:color="auto" w:sz="4" w:space="0"/>
              <w:bottom w:val="single" w:color="auto" w:sz="4" w:space="0"/>
              <w:right w:val="single" w:color="auto" w:sz="4" w:space="0"/>
            </w:tcBorders>
            <w:shd w:val="clear" w:color="FFFFFF" w:fill="FFFFFF"/>
            <w:vAlign w:val="center"/>
          </w:tcPr>
          <w:p w14:paraId="463DE2E1">
            <w:pPr>
              <w:widowControl/>
              <w:jc w:val="center"/>
              <w:rPr>
                <w:rFonts w:ascii="宋体" w:hAnsi="宋体" w:cs="宋体"/>
                <w:b/>
                <w:bCs/>
                <w:kern w:val="0"/>
                <w:sz w:val="20"/>
              </w:rPr>
            </w:pPr>
            <w:r>
              <w:rPr>
                <w:rFonts w:ascii="宋体" w:hAnsi="宋体" w:cs="宋体"/>
                <w:b/>
                <w:bCs/>
                <w:kern w:val="0"/>
                <w:sz w:val="20"/>
              </w:rPr>
              <w:t>20</w:t>
            </w:r>
          </w:p>
        </w:tc>
        <w:tc>
          <w:tcPr>
            <w:tcW w:w="2650" w:type="dxa"/>
            <w:tcBorders>
              <w:top w:val="nil"/>
              <w:left w:val="nil"/>
              <w:bottom w:val="single" w:color="auto" w:sz="4" w:space="0"/>
              <w:right w:val="single" w:color="auto" w:sz="4" w:space="0"/>
            </w:tcBorders>
            <w:shd w:val="clear" w:color="auto" w:fill="auto"/>
            <w:vAlign w:val="center"/>
          </w:tcPr>
          <w:p w14:paraId="0817C00D">
            <w:pPr>
              <w:widowControl/>
              <w:jc w:val="center"/>
              <w:rPr>
                <w:rFonts w:ascii="宋体" w:hAnsi="宋体" w:cs="宋体"/>
                <w:color w:val="000000"/>
                <w:kern w:val="0"/>
                <w:sz w:val="20"/>
              </w:rPr>
            </w:pPr>
            <w:r>
              <w:rPr>
                <w:rFonts w:ascii="宋体" w:hAnsi="宋体" w:cs="宋体"/>
                <w:color w:val="000000"/>
                <w:kern w:val="0"/>
                <w:sz w:val="20"/>
              </w:rPr>
              <w:t>随机备件</w:t>
            </w:r>
          </w:p>
        </w:tc>
        <w:tc>
          <w:tcPr>
            <w:tcW w:w="3969" w:type="dxa"/>
            <w:tcBorders>
              <w:top w:val="nil"/>
              <w:left w:val="nil"/>
              <w:bottom w:val="single" w:color="auto" w:sz="4" w:space="0"/>
              <w:right w:val="single" w:color="auto" w:sz="4" w:space="0"/>
            </w:tcBorders>
            <w:shd w:val="clear" w:color="auto" w:fill="auto"/>
            <w:vAlign w:val="center"/>
          </w:tcPr>
          <w:p w14:paraId="55559D33">
            <w:pPr>
              <w:widowControl/>
              <w:jc w:val="center"/>
              <w:rPr>
                <w:rFonts w:ascii="宋体" w:hAnsi="宋体" w:cs="宋体"/>
                <w:color w:val="FF0000"/>
                <w:kern w:val="0"/>
                <w:sz w:val="20"/>
              </w:rPr>
            </w:pPr>
          </w:p>
        </w:tc>
        <w:tc>
          <w:tcPr>
            <w:tcW w:w="709" w:type="dxa"/>
            <w:tcBorders>
              <w:top w:val="nil"/>
              <w:left w:val="nil"/>
              <w:bottom w:val="single" w:color="auto" w:sz="4" w:space="0"/>
              <w:right w:val="single" w:color="auto" w:sz="4" w:space="0"/>
            </w:tcBorders>
            <w:shd w:val="clear" w:color="auto" w:fill="auto"/>
            <w:noWrap/>
            <w:vAlign w:val="center"/>
          </w:tcPr>
          <w:p w14:paraId="69A43B65">
            <w:pPr>
              <w:widowControl/>
              <w:jc w:val="center"/>
              <w:rPr>
                <w:rFonts w:ascii="宋体" w:hAnsi="宋体" w:cs="宋体"/>
                <w:color w:val="000000"/>
                <w:kern w:val="0"/>
                <w:sz w:val="20"/>
              </w:rPr>
            </w:pPr>
            <w:r>
              <w:rPr>
                <w:rFonts w:hint="eastAsia" w:ascii="宋体" w:hAnsi="宋体" w:cs="宋体"/>
                <w:color w:val="000000"/>
                <w:kern w:val="0"/>
                <w:sz w:val="20"/>
              </w:rPr>
              <w:t>套</w:t>
            </w:r>
          </w:p>
        </w:tc>
        <w:tc>
          <w:tcPr>
            <w:tcW w:w="425" w:type="dxa"/>
            <w:tcBorders>
              <w:top w:val="nil"/>
              <w:left w:val="nil"/>
              <w:bottom w:val="single" w:color="auto" w:sz="4" w:space="0"/>
              <w:right w:val="single" w:color="auto" w:sz="4" w:space="0"/>
            </w:tcBorders>
            <w:shd w:val="clear" w:color="auto" w:fill="auto"/>
            <w:noWrap/>
            <w:vAlign w:val="center"/>
          </w:tcPr>
          <w:p w14:paraId="5F6AEC2D">
            <w:pPr>
              <w:widowControl/>
              <w:jc w:val="center"/>
              <w:rPr>
                <w:rFonts w:ascii="宋体" w:hAnsi="宋体" w:cs="宋体"/>
                <w:color w:val="000000"/>
                <w:kern w:val="0"/>
                <w:sz w:val="20"/>
              </w:rPr>
            </w:pPr>
            <w:r>
              <w:rPr>
                <w:rFonts w:hint="eastAsia" w:ascii="宋体" w:hAnsi="宋体" w:cs="宋体"/>
                <w:color w:val="000000"/>
                <w:kern w:val="0"/>
                <w:sz w:val="20"/>
              </w:rPr>
              <w:t>1</w:t>
            </w:r>
          </w:p>
        </w:tc>
        <w:tc>
          <w:tcPr>
            <w:tcW w:w="1631" w:type="dxa"/>
            <w:tcBorders>
              <w:top w:val="nil"/>
              <w:left w:val="nil"/>
              <w:bottom w:val="single" w:color="auto" w:sz="4" w:space="0"/>
              <w:right w:val="single" w:color="auto" w:sz="4" w:space="0"/>
            </w:tcBorders>
            <w:shd w:val="clear" w:color="auto" w:fill="auto"/>
            <w:noWrap/>
            <w:vAlign w:val="center"/>
          </w:tcPr>
          <w:p w14:paraId="3CD29B0E">
            <w:pPr>
              <w:widowControl/>
              <w:rPr>
                <w:rFonts w:ascii="宋体" w:hAnsi="宋体" w:cs="宋体"/>
                <w:color w:val="000000"/>
                <w:kern w:val="0"/>
                <w:sz w:val="20"/>
              </w:rPr>
            </w:pPr>
            <w:r>
              <w:rPr>
                <w:rFonts w:hint="eastAsia" w:ascii="宋体" w:hAnsi="宋体" w:cs="宋体"/>
                <w:color w:val="000000"/>
                <w:kern w:val="0"/>
                <w:sz w:val="20"/>
              </w:rPr>
              <w:t>　</w:t>
            </w:r>
          </w:p>
        </w:tc>
      </w:tr>
      <w:tr w14:paraId="45CD018B">
        <w:tblPrEx>
          <w:tblCellMar>
            <w:top w:w="0" w:type="dxa"/>
            <w:left w:w="108" w:type="dxa"/>
            <w:bottom w:w="0" w:type="dxa"/>
            <w:right w:w="108" w:type="dxa"/>
          </w:tblCellMar>
        </w:tblPrEx>
        <w:trPr>
          <w:trHeight w:val="255" w:hRule="atLeast"/>
        </w:trPr>
        <w:tc>
          <w:tcPr>
            <w:tcW w:w="894" w:type="dxa"/>
            <w:tcBorders>
              <w:top w:val="nil"/>
              <w:left w:val="single" w:color="auto" w:sz="4" w:space="0"/>
              <w:bottom w:val="single" w:color="auto" w:sz="4" w:space="0"/>
              <w:right w:val="single" w:color="auto" w:sz="4" w:space="0"/>
            </w:tcBorders>
            <w:shd w:val="clear" w:color="FFFFFF" w:fill="FFFFFF"/>
            <w:vAlign w:val="center"/>
          </w:tcPr>
          <w:p w14:paraId="3A55B7BC">
            <w:pPr>
              <w:widowControl/>
              <w:jc w:val="center"/>
              <w:rPr>
                <w:rFonts w:ascii="宋体" w:hAnsi="宋体" w:cs="宋体"/>
                <w:b/>
                <w:bCs/>
                <w:kern w:val="0"/>
                <w:sz w:val="20"/>
              </w:rPr>
            </w:pPr>
            <w:r>
              <w:rPr>
                <w:rFonts w:ascii="宋体" w:hAnsi="宋体" w:cs="宋体"/>
                <w:b/>
                <w:bCs/>
                <w:kern w:val="0"/>
                <w:sz w:val="20"/>
              </w:rPr>
              <w:t>21</w:t>
            </w:r>
          </w:p>
        </w:tc>
        <w:tc>
          <w:tcPr>
            <w:tcW w:w="2650" w:type="dxa"/>
            <w:tcBorders>
              <w:top w:val="nil"/>
              <w:left w:val="nil"/>
              <w:bottom w:val="single" w:color="auto" w:sz="4" w:space="0"/>
              <w:right w:val="single" w:color="auto" w:sz="4" w:space="0"/>
            </w:tcBorders>
            <w:shd w:val="clear" w:color="auto" w:fill="auto"/>
            <w:vAlign w:val="center"/>
          </w:tcPr>
          <w:p w14:paraId="48803B68">
            <w:pPr>
              <w:widowControl/>
              <w:jc w:val="center"/>
              <w:rPr>
                <w:rFonts w:ascii="宋体" w:hAnsi="宋体" w:cs="宋体"/>
                <w:color w:val="000000"/>
                <w:kern w:val="0"/>
                <w:sz w:val="20"/>
              </w:rPr>
            </w:pPr>
            <w:r>
              <w:rPr>
                <w:rFonts w:ascii="宋体" w:hAnsi="宋体" w:cs="宋体"/>
                <w:color w:val="000000"/>
                <w:kern w:val="0"/>
                <w:sz w:val="20"/>
              </w:rPr>
              <w:t>技术资料</w:t>
            </w:r>
          </w:p>
        </w:tc>
        <w:tc>
          <w:tcPr>
            <w:tcW w:w="3969" w:type="dxa"/>
            <w:tcBorders>
              <w:top w:val="nil"/>
              <w:left w:val="nil"/>
              <w:bottom w:val="single" w:color="auto" w:sz="4" w:space="0"/>
              <w:right w:val="single" w:color="auto" w:sz="4" w:space="0"/>
            </w:tcBorders>
            <w:shd w:val="clear" w:color="auto" w:fill="auto"/>
            <w:vAlign w:val="center"/>
          </w:tcPr>
          <w:p w14:paraId="399E5F6A">
            <w:pPr>
              <w:widowControl/>
              <w:rPr>
                <w:rFonts w:ascii="宋体" w:hAnsi="宋体" w:cs="宋体"/>
                <w:color w:val="000000"/>
                <w:kern w:val="0"/>
                <w:sz w:val="20"/>
              </w:rPr>
            </w:pPr>
            <w:r>
              <w:rPr>
                <w:rFonts w:ascii="宋体" w:hAnsi="宋体" w:cs="宋体"/>
                <w:color w:val="000000"/>
                <w:kern w:val="0"/>
                <w:sz w:val="20"/>
              </w:rPr>
              <w:t>3</w:t>
            </w:r>
            <w:r>
              <w:rPr>
                <w:rFonts w:hint="eastAsia" w:ascii="宋体" w:hAnsi="宋体" w:cs="宋体"/>
                <w:color w:val="000000"/>
                <w:kern w:val="0"/>
                <w:sz w:val="20"/>
              </w:rPr>
              <w:t>份纸质</w:t>
            </w:r>
            <w:r>
              <w:rPr>
                <w:rFonts w:ascii="宋体" w:hAnsi="宋体" w:cs="宋体"/>
                <w:color w:val="000000"/>
                <w:kern w:val="0"/>
                <w:sz w:val="20"/>
              </w:rPr>
              <w:t>及1份</w:t>
            </w:r>
            <w:r>
              <w:rPr>
                <w:rFonts w:hint="eastAsia" w:ascii="宋体" w:hAnsi="宋体" w:cs="宋体"/>
                <w:color w:val="000000"/>
                <w:kern w:val="0"/>
                <w:sz w:val="20"/>
              </w:rPr>
              <w:t>电子版</w:t>
            </w:r>
          </w:p>
        </w:tc>
        <w:tc>
          <w:tcPr>
            <w:tcW w:w="709" w:type="dxa"/>
            <w:tcBorders>
              <w:top w:val="nil"/>
              <w:left w:val="nil"/>
              <w:bottom w:val="single" w:color="auto" w:sz="4" w:space="0"/>
              <w:right w:val="single" w:color="auto" w:sz="4" w:space="0"/>
            </w:tcBorders>
            <w:shd w:val="clear" w:color="auto" w:fill="auto"/>
            <w:noWrap/>
            <w:vAlign w:val="center"/>
          </w:tcPr>
          <w:p w14:paraId="2E383EEE">
            <w:pPr>
              <w:widowControl/>
              <w:jc w:val="center"/>
              <w:rPr>
                <w:rFonts w:ascii="宋体" w:hAnsi="宋体" w:cs="宋体"/>
                <w:color w:val="000000"/>
                <w:kern w:val="0"/>
                <w:sz w:val="20"/>
              </w:rPr>
            </w:pPr>
          </w:p>
        </w:tc>
        <w:tc>
          <w:tcPr>
            <w:tcW w:w="425" w:type="dxa"/>
            <w:tcBorders>
              <w:top w:val="nil"/>
              <w:left w:val="nil"/>
              <w:bottom w:val="single" w:color="auto" w:sz="4" w:space="0"/>
              <w:right w:val="single" w:color="auto" w:sz="4" w:space="0"/>
            </w:tcBorders>
            <w:shd w:val="clear" w:color="auto" w:fill="auto"/>
            <w:noWrap/>
            <w:vAlign w:val="center"/>
          </w:tcPr>
          <w:p w14:paraId="19005603">
            <w:pPr>
              <w:widowControl/>
              <w:jc w:val="center"/>
              <w:rPr>
                <w:rFonts w:ascii="宋体" w:hAnsi="宋体" w:cs="宋体"/>
                <w:color w:val="000000"/>
                <w:kern w:val="0"/>
                <w:sz w:val="20"/>
              </w:rPr>
            </w:pPr>
          </w:p>
        </w:tc>
        <w:tc>
          <w:tcPr>
            <w:tcW w:w="1631" w:type="dxa"/>
            <w:tcBorders>
              <w:top w:val="nil"/>
              <w:left w:val="nil"/>
              <w:bottom w:val="single" w:color="auto" w:sz="4" w:space="0"/>
              <w:right w:val="single" w:color="auto" w:sz="4" w:space="0"/>
            </w:tcBorders>
            <w:shd w:val="clear" w:color="auto" w:fill="auto"/>
            <w:noWrap/>
            <w:vAlign w:val="center"/>
          </w:tcPr>
          <w:p w14:paraId="5A871A38">
            <w:pPr>
              <w:widowControl/>
              <w:rPr>
                <w:rFonts w:ascii="宋体" w:hAnsi="宋体" w:cs="宋体"/>
                <w:color w:val="000000"/>
                <w:kern w:val="0"/>
                <w:sz w:val="20"/>
              </w:rPr>
            </w:pPr>
          </w:p>
        </w:tc>
      </w:tr>
      <w:tr w14:paraId="2C9D8F61">
        <w:tblPrEx>
          <w:tblCellMar>
            <w:top w:w="0" w:type="dxa"/>
            <w:left w:w="108" w:type="dxa"/>
            <w:bottom w:w="0" w:type="dxa"/>
            <w:right w:w="108" w:type="dxa"/>
          </w:tblCellMar>
        </w:tblPrEx>
        <w:trPr>
          <w:trHeight w:val="414" w:hRule="atLeast"/>
        </w:trPr>
        <w:tc>
          <w:tcPr>
            <w:tcW w:w="894" w:type="dxa"/>
            <w:tcBorders>
              <w:top w:val="nil"/>
              <w:left w:val="single" w:color="auto" w:sz="4" w:space="0"/>
              <w:bottom w:val="single" w:color="auto" w:sz="4" w:space="0"/>
              <w:right w:val="single" w:color="auto" w:sz="4" w:space="0"/>
            </w:tcBorders>
            <w:shd w:val="clear" w:color="FFFFFF" w:fill="FFFFFF"/>
            <w:vAlign w:val="center"/>
          </w:tcPr>
          <w:p w14:paraId="5EEFF475">
            <w:pPr>
              <w:widowControl/>
              <w:jc w:val="center"/>
              <w:rPr>
                <w:rFonts w:ascii="宋体" w:hAnsi="宋体" w:cs="宋体"/>
                <w:b/>
                <w:bCs/>
                <w:kern w:val="0"/>
                <w:sz w:val="20"/>
              </w:rPr>
            </w:pPr>
            <w:r>
              <w:rPr>
                <w:rFonts w:ascii="宋体" w:hAnsi="宋体" w:cs="宋体"/>
                <w:b/>
                <w:bCs/>
                <w:kern w:val="0"/>
                <w:sz w:val="20"/>
              </w:rPr>
              <w:t>22</w:t>
            </w:r>
          </w:p>
        </w:tc>
        <w:tc>
          <w:tcPr>
            <w:tcW w:w="2650" w:type="dxa"/>
            <w:tcBorders>
              <w:top w:val="nil"/>
              <w:left w:val="nil"/>
              <w:bottom w:val="single" w:color="auto" w:sz="4" w:space="0"/>
              <w:right w:val="single" w:color="auto" w:sz="4" w:space="0"/>
            </w:tcBorders>
            <w:shd w:val="clear" w:color="auto" w:fill="auto"/>
            <w:vAlign w:val="center"/>
          </w:tcPr>
          <w:p w14:paraId="7F0EE20D">
            <w:pPr>
              <w:widowControl/>
              <w:jc w:val="center"/>
              <w:rPr>
                <w:rFonts w:ascii="宋体" w:hAnsi="宋体" w:cs="宋体"/>
                <w:color w:val="000000"/>
                <w:kern w:val="0"/>
                <w:sz w:val="20"/>
              </w:rPr>
            </w:pPr>
            <w:r>
              <w:rPr>
                <w:rFonts w:hint="eastAsia" w:ascii="宋体" w:hAnsi="宋体" w:cs="宋体"/>
                <w:color w:val="000000"/>
                <w:kern w:val="0"/>
                <w:sz w:val="20"/>
              </w:rPr>
              <w:t>投标方认为须提供的其他货物</w:t>
            </w:r>
          </w:p>
        </w:tc>
        <w:tc>
          <w:tcPr>
            <w:tcW w:w="3969" w:type="dxa"/>
            <w:tcBorders>
              <w:top w:val="nil"/>
              <w:left w:val="nil"/>
              <w:bottom w:val="single" w:color="auto" w:sz="4" w:space="0"/>
              <w:right w:val="single" w:color="auto" w:sz="4" w:space="0"/>
            </w:tcBorders>
            <w:shd w:val="clear" w:color="auto" w:fill="auto"/>
            <w:vAlign w:val="center"/>
          </w:tcPr>
          <w:p w14:paraId="0F636F95">
            <w:pPr>
              <w:widowControl/>
              <w:rPr>
                <w:rFonts w:ascii="宋体" w:hAnsi="宋体" w:cs="宋体"/>
                <w:color w:val="000000"/>
                <w:kern w:val="0"/>
                <w:sz w:val="20"/>
              </w:rPr>
            </w:pPr>
          </w:p>
        </w:tc>
        <w:tc>
          <w:tcPr>
            <w:tcW w:w="709" w:type="dxa"/>
            <w:tcBorders>
              <w:top w:val="nil"/>
              <w:left w:val="nil"/>
              <w:bottom w:val="single" w:color="auto" w:sz="4" w:space="0"/>
              <w:right w:val="single" w:color="auto" w:sz="4" w:space="0"/>
            </w:tcBorders>
            <w:shd w:val="clear" w:color="auto" w:fill="auto"/>
            <w:noWrap/>
            <w:vAlign w:val="center"/>
          </w:tcPr>
          <w:p w14:paraId="7D926881">
            <w:pPr>
              <w:widowControl/>
              <w:jc w:val="center"/>
              <w:rPr>
                <w:rFonts w:ascii="宋体" w:hAnsi="宋体" w:cs="宋体"/>
                <w:color w:val="000000"/>
                <w:kern w:val="0"/>
                <w:sz w:val="20"/>
              </w:rPr>
            </w:pPr>
            <w:r>
              <w:rPr>
                <w:rFonts w:hint="eastAsia" w:ascii="宋体" w:hAnsi="宋体" w:cs="宋体"/>
                <w:color w:val="000000"/>
                <w:kern w:val="0"/>
                <w:sz w:val="20"/>
              </w:rPr>
              <w:t>项</w:t>
            </w:r>
          </w:p>
        </w:tc>
        <w:tc>
          <w:tcPr>
            <w:tcW w:w="425" w:type="dxa"/>
            <w:tcBorders>
              <w:top w:val="nil"/>
              <w:left w:val="nil"/>
              <w:bottom w:val="single" w:color="auto" w:sz="4" w:space="0"/>
              <w:right w:val="single" w:color="auto" w:sz="4" w:space="0"/>
            </w:tcBorders>
            <w:shd w:val="clear" w:color="auto" w:fill="auto"/>
            <w:noWrap/>
            <w:vAlign w:val="center"/>
          </w:tcPr>
          <w:p w14:paraId="64F6468F">
            <w:pPr>
              <w:widowControl/>
              <w:jc w:val="center"/>
              <w:rPr>
                <w:rFonts w:ascii="宋体" w:hAnsi="宋体" w:cs="宋体"/>
                <w:color w:val="000000"/>
                <w:kern w:val="0"/>
                <w:sz w:val="20"/>
              </w:rPr>
            </w:pPr>
            <w:r>
              <w:rPr>
                <w:rFonts w:hint="eastAsia" w:ascii="宋体" w:hAnsi="宋体" w:cs="宋体"/>
                <w:color w:val="000000"/>
                <w:kern w:val="0"/>
                <w:sz w:val="20"/>
              </w:rPr>
              <w:t>1　</w:t>
            </w:r>
          </w:p>
        </w:tc>
        <w:tc>
          <w:tcPr>
            <w:tcW w:w="1631" w:type="dxa"/>
            <w:tcBorders>
              <w:top w:val="nil"/>
              <w:left w:val="nil"/>
              <w:bottom w:val="single" w:color="auto" w:sz="4" w:space="0"/>
              <w:right w:val="single" w:color="auto" w:sz="4" w:space="0"/>
            </w:tcBorders>
            <w:shd w:val="clear" w:color="auto" w:fill="auto"/>
            <w:noWrap/>
            <w:vAlign w:val="center"/>
          </w:tcPr>
          <w:p w14:paraId="61419905">
            <w:pPr>
              <w:widowControl/>
              <w:rPr>
                <w:rFonts w:ascii="宋体" w:hAnsi="宋体" w:cs="宋体"/>
                <w:color w:val="000000"/>
                <w:kern w:val="0"/>
                <w:sz w:val="20"/>
              </w:rPr>
            </w:pPr>
            <w:r>
              <w:rPr>
                <w:rFonts w:hint="eastAsia" w:ascii="宋体" w:hAnsi="宋体" w:cs="宋体"/>
                <w:color w:val="000000"/>
                <w:kern w:val="0"/>
                <w:sz w:val="20"/>
              </w:rPr>
              <w:t>　</w:t>
            </w:r>
          </w:p>
        </w:tc>
      </w:tr>
    </w:tbl>
    <w:p w14:paraId="7744A92A">
      <w:pPr>
        <w:rPr>
          <w:sz w:val="24"/>
          <w:szCs w:val="24"/>
        </w:rPr>
      </w:pPr>
      <w:r>
        <w:rPr>
          <w:rFonts w:hint="eastAsia"/>
          <w:sz w:val="24"/>
          <w:szCs w:val="24"/>
        </w:rPr>
        <w:t>二、一般界定</w:t>
      </w:r>
    </w:p>
    <w:p w14:paraId="631599F1">
      <w:pPr>
        <w:rPr>
          <w:sz w:val="24"/>
          <w:szCs w:val="24"/>
        </w:rPr>
      </w:pPr>
      <w:r>
        <w:rPr>
          <w:rFonts w:hint="eastAsia"/>
          <w:sz w:val="24"/>
          <w:szCs w:val="24"/>
        </w:rPr>
        <w:t>1、供货范围包括本技术标书“采购货物概况” 所列及所要求的货物。</w:t>
      </w:r>
    </w:p>
    <w:p w14:paraId="431F63AB">
      <w:pPr>
        <w:rPr>
          <w:sz w:val="24"/>
          <w:szCs w:val="24"/>
        </w:rPr>
      </w:pPr>
      <w:r>
        <w:rPr>
          <w:rFonts w:hint="eastAsia"/>
          <w:sz w:val="24"/>
          <w:szCs w:val="24"/>
        </w:rPr>
        <w:t>2、供货范围包括为保证货物（或生产线）正常安装、调试和验收完成及以前所必需的整套配件、附件及材料、油料、控制软件及程序或指令等。</w:t>
      </w:r>
    </w:p>
    <w:p w14:paraId="7E932059">
      <w:pPr>
        <w:rPr>
          <w:sz w:val="24"/>
          <w:szCs w:val="24"/>
        </w:rPr>
      </w:pPr>
      <w:r>
        <w:rPr>
          <w:rFonts w:hint="eastAsia"/>
          <w:sz w:val="24"/>
          <w:szCs w:val="24"/>
        </w:rPr>
        <w:t>如果终验收完成后，投标方有需要收回的配件、附件、材料、油料等，应当在投标档的技术偏离条款中，予以详细说明；否则视同包括在供货范围之内。</w:t>
      </w:r>
    </w:p>
    <w:p w14:paraId="3AB6A252">
      <w:pPr>
        <w:rPr>
          <w:sz w:val="24"/>
          <w:szCs w:val="24"/>
        </w:rPr>
      </w:pPr>
      <w:r>
        <w:rPr>
          <w:rFonts w:hint="eastAsia"/>
          <w:sz w:val="24"/>
          <w:szCs w:val="24"/>
        </w:rPr>
        <w:t>3、供货范围包括货物（或生产线）维护维修所必需的专用工具。</w:t>
      </w:r>
    </w:p>
    <w:p w14:paraId="7E1286DB">
      <w:pPr>
        <w:rPr>
          <w:sz w:val="24"/>
          <w:szCs w:val="24"/>
        </w:rPr>
      </w:pPr>
      <w:r>
        <w:rPr>
          <w:rFonts w:hint="eastAsia"/>
          <w:sz w:val="24"/>
          <w:szCs w:val="24"/>
        </w:rPr>
        <w:t>4、供货范围包括货物（或生产线）为达到产品标准以及环保、消防和劳动安全卫生等国家法律、法规和标准、规范要求而配备但标书未明确提出的除尘系统、通风系统、近距离照明系统以及劳动安全防护设施（不包括人体防护用品）等使用现场配套的设备、材料等。</w:t>
      </w:r>
    </w:p>
    <w:p w14:paraId="10F7629B">
      <w:pPr>
        <w:ind w:firstLine="480" w:firstLineChars="200"/>
        <w:rPr>
          <w:sz w:val="24"/>
          <w:szCs w:val="24"/>
        </w:rPr>
      </w:pPr>
      <w:r>
        <w:rPr>
          <w:rFonts w:hint="eastAsia"/>
          <w:sz w:val="24"/>
          <w:szCs w:val="24"/>
        </w:rPr>
        <w:t>如投标方难以提供或无优势提供以及属于选用配置的，则应当在投标档的技术偏离条款中，予以详细说明并注明投标报价未包含该部分的货值。</w:t>
      </w:r>
    </w:p>
    <w:p w14:paraId="1F167A5D">
      <w:pPr>
        <w:rPr>
          <w:sz w:val="24"/>
          <w:szCs w:val="24"/>
        </w:rPr>
      </w:pPr>
      <w:r>
        <w:rPr>
          <w:rFonts w:hint="eastAsia"/>
          <w:sz w:val="24"/>
          <w:szCs w:val="24"/>
        </w:rPr>
        <w:t>5、供货范围包括为保证货物（或生产线）自身正常运行所必需的、满足使用地点环境条件的通风、冷却、降温等必需设施。</w:t>
      </w:r>
    </w:p>
    <w:p w14:paraId="1F3C7614">
      <w:pPr>
        <w:rPr>
          <w:sz w:val="24"/>
          <w:szCs w:val="24"/>
        </w:rPr>
      </w:pPr>
      <w:r>
        <w:rPr>
          <w:rFonts w:hint="eastAsia"/>
          <w:sz w:val="24"/>
          <w:szCs w:val="24"/>
        </w:rPr>
        <w:t>6、供货范围还包括如下界定（货物）：</w:t>
      </w:r>
    </w:p>
    <w:p w14:paraId="67FA7591">
      <w:pPr>
        <w:rPr>
          <w:sz w:val="24"/>
          <w:szCs w:val="24"/>
        </w:rPr>
      </w:pPr>
      <w:r>
        <w:rPr>
          <w:rFonts w:hint="eastAsia"/>
          <w:sz w:val="24"/>
          <w:szCs w:val="24"/>
        </w:rPr>
        <w:t>① 招标方只提供货物（或生产线）所需的厂房；只提供符合本技术标书中“采购货物概况”和“使用环境”章节所列明质量的电力、自来水、压缩空气、蒸汽、天然气管线至系统界面，如：系统电力界面的接线端，水、气、汽等外围管线端联接法兰外端面。投标方负责货物拆箱、货物到厂房的吊装、就位。</w:t>
      </w:r>
    </w:p>
    <w:p w14:paraId="3C0528EA">
      <w:pPr>
        <w:rPr>
          <w:sz w:val="24"/>
          <w:szCs w:val="24"/>
        </w:rPr>
      </w:pPr>
      <w:r>
        <w:rPr>
          <w:rFonts w:hint="eastAsia"/>
          <w:sz w:val="24"/>
          <w:szCs w:val="24"/>
        </w:rPr>
        <w:t>② 供货范围包括货物（或生产线）正常运行所必需的全套连线设备、材料等。如货物端联接法兰外端面之内的、电气系统界面压线板（插座等）之内的设备、材料、联接螺栓、垫片等。</w:t>
      </w:r>
    </w:p>
    <w:p w14:paraId="25C8974C">
      <w:pPr>
        <w:rPr>
          <w:sz w:val="24"/>
          <w:szCs w:val="24"/>
        </w:rPr>
      </w:pPr>
      <w:r>
        <w:rPr>
          <w:rFonts w:hint="eastAsia"/>
          <w:sz w:val="24"/>
          <w:szCs w:val="24"/>
        </w:rPr>
        <w:t>③ 供货范围包括货物（或生产线）正常运行、使用所需要的过桥、护栏、防护网、盖板等辅助设施。</w:t>
      </w:r>
    </w:p>
    <w:p w14:paraId="021F1ABF">
      <w:pPr>
        <w:rPr>
          <w:color w:val="000000"/>
          <w:sz w:val="24"/>
          <w:szCs w:val="24"/>
        </w:rPr>
      </w:pPr>
      <w:r>
        <w:rPr>
          <w:rFonts w:hint="eastAsia"/>
          <w:sz w:val="24"/>
          <w:szCs w:val="24"/>
        </w:rPr>
        <w:t>④ 供货范围包括招标档中无明确具体要求而投标方认为具备的其他货物。但是，在投标档报价明细中，该部分货物单独报价（该报价含运杂费及税费等其他费用，而且不再作为其他报价涉及的其他费用的计算基数）</w:t>
      </w:r>
      <w:r>
        <w:rPr>
          <w:rFonts w:hint="eastAsia"/>
          <w:color w:val="000000"/>
          <w:sz w:val="24"/>
          <w:szCs w:val="24"/>
        </w:rPr>
        <w:t>。</w:t>
      </w:r>
    </w:p>
    <w:p w14:paraId="50CAAC95">
      <w:pPr>
        <w:rPr>
          <w:sz w:val="24"/>
          <w:szCs w:val="24"/>
        </w:rPr>
      </w:pPr>
      <w:r>
        <w:rPr>
          <w:rFonts w:hint="eastAsia"/>
          <w:sz w:val="24"/>
          <w:szCs w:val="24"/>
        </w:rPr>
        <w:t>三、备品备件、易损件和专用耗材供货范围</w:t>
      </w:r>
    </w:p>
    <w:p w14:paraId="18D0A35E">
      <w:pPr>
        <w:rPr>
          <w:sz w:val="24"/>
          <w:szCs w:val="24"/>
        </w:rPr>
      </w:pPr>
      <w:r>
        <w:rPr>
          <w:rFonts w:hint="eastAsia"/>
          <w:sz w:val="24"/>
          <w:szCs w:val="24"/>
        </w:rPr>
        <w:t>1、招标方招标档所指备品备件、易损件和专用耗材，是招标方为保证设备质保期之后正常运行一年所自备自用的备品备件、易损件和专用耗材；</w:t>
      </w:r>
    </w:p>
    <w:p w14:paraId="0E73C66C">
      <w:pPr>
        <w:rPr>
          <w:sz w:val="24"/>
          <w:szCs w:val="24"/>
        </w:rPr>
      </w:pPr>
      <w:r>
        <w:rPr>
          <w:rFonts w:hint="eastAsia"/>
          <w:sz w:val="24"/>
          <w:szCs w:val="24"/>
        </w:rPr>
        <w:t>2、投标方应提供设备维修所必需的专用工具，并附详细清单（包括名称、型号、规格、单位、数量、生产厂家、单价、总价等条目）；</w:t>
      </w:r>
    </w:p>
    <w:p w14:paraId="33CFA394">
      <w:pPr>
        <w:rPr>
          <w:sz w:val="24"/>
          <w:szCs w:val="24"/>
        </w:rPr>
      </w:pPr>
      <w:r>
        <w:rPr>
          <w:rFonts w:hint="eastAsia"/>
          <w:sz w:val="24"/>
          <w:szCs w:val="24"/>
        </w:rPr>
        <w:t>3、投标方应提供易损件和专用耗材的制造图纸及其技术要求等资料；</w:t>
      </w:r>
    </w:p>
    <w:p w14:paraId="277DA896">
      <w:pPr>
        <w:rPr>
          <w:sz w:val="24"/>
          <w:szCs w:val="24"/>
        </w:rPr>
      </w:pPr>
      <w:r>
        <w:rPr>
          <w:rFonts w:hint="eastAsia"/>
          <w:sz w:val="24"/>
          <w:szCs w:val="24"/>
        </w:rPr>
        <w:t>4、投标方须提供一份常用的零部件及外购件（含易损件、易耗品等）型号、零件图、价格表及供货周期。标准设备和非标设备的工装备件清单、投标方、联系方式、价格，在合同签订之后四个月内提交给招标方。</w:t>
      </w:r>
    </w:p>
    <w:p w14:paraId="4416E96B">
      <w:pPr>
        <w:rPr>
          <w:sz w:val="24"/>
          <w:szCs w:val="24"/>
        </w:rPr>
      </w:pPr>
      <w:r>
        <w:rPr>
          <w:rFonts w:hint="eastAsia"/>
          <w:sz w:val="24"/>
          <w:szCs w:val="24"/>
        </w:rPr>
        <w:t>5、备品备件、易损件和专用耗材，其费用应分类单列，并计入投标总报价之内。</w:t>
      </w:r>
    </w:p>
    <w:p w14:paraId="02476A23">
      <w:pPr>
        <w:rPr>
          <w:sz w:val="24"/>
          <w:szCs w:val="24"/>
        </w:rPr>
      </w:pPr>
      <w:r>
        <w:rPr>
          <w:rFonts w:hint="eastAsia"/>
          <w:sz w:val="24"/>
          <w:szCs w:val="24"/>
        </w:rPr>
        <w:t>四、技术资料供货范围</w:t>
      </w:r>
    </w:p>
    <w:p w14:paraId="03E074D9">
      <w:pPr>
        <w:rPr>
          <w:sz w:val="24"/>
          <w:szCs w:val="24"/>
        </w:rPr>
      </w:pPr>
      <w:r>
        <w:rPr>
          <w:rFonts w:hint="eastAsia"/>
          <w:sz w:val="24"/>
          <w:szCs w:val="24"/>
        </w:rPr>
        <w:t>1、在终验收前，提供确定的维修所需要且招标方可以自行采购的外购件、外协件、电气元件及主要原材料的供货厂家明细表。</w:t>
      </w:r>
    </w:p>
    <w:p w14:paraId="27E54E81">
      <w:pPr>
        <w:rPr>
          <w:sz w:val="24"/>
          <w:szCs w:val="24"/>
        </w:rPr>
      </w:pPr>
      <w:r>
        <w:rPr>
          <w:rFonts w:hint="eastAsia"/>
          <w:sz w:val="24"/>
          <w:szCs w:val="24"/>
        </w:rPr>
        <w:t>2、在终验收后的第一笔货款支付日之前，提供包括货物的备品备件、易损件和专用耗材的图纸及技术参数、技术要求等资料。</w:t>
      </w:r>
    </w:p>
    <w:p w14:paraId="39E158C0">
      <w:pPr>
        <w:rPr>
          <w:sz w:val="24"/>
          <w:szCs w:val="24"/>
        </w:rPr>
      </w:pPr>
      <w:r>
        <w:rPr>
          <w:rFonts w:hint="eastAsia"/>
          <w:sz w:val="24"/>
          <w:szCs w:val="24"/>
        </w:rPr>
        <w:t>3、在终验收后的第一笔货款支付日之前，提供关于采购货物的使用说明书、合格证等技术资料。</w:t>
      </w:r>
    </w:p>
    <w:p w14:paraId="6192E0FB">
      <w:pPr>
        <w:rPr>
          <w:sz w:val="24"/>
          <w:szCs w:val="24"/>
        </w:rPr>
      </w:pPr>
      <w:r>
        <w:rPr>
          <w:rFonts w:hint="eastAsia"/>
          <w:sz w:val="24"/>
          <w:szCs w:val="24"/>
        </w:rPr>
        <w:t>4、在终验收后的第一笔货款支付日之前，提供关于采购货物（或生产线）的电气资料（包括接线图、原理图、布线图、梯形图等）。</w:t>
      </w:r>
    </w:p>
    <w:p w14:paraId="44FD6715">
      <w:pPr>
        <w:rPr>
          <w:sz w:val="24"/>
          <w:szCs w:val="24"/>
        </w:rPr>
      </w:pPr>
      <w:r>
        <w:rPr>
          <w:rFonts w:hint="eastAsia"/>
          <w:sz w:val="24"/>
          <w:szCs w:val="24"/>
        </w:rPr>
        <w:t>5、本条款所列的技术资料、图片等，投标方应各</w:t>
      </w:r>
      <w:r>
        <w:rPr>
          <w:rFonts w:hint="eastAsia"/>
          <w:color w:val="000000"/>
          <w:sz w:val="24"/>
          <w:szCs w:val="24"/>
        </w:rPr>
        <w:t>提供3套、1套</w:t>
      </w:r>
      <w:r>
        <w:rPr>
          <w:rFonts w:hint="eastAsia"/>
          <w:sz w:val="24"/>
          <w:szCs w:val="24"/>
        </w:rPr>
        <w:t>为电子版；每份技术档应装有目录清单，电子版及纸板内容编排一致，方便查阅。</w:t>
      </w:r>
    </w:p>
    <w:p w14:paraId="05A19935">
      <w:pPr>
        <w:jc w:val="center"/>
        <w:rPr>
          <w:sz w:val="24"/>
          <w:szCs w:val="24"/>
        </w:rPr>
      </w:pPr>
      <w:r>
        <w:rPr>
          <w:rFonts w:hint="eastAsia"/>
          <w:sz w:val="24"/>
          <w:szCs w:val="24"/>
        </w:rPr>
        <w:t>第二节  供货方式</w:t>
      </w:r>
    </w:p>
    <w:p w14:paraId="7AA5ADA4">
      <w:pPr>
        <w:rPr>
          <w:sz w:val="24"/>
          <w:szCs w:val="24"/>
        </w:rPr>
      </w:pPr>
      <w:r>
        <w:rPr>
          <w:rFonts w:hint="eastAsia"/>
          <w:sz w:val="24"/>
          <w:szCs w:val="24"/>
        </w:rPr>
        <w:t>一、供货方式</w:t>
      </w:r>
    </w:p>
    <w:p w14:paraId="0C4B3A18">
      <w:pPr>
        <w:ind w:firstLine="480" w:firstLineChars="200"/>
        <w:rPr>
          <w:sz w:val="24"/>
          <w:szCs w:val="24"/>
        </w:rPr>
      </w:pPr>
      <w:r>
        <w:rPr>
          <w:sz w:val="24"/>
          <w:szCs w:val="24"/>
        </w:rPr>
        <w:t>本次招标货物至少包括以下货物及服务：非标或特需设计，制造，必要的卖方现场预验收，至交货地点的运输（含定点装卸），安装，调试</w:t>
      </w:r>
      <w:r>
        <w:rPr>
          <w:rFonts w:hint="eastAsia"/>
          <w:sz w:val="24"/>
          <w:szCs w:val="24"/>
        </w:rPr>
        <w:t>（不含机器人调试、PLC编程及现场程序调试）</w:t>
      </w:r>
      <w:r>
        <w:rPr>
          <w:sz w:val="24"/>
          <w:szCs w:val="24"/>
        </w:rPr>
        <w:t>，买方安装地竣工验收服务，货物移交，约定培训等全流程范围。</w:t>
      </w:r>
    </w:p>
    <w:p w14:paraId="6BCA4751">
      <w:pPr>
        <w:rPr>
          <w:sz w:val="24"/>
          <w:szCs w:val="24"/>
        </w:rPr>
      </w:pPr>
      <w:r>
        <w:rPr>
          <w:rFonts w:hint="eastAsia"/>
          <w:sz w:val="24"/>
          <w:szCs w:val="24"/>
        </w:rPr>
        <w:t>二、供货地点</w:t>
      </w:r>
    </w:p>
    <w:p w14:paraId="5375AFE5">
      <w:pPr>
        <w:rPr>
          <w:sz w:val="24"/>
          <w:szCs w:val="24"/>
        </w:rPr>
      </w:pPr>
      <w:r>
        <w:rPr>
          <w:rFonts w:hint="eastAsia"/>
          <w:sz w:val="24"/>
          <w:szCs w:val="24"/>
        </w:rPr>
        <w:t>中国重汽集团杭州发动机有限公司</w:t>
      </w:r>
      <w:r>
        <w:rPr>
          <w:sz w:val="24"/>
          <w:szCs w:val="24"/>
        </w:rPr>
        <w:t>。</w:t>
      </w:r>
    </w:p>
    <w:p w14:paraId="52A83ACC">
      <w:pPr>
        <w:rPr>
          <w:sz w:val="24"/>
          <w:szCs w:val="24"/>
        </w:rPr>
      </w:pPr>
      <w:r>
        <w:rPr>
          <w:rFonts w:hint="eastAsia"/>
          <w:sz w:val="24"/>
          <w:szCs w:val="24"/>
        </w:rPr>
        <w:t>三、供货时间：</w:t>
      </w:r>
    </w:p>
    <w:p w14:paraId="7A22BB51">
      <w:pPr>
        <w:rPr>
          <w:sz w:val="24"/>
          <w:szCs w:val="24"/>
        </w:rPr>
      </w:pPr>
      <w:r>
        <w:rPr>
          <w:rFonts w:hint="eastAsia"/>
          <w:sz w:val="24"/>
          <w:szCs w:val="24"/>
        </w:rPr>
        <w:t>自合同签定生效之日起，</w:t>
      </w:r>
      <w:r>
        <w:rPr>
          <w:color w:val="FF0000"/>
          <w:sz w:val="24"/>
          <w:szCs w:val="24"/>
          <w:u w:val="single"/>
        </w:rPr>
        <w:t>6</w:t>
      </w:r>
      <w:r>
        <w:rPr>
          <w:rFonts w:hint="eastAsia"/>
          <w:color w:val="FF0000"/>
          <w:sz w:val="24"/>
          <w:szCs w:val="24"/>
          <w:u w:val="single"/>
        </w:rPr>
        <w:t>0</w:t>
      </w:r>
      <w:r>
        <w:rPr>
          <w:rFonts w:hint="eastAsia"/>
          <w:sz w:val="24"/>
          <w:szCs w:val="24"/>
        </w:rPr>
        <w:t>个日历日之内交货至供货地点。</w:t>
      </w:r>
    </w:p>
    <w:p w14:paraId="3875C72E">
      <w:pPr>
        <w:rPr>
          <w:sz w:val="24"/>
          <w:szCs w:val="24"/>
        </w:rPr>
      </w:pPr>
      <w:r>
        <w:rPr>
          <w:rFonts w:hint="eastAsia"/>
          <w:sz w:val="24"/>
          <w:szCs w:val="24"/>
        </w:rPr>
        <w:t>接续</w:t>
      </w:r>
      <w:r>
        <w:rPr>
          <w:color w:val="FF0000"/>
          <w:sz w:val="24"/>
          <w:szCs w:val="24"/>
          <w:u w:val="single"/>
        </w:rPr>
        <w:t>4</w:t>
      </w:r>
      <w:r>
        <w:rPr>
          <w:rFonts w:hint="eastAsia"/>
          <w:color w:val="FF0000"/>
          <w:sz w:val="24"/>
          <w:szCs w:val="24"/>
          <w:u w:val="single"/>
        </w:rPr>
        <w:t>0</w:t>
      </w:r>
      <w:r>
        <w:rPr>
          <w:rFonts w:hint="eastAsia"/>
          <w:sz w:val="24"/>
          <w:szCs w:val="24"/>
          <w:u w:val="single"/>
        </w:rPr>
        <w:t xml:space="preserve"> </w:t>
      </w:r>
      <w:r>
        <w:rPr>
          <w:rFonts w:hint="eastAsia"/>
          <w:sz w:val="24"/>
          <w:szCs w:val="24"/>
        </w:rPr>
        <w:t>个日历日之内完成供货范围内安装工作并配合招标方完成机器人调试、PLC编程及现场程序调试。</w:t>
      </w:r>
    </w:p>
    <w:p w14:paraId="7CA1B03A">
      <w:pPr>
        <w:rPr>
          <w:sz w:val="24"/>
          <w:szCs w:val="24"/>
        </w:rPr>
      </w:pPr>
      <w:r>
        <w:rPr>
          <w:rFonts w:hint="eastAsia"/>
          <w:sz w:val="24"/>
          <w:szCs w:val="24"/>
        </w:rPr>
        <w:t>接续</w:t>
      </w:r>
      <w:r>
        <w:rPr>
          <w:color w:val="FF0000"/>
          <w:sz w:val="24"/>
          <w:szCs w:val="24"/>
          <w:u w:val="single"/>
        </w:rPr>
        <w:t>1</w:t>
      </w:r>
      <w:r>
        <w:rPr>
          <w:rFonts w:hint="eastAsia"/>
          <w:color w:val="FF0000"/>
          <w:sz w:val="24"/>
          <w:szCs w:val="24"/>
          <w:u w:val="single"/>
        </w:rPr>
        <w:t>0</w:t>
      </w:r>
      <w:r>
        <w:rPr>
          <w:rFonts w:hint="eastAsia"/>
          <w:sz w:val="24"/>
          <w:szCs w:val="24"/>
        </w:rPr>
        <w:t>个日历日之内完成终验收。</w:t>
      </w:r>
    </w:p>
    <w:p w14:paraId="56405E5D">
      <w:pPr>
        <w:rPr>
          <w:sz w:val="24"/>
          <w:szCs w:val="24"/>
        </w:rPr>
      </w:pPr>
      <w:r>
        <w:rPr>
          <w:rFonts w:hint="eastAsia"/>
          <w:sz w:val="24"/>
          <w:szCs w:val="24"/>
        </w:rPr>
        <w:t>四、包装</w:t>
      </w:r>
    </w:p>
    <w:p w14:paraId="7F0039D0">
      <w:pPr>
        <w:rPr>
          <w:sz w:val="24"/>
          <w:szCs w:val="24"/>
        </w:rPr>
      </w:pPr>
      <w:r>
        <w:rPr>
          <w:sz w:val="24"/>
          <w:szCs w:val="24"/>
        </w:rPr>
        <w:t>1、所提供货物（或设备）的包装，应遵照国家标准和有关包装、包皮的技术条件，或按照最好的商业惯例进行包装。</w:t>
      </w:r>
    </w:p>
    <w:p w14:paraId="0EA8ED17">
      <w:pPr>
        <w:rPr>
          <w:sz w:val="24"/>
          <w:szCs w:val="24"/>
        </w:rPr>
      </w:pPr>
      <w:r>
        <w:rPr>
          <w:sz w:val="24"/>
          <w:szCs w:val="24"/>
        </w:rPr>
        <w:t>2、包装应能满足所需要采取的运输方式（船运、汽运或铁路运输）、多次吊装卸装、卸货以及长期露天堆放要求，应能防止雨淋、受潮、生锈、腐蚀、受振、受磁以及机械和化学因素等引起的损坏。</w:t>
      </w:r>
    </w:p>
    <w:p w14:paraId="63792537">
      <w:pPr>
        <w:rPr>
          <w:sz w:val="24"/>
          <w:szCs w:val="24"/>
        </w:rPr>
      </w:pPr>
      <w:r>
        <w:rPr>
          <w:sz w:val="24"/>
          <w:szCs w:val="24"/>
        </w:rPr>
        <w:t>3、所提供货物（或设备）的包装，应能防止其一般性被窃或受外力破坏；一般不得采用有大缝隙的板条包装。</w:t>
      </w:r>
    </w:p>
    <w:p w14:paraId="09FE9416">
      <w:pPr>
        <w:rPr>
          <w:sz w:val="24"/>
          <w:szCs w:val="24"/>
        </w:rPr>
      </w:pPr>
      <w:r>
        <w:rPr>
          <w:sz w:val="24"/>
          <w:szCs w:val="24"/>
        </w:rPr>
        <w:t>4、应对包装件做必要的加固和固定，以防止运输可能造成的损坏。</w:t>
      </w:r>
    </w:p>
    <w:p w14:paraId="5866721D">
      <w:pPr>
        <w:rPr>
          <w:sz w:val="24"/>
          <w:szCs w:val="24"/>
        </w:rPr>
      </w:pPr>
      <w:r>
        <w:rPr>
          <w:sz w:val="24"/>
          <w:szCs w:val="24"/>
        </w:rPr>
        <w:t>5、每个包装件应有装箱单，并至少标明名称、型号规格、数量、净重和毛重、投标方（或供货商）名称和制造日期等相关内容。</w:t>
      </w:r>
    </w:p>
    <w:p w14:paraId="0E0485FB">
      <w:pPr>
        <w:rPr>
          <w:sz w:val="24"/>
          <w:szCs w:val="24"/>
        </w:rPr>
      </w:pPr>
      <w:r>
        <w:rPr>
          <w:sz w:val="24"/>
          <w:szCs w:val="24"/>
        </w:rPr>
        <w:t>6、每个包装箱应有明显标志，并具有中文书写的合同号、装运标志、发货和到货地点名称、发货人和收货人名称、货物名称和项目号、箱号和外型尺寸等内容。</w:t>
      </w:r>
    </w:p>
    <w:p w14:paraId="171B3717">
      <w:pPr>
        <w:rPr>
          <w:sz w:val="24"/>
          <w:szCs w:val="24"/>
        </w:rPr>
      </w:pPr>
      <w:r>
        <w:rPr>
          <w:sz w:val="24"/>
          <w:szCs w:val="24"/>
        </w:rPr>
        <w:t>7、应按照不同的装运要求在包装箱上标明“小心轻放”、“箭头向上”、“防潮”、“防磁”、“不准平放”等标志，以及其他适用的国标通用标志。</w:t>
      </w:r>
    </w:p>
    <w:p w14:paraId="48BC2C4C">
      <w:pPr>
        <w:rPr>
          <w:sz w:val="24"/>
          <w:szCs w:val="24"/>
        </w:rPr>
      </w:pPr>
      <w:r>
        <w:rPr>
          <w:sz w:val="24"/>
          <w:szCs w:val="24"/>
        </w:rPr>
        <w:t>8、包装箱应连续编号，不应出现重复编号。</w:t>
      </w:r>
    </w:p>
    <w:p w14:paraId="707FD7C1">
      <w:pPr>
        <w:rPr>
          <w:sz w:val="24"/>
          <w:szCs w:val="24"/>
        </w:rPr>
      </w:pPr>
      <w:r>
        <w:rPr>
          <w:sz w:val="24"/>
          <w:szCs w:val="24"/>
        </w:rPr>
        <w:t>9、在不受到外界破坏情况下，包装应保证自交货日起一年内货物（或设备）完好无损。</w:t>
      </w:r>
    </w:p>
    <w:p w14:paraId="58B58E27">
      <w:pPr>
        <w:rPr>
          <w:sz w:val="24"/>
          <w:szCs w:val="24"/>
        </w:rPr>
      </w:pPr>
      <w:r>
        <w:rPr>
          <w:rFonts w:hint="eastAsia"/>
          <w:sz w:val="24"/>
          <w:szCs w:val="24"/>
        </w:rPr>
        <w:t>五、运输</w:t>
      </w:r>
    </w:p>
    <w:p w14:paraId="664E4DAD">
      <w:pPr>
        <w:rPr>
          <w:sz w:val="24"/>
          <w:szCs w:val="24"/>
        </w:rPr>
      </w:pPr>
      <w:r>
        <w:rPr>
          <w:sz w:val="24"/>
          <w:szCs w:val="24"/>
        </w:rPr>
        <w:t>1、应负责将货物（或设备）运到目的地，并必须做到货物（或设备）在任何运输过程中不受损坏和遗失。</w:t>
      </w:r>
    </w:p>
    <w:p w14:paraId="40353E7F">
      <w:pPr>
        <w:rPr>
          <w:sz w:val="24"/>
          <w:szCs w:val="24"/>
        </w:rPr>
      </w:pPr>
      <w:r>
        <w:rPr>
          <w:sz w:val="24"/>
          <w:szCs w:val="24"/>
        </w:rPr>
        <w:t>2、一般情况下，经由铁路、公路运输的包装件尺寸和重量不应超过国家所规定的尺寸限制。特殊情况应予以说明。</w:t>
      </w:r>
    </w:p>
    <w:p w14:paraId="20BDFB35">
      <w:pPr>
        <w:rPr>
          <w:sz w:val="24"/>
          <w:szCs w:val="24"/>
        </w:rPr>
      </w:pPr>
      <w:r>
        <w:rPr>
          <w:sz w:val="24"/>
          <w:szCs w:val="24"/>
        </w:rPr>
        <w:t>3、在每批货物（或设备）发出后，应立即通知买方；通知中应指明：合同号、货运单号、件数、重量和货物（或设备）发出日期等相关内容。</w:t>
      </w:r>
    </w:p>
    <w:p w14:paraId="276E9292">
      <w:pPr>
        <w:rPr>
          <w:sz w:val="24"/>
          <w:szCs w:val="24"/>
        </w:rPr>
      </w:pPr>
      <w:r>
        <w:rPr>
          <w:sz w:val="24"/>
          <w:szCs w:val="24"/>
        </w:rPr>
        <w:t>4、货物（或设备）运抵交货地点后，应负责货物（或设备）的卸货、搬运、保管等事宜；或按照合同约定。</w:t>
      </w:r>
    </w:p>
    <w:p w14:paraId="2E522FD9">
      <w:pPr>
        <w:rPr>
          <w:sz w:val="24"/>
          <w:szCs w:val="24"/>
        </w:rPr>
      </w:pPr>
      <w:r>
        <w:rPr>
          <w:sz w:val="24"/>
          <w:szCs w:val="24"/>
        </w:rPr>
        <w:t>第</w:t>
      </w:r>
      <w:r>
        <w:rPr>
          <w:rFonts w:hint="eastAsia"/>
          <w:sz w:val="24"/>
          <w:szCs w:val="24"/>
        </w:rPr>
        <w:t>四</w:t>
      </w:r>
      <w:r>
        <w:rPr>
          <w:sz w:val="24"/>
          <w:szCs w:val="24"/>
        </w:rPr>
        <w:t>章  质保期及售后服务</w:t>
      </w:r>
    </w:p>
    <w:p w14:paraId="6E33C8B0">
      <w:pPr>
        <w:rPr>
          <w:sz w:val="24"/>
          <w:szCs w:val="24"/>
        </w:rPr>
      </w:pPr>
      <w:r>
        <w:rPr>
          <w:rFonts w:hint="eastAsia"/>
          <w:sz w:val="24"/>
          <w:szCs w:val="24"/>
        </w:rPr>
        <w:t>一、质保期及质保要求</w:t>
      </w:r>
    </w:p>
    <w:p w14:paraId="25881F9A">
      <w:pPr>
        <w:rPr>
          <w:sz w:val="24"/>
          <w:szCs w:val="24"/>
        </w:rPr>
      </w:pPr>
      <w:r>
        <w:rPr>
          <w:sz w:val="24"/>
          <w:szCs w:val="24"/>
        </w:rPr>
        <w:t>1、全部供货范围内的设备、材料、零配件和工器具等，除合同特别约定外，其质保期均自终验收签字生效之日起</w:t>
      </w:r>
      <w:r>
        <w:rPr>
          <w:rFonts w:hint="eastAsia"/>
          <w:sz w:val="24"/>
          <w:szCs w:val="24"/>
          <w:u w:val="single"/>
        </w:rPr>
        <w:t xml:space="preserve"> </w:t>
      </w:r>
      <w:r>
        <w:rPr>
          <w:sz w:val="24"/>
          <w:szCs w:val="24"/>
          <w:u w:val="single"/>
        </w:rPr>
        <w:t>12</w:t>
      </w:r>
      <w:r>
        <w:rPr>
          <w:rFonts w:hint="eastAsia"/>
          <w:sz w:val="24"/>
          <w:szCs w:val="24"/>
          <w:u w:val="single"/>
        </w:rPr>
        <w:t xml:space="preserve"> </w:t>
      </w:r>
      <w:r>
        <w:rPr>
          <w:sz w:val="24"/>
          <w:szCs w:val="24"/>
        </w:rPr>
        <w:t>个月。</w:t>
      </w:r>
    </w:p>
    <w:p w14:paraId="7366C27A">
      <w:pPr>
        <w:rPr>
          <w:sz w:val="24"/>
          <w:szCs w:val="24"/>
        </w:rPr>
      </w:pPr>
      <w:r>
        <w:rPr>
          <w:sz w:val="24"/>
          <w:szCs w:val="24"/>
        </w:rPr>
        <w:t>投标货物或涉及的关键总成和零件，如果有更长时间质保期，允许更改并说明，此将有利于投标方。设计使用寿命短于质保期的易损件除外，但属于易损件的，应当有明确说明。</w:t>
      </w:r>
    </w:p>
    <w:p w14:paraId="3B20649A">
      <w:pPr>
        <w:rPr>
          <w:sz w:val="24"/>
          <w:szCs w:val="24"/>
        </w:rPr>
      </w:pPr>
      <w:r>
        <w:rPr>
          <w:sz w:val="24"/>
          <w:szCs w:val="24"/>
        </w:rPr>
        <w:t>2、质保期之内，如果货物出现设备、总成、关键零部件或者多处一般零部件的二次以上的更换或维修行为，则质保期自更换或维修行为结束、货物重新正常运行使用之日起重新计算。</w:t>
      </w:r>
    </w:p>
    <w:p w14:paraId="1A23D281">
      <w:pPr>
        <w:rPr>
          <w:sz w:val="24"/>
          <w:szCs w:val="24"/>
        </w:rPr>
      </w:pPr>
      <w:r>
        <w:rPr>
          <w:sz w:val="24"/>
          <w:szCs w:val="24"/>
        </w:rPr>
        <w:t>3、质保期内免费提供零部件和及时有效的服务。质保期内因货物本身缺陷造成的各种故障，卖方应负责免费维修和服务。</w:t>
      </w:r>
    </w:p>
    <w:p w14:paraId="7BDDE184">
      <w:pPr>
        <w:rPr>
          <w:sz w:val="24"/>
          <w:szCs w:val="24"/>
        </w:rPr>
      </w:pPr>
      <w:r>
        <w:rPr>
          <w:sz w:val="24"/>
          <w:szCs w:val="24"/>
        </w:rPr>
        <w:t>4、质保期终止之日起一年内重复出现的质保期之内出现的故障，仍属质保范围而且应当免费。</w:t>
      </w:r>
    </w:p>
    <w:p w14:paraId="2A9FFDBD">
      <w:pPr>
        <w:rPr>
          <w:sz w:val="24"/>
          <w:szCs w:val="24"/>
        </w:rPr>
      </w:pPr>
      <w:r>
        <w:rPr>
          <w:rFonts w:hint="eastAsia"/>
          <w:sz w:val="24"/>
          <w:szCs w:val="24"/>
        </w:rPr>
        <w:t>二、技术及培训服务</w:t>
      </w:r>
    </w:p>
    <w:p w14:paraId="38F5C59B">
      <w:pPr>
        <w:rPr>
          <w:sz w:val="24"/>
          <w:szCs w:val="24"/>
        </w:rPr>
      </w:pPr>
      <w:r>
        <w:rPr>
          <w:sz w:val="24"/>
          <w:szCs w:val="24"/>
        </w:rPr>
        <w:t>1</w:t>
      </w:r>
      <w:r>
        <w:rPr>
          <w:rFonts w:hint="eastAsia"/>
          <w:sz w:val="24"/>
          <w:szCs w:val="24"/>
        </w:rPr>
        <w:t>、应负责在买方货物使用现场，对技术、维修和操作人员提供免费的理论、技术和操作、维修等方面的技术指导和培训，并接受买方有关人员的技术咨询。培训工作日不少于</w:t>
      </w:r>
      <w:r>
        <w:rPr>
          <w:rFonts w:hint="eastAsia"/>
          <w:sz w:val="24"/>
          <w:szCs w:val="24"/>
          <w:u w:val="single"/>
        </w:rPr>
        <w:t>3</w:t>
      </w:r>
      <w:r>
        <w:rPr>
          <w:rFonts w:hint="eastAsia"/>
          <w:sz w:val="24"/>
          <w:szCs w:val="24"/>
        </w:rPr>
        <w:t>个工作日。</w:t>
      </w:r>
    </w:p>
    <w:p w14:paraId="5A49ADC6">
      <w:pPr>
        <w:rPr>
          <w:color w:val="FF0000"/>
          <w:sz w:val="24"/>
          <w:szCs w:val="24"/>
        </w:rPr>
      </w:pPr>
      <w:r>
        <w:rPr>
          <w:sz w:val="24"/>
          <w:szCs w:val="24"/>
        </w:rPr>
        <w:t>2、应免费提供</w:t>
      </w:r>
      <w:r>
        <w:rPr>
          <w:rFonts w:hint="eastAsia"/>
          <w:sz w:val="24"/>
          <w:szCs w:val="24"/>
        </w:rPr>
        <w:t>设备操作、维护保养及典型故障排除等方面</w:t>
      </w:r>
      <w:r>
        <w:rPr>
          <w:sz w:val="24"/>
          <w:szCs w:val="24"/>
        </w:rPr>
        <w:t>的培训资料。</w:t>
      </w:r>
    </w:p>
    <w:p w14:paraId="06E813FA">
      <w:pPr>
        <w:rPr>
          <w:sz w:val="24"/>
          <w:szCs w:val="24"/>
        </w:rPr>
      </w:pPr>
      <w:r>
        <w:rPr>
          <w:sz w:val="24"/>
          <w:szCs w:val="24"/>
        </w:rPr>
        <w:t>3、应按要求免费积极协助和提供买方以及买方所委托的工程设计单位有关人员所需要的、与货物有关的工程设计资料、技术咨询等。</w:t>
      </w:r>
    </w:p>
    <w:p w14:paraId="1E8307A5">
      <w:pPr>
        <w:rPr>
          <w:sz w:val="24"/>
          <w:szCs w:val="24"/>
        </w:rPr>
      </w:pPr>
      <w:r>
        <w:rPr>
          <w:sz w:val="24"/>
          <w:szCs w:val="24"/>
        </w:rPr>
        <w:t>4、若卖方提供货物涉及到外购外协货物、而且该货物的技术质量等较为关键时，卖方应能保证得到配套厂家的技术支持，并免费为买方提供技术服务。</w:t>
      </w:r>
    </w:p>
    <w:p w14:paraId="7EBFEC11">
      <w:pPr>
        <w:rPr>
          <w:sz w:val="24"/>
          <w:szCs w:val="24"/>
        </w:rPr>
      </w:pPr>
      <w:r>
        <w:rPr>
          <w:sz w:val="24"/>
          <w:szCs w:val="24"/>
        </w:rPr>
        <w:t>5、负责制定对买方人员在运行、维修和试验等方面的培训计划，并有专人负责实施培训计划，负责指导买方受培训人员正确理解设计和制造意图，认识设备的特点和特性，掌握在运行、维修和使用管理中应遵守的规则等方面的综合知识。</w:t>
      </w:r>
    </w:p>
    <w:p w14:paraId="524FDE40">
      <w:pPr>
        <w:rPr>
          <w:sz w:val="24"/>
          <w:szCs w:val="24"/>
        </w:rPr>
      </w:pPr>
      <w:r>
        <w:rPr>
          <w:rFonts w:hint="eastAsia"/>
          <w:sz w:val="24"/>
          <w:szCs w:val="24"/>
        </w:rPr>
        <w:t>三、安装调试及验收服务</w:t>
      </w:r>
    </w:p>
    <w:p w14:paraId="7690C2ED">
      <w:pPr>
        <w:rPr>
          <w:sz w:val="24"/>
          <w:szCs w:val="24"/>
        </w:rPr>
      </w:pPr>
      <w:r>
        <w:rPr>
          <w:sz w:val="24"/>
          <w:szCs w:val="24"/>
        </w:rPr>
        <w:t>1、指导安装调试或负责安装调试以及协助验收，投标方均应在投标档中明确其收费额或免费约定，否则视同免费；安装调试及验收服务均应按照合同约定或协议、通知及时组织并完成。因卖方原因造成的延期，所发生的费用全部由卖方承担。</w:t>
      </w:r>
    </w:p>
    <w:p w14:paraId="4CEF3D89">
      <w:pPr>
        <w:rPr>
          <w:sz w:val="24"/>
          <w:szCs w:val="24"/>
        </w:rPr>
      </w:pPr>
      <w:r>
        <w:rPr>
          <w:sz w:val="24"/>
          <w:szCs w:val="24"/>
        </w:rPr>
        <w:t>2、若卖方提供的货物涉及到外购外协货物、而且该货物的技术质量等较为关键时，应保证能得到供应商的技术支持，并免费为买方提供安装使用现场的指导与培训。</w:t>
      </w:r>
    </w:p>
    <w:p w14:paraId="30CB33C4">
      <w:pPr>
        <w:rPr>
          <w:sz w:val="24"/>
          <w:szCs w:val="24"/>
        </w:rPr>
      </w:pPr>
      <w:r>
        <w:rPr>
          <w:sz w:val="24"/>
          <w:szCs w:val="24"/>
        </w:rPr>
        <w:t>3、根据货物的要求，调试及验收可分空载和负载两个阶段进行；买方将积极协助卖方达到货物的各项技术指标和性能要求。卖方在买方现场进行的货物的安装、调试和试运行，买方有权参与，卖方应无条件向买方提供现场记录和试运行数据及报告。</w:t>
      </w:r>
    </w:p>
    <w:p w14:paraId="626C4BD8">
      <w:pPr>
        <w:rPr>
          <w:sz w:val="24"/>
          <w:szCs w:val="24"/>
        </w:rPr>
      </w:pPr>
      <w:r>
        <w:rPr>
          <w:sz w:val="24"/>
          <w:szCs w:val="24"/>
        </w:rPr>
        <w:t>4、在卖方所提供货物需要得到买方建设项目所在地政府或行业主管部门的查验、试验、验收时，卖方应当免费完成或协助招标方完成所需要的工作、材料和服务等。协助完成的，应当在投标档报价内容中予以说明，否则视同免费。</w:t>
      </w:r>
    </w:p>
    <w:p w14:paraId="51240FA0">
      <w:pPr>
        <w:rPr>
          <w:sz w:val="24"/>
          <w:szCs w:val="24"/>
        </w:rPr>
      </w:pPr>
      <w:r>
        <w:rPr>
          <w:sz w:val="24"/>
          <w:szCs w:val="24"/>
        </w:rPr>
        <w:t>5、卖方应当向买方提供货物试验、验收的有关标准、规范和方法，同时提供货物涉及并使用的软件合法性证明。</w:t>
      </w:r>
    </w:p>
    <w:p w14:paraId="02E28CD8">
      <w:pPr>
        <w:rPr>
          <w:sz w:val="24"/>
          <w:szCs w:val="24"/>
        </w:rPr>
      </w:pPr>
      <w:r>
        <w:rPr>
          <w:sz w:val="24"/>
          <w:szCs w:val="24"/>
        </w:rPr>
        <w:t>6、服务缺陷视同货物缺陷和履约延期。</w:t>
      </w:r>
    </w:p>
    <w:p w14:paraId="71B20F16">
      <w:pPr>
        <w:rPr>
          <w:sz w:val="24"/>
          <w:szCs w:val="24"/>
        </w:rPr>
      </w:pPr>
      <w:r>
        <w:rPr>
          <w:rFonts w:hint="eastAsia"/>
          <w:sz w:val="24"/>
          <w:szCs w:val="24"/>
        </w:rPr>
        <w:t>四、售后服务</w:t>
      </w:r>
    </w:p>
    <w:p w14:paraId="12004F7A">
      <w:pPr>
        <w:rPr>
          <w:sz w:val="24"/>
          <w:szCs w:val="24"/>
        </w:rPr>
      </w:pPr>
      <w:r>
        <w:rPr>
          <w:sz w:val="24"/>
          <w:szCs w:val="24"/>
        </w:rPr>
        <w:t>1、卖方提供的货物涉及的所有售后服务均由卖方负责。如果发生问题并且收到通知，卖方应当在2小时内予以答复。</w:t>
      </w:r>
    </w:p>
    <w:p w14:paraId="06B03680">
      <w:pPr>
        <w:rPr>
          <w:sz w:val="24"/>
          <w:szCs w:val="24"/>
        </w:rPr>
      </w:pPr>
      <w:r>
        <w:rPr>
          <w:sz w:val="24"/>
          <w:szCs w:val="24"/>
        </w:rPr>
        <w:t>2、</w:t>
      </w:r>
      <w:r>
        <w:rPr>
          <w:rFonts w:hint="eastAsia"/>
          <w:sz w:val="24"/>
          <w:szCs w:val="24"/>
        </w:rPr>
        <w:t>终验收合格后，质保期一年。在正常运行的情况下，系统出现故障，在接到通知后2小时以内予以答复，并在24小时以内派出服务人员，无偿维修；在质保期满后，投标方在接到通知后2小时以内予以答复，并在24小时以内派出服务人员</w:t>
      </w:r>
      <w:r>
        <w:rPr>
          <w:sz w:val="24"/>
          <w:szCs w:val="24"/>
        </w:rPr>
        <w:t>。</w:t>
      </w:r>
    </w:p>
    <w:p w14:paraId="40B8C17A">
      <w:pPr>
        <w:rPr>
          <w:sz w:val="24"/>
          <w:szCs w:val="24"/>
        </w:rPr>
      </w:pPr>
      <w:r>
        <w:rPr>
          <w:sz w:val="24"/>
          <w:szCs w:val="24"/>
        </w:rPr>
        <w:t>3、卖方派往买方使用现场的人员，应具有较高的业务素质；现场解决问题时，不得无故拖延或推迟，应为买方提供最佳的服务。</w:t>
      </w:r>
    </w:p>
    <w:p w14:paraId="17C0B110">
      <w:pPr>
        <w:rPr>
          <w:sz w:val="24"/>
          <w:szCs w:val="24"/>
        </w:rPr>
      </w:pPr>
      <w:r>
        <w:rPr>
          <w:rFonts w:hint="eastAsia"/>
          <w:sz w:val="24"/>
          <w:szCs w:val="24"/>
        </w:rPr>
        <w:t>五、其他服务</w:t>
      </w:r>
    </w:p>
    <w:p w14:paraId="041A885B">
      <w:pPr>
        <w:rPr>
          <w:sz w:val="24"/>
          <w:szCs w:val="24"/>
        </w:rPr>
      </w:pPr>
      <w:r>
        <w:rPr>
          <w:sz w:val="24"/>
          <w:szCs w:val="24"/>
        </w:rPr>
        <w:t>1、若卖方所提供货物有需要进口的，卖方一般应自行、自费办理；必要时，买卖双方共同办理。</w:t>
      </w:r>
    </w:p>
    <w:p w14:paraId="518D228F">
      <w:pPr>
        <w:rPr>
          <w:sz w:val="24"/>
          <w:szCs w:val="24"/>
        </w:rPr>
      </w:pPr>
      <w:r>
        <w:rPr>
          <w:sz w:val="24"/>
          <w:szCs w:val="24"/>
        </w:rPr>
        <w:t>2、除招标档、投标档、答疑档、技术协议、合同等约定之外，卖方应免费负责必要的或强制性的货物的检验、试验、化验等直接费用。</w:t>
      </w:r>
    </w:p>
    <w:p w14:paraId="3520718D">
      <w:pPr>
        <w:rPr>
          <w:sz w:val="24"/>
          <w:szCs w:val="24"/>
        </w:rPr>
      </w:pPr>
      <w:r>
        <w:rPr>
          <w:sz w:val="24"/>
          <w:szCs w:val="24"/>
        </w:rPr>
        <w:t>3、本章节条款所列“免费”，并非指定不可收费，而是指招标档、投标档、答疑档、技术交流档、技术协议书和合同等范围之外，投标方不可另行收取的费用。</w:t>
      </w:r>
    </w:p>
    <w:p w14:paraId="3B03EA5D">
      <w:pPr>
        <w:jc w:val="center"/>
        <w:rPr>
          <w:sz w:val="24"/>
          <w:szCs w:val="24"/>
        </w:rPr>
      </w:pPr>
      <w:r>
        <w:rPr>
          <w:rFonts w:eastAsia="黑体"/>
          <w:bCs/>
          <w:sz w:val="24"/>
          <w:szCs w:val="24"/>
        </w:rPr>
        <w:br w:type="page"/>
      </w:r>
    </w:p>
    <w:p w14:paraId="3700352E">
      <w:pPr>
        <w:spacing w:line="360" w:lineRule="auto"/>
        <w:ind w:firstLine="2711" w:firstLineChars="750"/>
        <w:rPr>
          <w:sz w:val="36"/>
          <w:szCs w:val="36"/>
        </w:rPr>
      </w:pPr>
      <w:r>
        <w:rPr>
          <w:rFonts w:hint="eastAsia" w:ascii="宋体" w:hAnsi="宋体"/>
          <w:b/>
          <w:sz w:val="36"/>
          <w:szCs w:val="36"/>
        </w:rPr>
        <w:t>第六部分</w:t>
      </w:r>
      <w:r>
        <w:rPr>
          <w:rFonts w:hint="eastAsia" w:ascii="宋体" w:hAnsi="宋体"/>
          <w:sz w:val="36"/>
          <w:szCs w:val="36"/>
        </w:rPr>
        <w:t xml:space="preserve">  </w:t>
      </w:r>
      <w:r>
        <w:rPr>
          <w:b/>
          <w:sz w:val="36"/>
          <w:szCs w:val="36"/>
        </w:rPr>
        <w:t>预验收和终验收</w:t>
      </w:r>
    </w:p>
    <w:p w14:paraId="08BE3D1F">
      <w:pPr>
        <w:rPr>
          <w:sz w:val="24"/>
          <w:szCs w:val="24"/>
        </w:rPr>
      </w:pPr>
      <w:r>
        <w:rPr>
          <w:rFonts w:hint="eastAsia"/>
          <w:sz w:val="24"/>
          <w:szCs w:val="24"/>
        </w:rPr>
        <w:t>一、验收依据和验收标准</w:t>
      </w:r>
    </w:p>
    <w:p w14:paraId="607F1645">
      <w:pPr>
        <w:rPr>
          <w:sz w:val="24"/>
          <w:szCs w:val="24"/>
        </w:rPr>
      </w:pPr>
      <w:r>
        <w:rPr>
          <w:sz w:val="24"/>
          <w:szCs w:val="24"/>
        </w:rPr>
        <w:t>1、验收标准一般以技术协议书和合同规定验收。无论技术协议书和合同，是否全部并准确列明验收所涉及的相关标准，均作为验收标准之一。</w:t>
      </w:r>
    </w:p>
    <w:p w14:paraId="6F04F67D">
      <w:pPr>
        <w:rPr>
          <w:sz w:val="24"/>
          <w:szCs w:val="24"/>
        </w:rPr>
      </w:pPr>
      <w:r>
        <w:rPr>
          <w:sz w:val="24"/>
          <w:szCs w:val="24"/>
        </w:rPr>
        <w:t>2、如果验收过程中，发现招标档、投标档、答疑档、技术交流档等与技术协议书、合同存在差异，原则上以涉及条款中对买方最有利条款为验收依据。</w:t>
      </w:r>
    </w:p>
    <w:p w14:paraId="4832B161">
      <w:pPr>
        <w:rPr>
          <w:sz w:val="24"/>
          <w:szCs w:val="24"/>
        </w:rPr>
      </w:pPr>
      <w:r>
        <w:rPr>
          <w:rFonts w:hint="eastAsia"/>
          <w:sz w:val="24"/>
          <w:szCs w:val="24"/>
        </w:rPr>
        <w:t>二、检验</w:t>
      </w:r>
    </w:p>
    <w:p w14:paraId="55C3DE82">
      <w:pPr>
        <w:ind w:firstLine="480" w:firstLineChars="200"/>
        <w:rPr>
          <w:sz w:val="24"/>
          <w:szCs w:val="24"/>
        </w:rPr>
      </w:pPr>
      <w:r>
        <w:rPr>
          <w:sz w:val="24"/>
          <w:szCs w:val="24"/>
        </w:rPr>
        <w:t>如果采购货物涉及必要的或必需的检验，投标方应当在投标档中明确可能涉及的检验费用，并将该费用包含在投标总报价之内；不作针对性澄清或说明的，视同包含在投标总价之内。基本约定如下：</w:t>
      </w:r>
    </w:p>
    <w:p w14:paraId="0936F93B">
      <w:pPr>
        <w:rPr>
          <w:sz w:val="24"/>
          <w:szCs w:val="24"/>
        </w:rPr>
      </w:pPr>
      <w:r>
        <w:rPr>
          <w:sz w:val="24"/>
          <w:szCs w:val="24"/>
        </w:rPr>
        <w:t>1、国产货物的检验一般由买卖双方共同进行或按照合同要求进行。</w:t>
      </w:r>
    </w:p>
    <w:p w14:paraId="6B268A24">
      <w:pPr>
        <w:rPr>
          <w:sz w:val="24"/>
          <w:szCs w:val="24"/>
        </w:rPr>
      </w:pPr>
      <w:r>
        <w:rPr>
          <w:sz w:val="24"/>
          <w:szCs w:val="24"/>
        </w:rPr>
        <w:t>2、进口货物的检验，卖方需要按照下述要求进行：</w:t>
      </w:r>
    </w:p>
    <w:p w14:paraId="2C957150">
      <w:pPr>
        <w:rPr>
          <w:sz w:val="24"/>
          <w:szCs w:val="24"/>
        </w:rPr>
      </w:pPr>
      <w:r>
        <w:rPr>
          <w:sz w:val="24"/>
          <w:szCs w:val="24"/>
        </w:rPr>
        <w:t>2.1  进口货物发货前，应对货物的质量、型号、规格、性能和数量/重量作精密、全面的检验，并出具证明书，证明所供货物符合合同规定。</w:t>
      </w:r>
    </w:p>
    <w:p w14:paraId="7A46E854">
      <w:pPr>
        <w:rPr>
          <w:sz w:val="24"/>
          <w:szCs w:val="24"/>
        </w:rPr>
      </w:pPr>
      <w:r>
        <w:rPr>
          <w:sz w:val="24"/>
          <w:szCs w:val="24"/>
        </w:rPr>
        <w:t>2.2  应依据合同规定的要求，提供买卖双方达成一致的货物的验收标准和装箱单，作为买方检验的依据。</w:t>
      </w:r>
    </w:p>
    <w:p w14:paraId="421CB0B3">
      <w:pPr>
        <w:rPr>
          <w:sz w:val="24"/>
          <w:szCs w:val="24"/>
        </w:rPr>
      </w:pPr>
      <w:r>
        <w:rPr>
          <w:sz w:val="24"/>
          <w:szCs w:val="24"/>
        </w:rPr>
        <w:t>2.3  进口货物到达目的地后，买方有权申请中国商品检验检疫局进行检验，如发现货物的质量及规格与合同或发票不符，除买方的责任外，买方有权在货物到达卸货目的地后180个日历日内，根据中国商品检验检疫局出具的证明书向卖方提出索赔，因索赔所发生的一切费用(包括检验检疫费等)均由卖方承担。</w:t>
      </w:r>
    </w:p>
    <w:p w14:paraId="393FAD92">
      <w:pPr>
        <w:pStyle w:val="2"/>
      </w:pPr>
    </w:p>
    <w:p w14:paraId="034E1D3F">
      <w:pPr>
        <w:pStyle w:val="2"/>
      </w:pPr>
    </w:p>
    <w:p w14:paraId="5B174CF4">
      <w:pPr>
        <w:pStyle w:val="2"/>
      </w:pPr>
    </w:p>
    <w:p w14:paraId="74C8DF47">
      <w:pPr>
        <w:pStyle w:val="2"/>
      </w:pPr>
    </w:p>
    <w:p w14:paraId="3C450923">
      <w:pPr>
        <w:spacing w:line="360" w:lineRule="auto"/>
        <w:rPr>
          <w:sz w:val="24"/>
          <w:szCs w:val="24"/>
        </w:rPr>
      </w:pPr>
      <w:r>
        <w:rPr>
          <w:rFonts w:hint="eastAsia"/>
          <w:sz w:val="24"/>
          <w:szCs w:val="24"/>
        </w:rPr>
        <w:t xml:space="preserve">三、 </w:t>
      </w:r>
      <w:r>
        <w:rPr>
          <w:sz w:val="24"/>
          <w:szCs w:val="24"/>
        </w:rPr>
        <w:t>预验收和终验收</w:t>
      </w:r>
    </w:p>
    <w:p w14:paraId="1682E6A7">
      <w:pPr>
        <w:spacing w:line="360" w:lineRule="auto"/>
        <w:rPr>
          <w:sz w:val="24"/>
          <w:szCs w:val="24"/>
        </w:rPr>
      </w:pPr>
      <w:r>
        <w:rPr>
          <w:sz w:val="24"/>
          <w:szCs w:val="24"/>
        </w:rPr>
        <w:t>1</w:t>
      </w:r>
      <w:r>
        <w:rPr>
          <w:rFonts w:hint="eastAsia"/>
          <w:sz w:val="24"/>
          <w:szCs w:val="24"/>
        </w:rPr>
        <w:t>、</w:t>
      </w:r>
      <w:r>
        <w:rPr>
          <w:sz w:val="24"/>
          <w:szCs w:val="24"/>
        </w:rPr>
        <w:t xml:space="preserve"> 预验收一般条件</w:t>
      </w:r>
    </w:p>
    <w:p w14:paraId="6AF42DE3">
      <w:pPr>
        <w:spacing w:line="360" w:lineRule="auto"/>
        <w:rPr>
          <w:sz w:val="24"/>
          <w:szCs w:val="24"/>
        </w:rPr>
      </w:pPr>
      <w:r>
        <w:rPr>
          <w:rFonts w:hint="eastAsia"/>
          <w:sz w:val="24"/>
          <w:szCs w:val="24"/>
        </w:rPr>
        <w:t>（1）</w:t>
      </w:r>
      <w:r>
        <w:rPr>
          <w:sz w:val="24"/>
          <w:szCs w:val="24"/>
        </w:rPr>
        <w:t>卖方已经按照“供货范围”要求提供了预验收资料，并且资料齐全、完整和有效。</w:t>
      </w:r>
    </w:p>
    <w:p w14:paraId="5F6660E8">
      <w:pPr>
        <w:spacing w:line="360" w:lineRule="auto"/>
        <w:rPr>
          <w:sz w:val="24"/>
          <w:szCs w:val="24"/>
        </w:rPr>
      </w:pPr>
      <w:r>
        <w:rPr>
          <w:rFonts w:hint="eastAsia"/>
          <w:sz w:val="24"/>
          <w:szCs w:val="24"/>
        </w:rPr>
        <w:t>（2）</w:t>
      </w:r>
      <w:r>
        <w:rPr>
          <w:sz w:val="24"/>
          <w:szCs w:val="24"/>
        </w:rPr>
        <w:t>货物应完整且所有的零部件应该安装牢固，外观无损伤，所有的焊缝饱满、无残渣等缺陷。</w:t>
      </w:r>
    </w:p>
    <w:p w14:paraId="481332EC">
      <w:pPr>
        <w:pStyle w:val="2"/>
        <w:rPr>
          <w:sz w:val="24"/>
          <w:szCs w:val="24"/>
        </w:rPr>
      </w:pPr>
      <w:r>
        <w:rPr>
          <w:rFonts w:hint="eastAsia"/>
          <w:sz w:val="24"/>
          <w:szCs w:val="24"/>
        </w:rPr>
        <w:t>（3）2套砂芯定位校准装置、3套托板定位装置、4套循环辊道线缓冲装置、1副615缸盖芯转运夹具发货前须手动通气测试，所有运动部件要求运行顺畅，动作无误。</w:t>
      </w:r>
    </w:p>
    <w:p w14:paraId="7CB84182">
      <w:pPr>
        <w:spacing w:line="360" w:lineRule="auto"/>
        <w:rPr>
          <w:sz w:val="24"/>
          <w:szCs w:val="24"/>
        </w:rPr>
      </w:pPr>
      <w:r>
        <w:rPr>
          <w:rFonts w:hint="eastAsia"/>
          <w:sz w:val="24"/>
          <w:szCs w:val="24"/>
        </w:rPr>
        <w:t>（4）</w:t>
      </w:r>
      <w:r>
        <w:rPr>
          <w:sz w:val="24"/>
          <w:szCs w:val="24"/>
        </w:rPr>
        <w:t>所有的传动部分、管路和线路等，接头应完整、可靠地联接；应排列有序（正确、牢固、整齐），有必要的防护，无皱褶、收缩和裂缝等不良现象。</w:t>
      </w:r>
    </w:p>
    <w:p w14:paraId="5D268CE1">
      <w:pPr>
        <w:spacing w:line="360" w:lineRule="auto"/>
        <w:rPr>
          <w:sz w:val="24"/>
          <w:szCs w:val="24"/>
        </w:rPr>
      </w:pPr>
      <w:r>
        <w:rPr>
          <w:rFonts w:hint="eastAsia"/>
          <w:sz w:val="24"/>
          <w:szCs w:val="24"/>
        </w:rPr>
        <w:t>（5）</w:t>
      </w:r>
      <w:r>
        <w:rPr>
          <w:sz w:val="24"/>
          <w:szCs w:val="24"/>
        </w:rPr>
        <w:t>货物的润滑系统工作正常、可靠，润滑点易于到达。</w:t>
      </w:r>
    </w:p>
    <w:p w14:paraId="064102DB">
      <w:pPr>
        <w:spacing w:line="360" w:lineRule="auto"/>
        <w:rPr>
          <w:sz w:val="24"/>
          <w:szCs w:val="24"/>
        </w:rPr>
      </w:pPr>
      <w:r>
        <w:rPr>
          <w:rFonts w:hint="eastAsia"/>
          <w:sz w:val="24"/>
          <w:szCs w:val="24"/>
        </w:rPr>
        <w:t>（6）</w:t>
      </w:r>
      <w:r>
        <w:rPr>
          <w:sz w:val="24"/>
          <w:szCs w:val="24"/>
        </w:rPr>
        <w:t>货物的油漆质量应饱满、有光泽，无掉漆、无色差、无“桔皮”等不良现象（特殊标志除外）。</w:t>
      </w:r>
    </w:p>
    <w:p w14:paraId="6AEC8D62">
      <w:pPr>
        <w:spacing w:line="360" w:lineRule="auto"/>
        <w:rPr>
          <w:sz w:val="24"/>
          <w:szCs w:val="24"/>
        </w:rPr>
      </w:pPr>
      <w:r>
        <w:rPr>
          <w:rFonts w:hint="eastAsia"/>
          <w:sz w:val="24"/>
          <w:szCs w:val="24"/>
        </w:rPr>
        <w:t>（7）</w:t>
      </w:r>
      <w:r>
        <w:rPr>
          <w:sz w:val="24"/>
          <w:szCs w:val="24"/>
        </w:rPr>
        <w:t>货物标牌完整、清晰、明确。</w:t>
      </w:r>
    </w:p>
    <w:p w14:paraId="2740C6BC">
      <w:pPr>
        <w:spacing w:line="360" w:lineRule="auto"/>
        <w:rPr>
          <w:sz w:val="24"/>
          <w:szCs w:val="24"/>
        </w:rPr>
      </w:pPr>
      <w:r>
        <w:rPr>
          <w:rFonts w:hint="eastAsia"/>
          <w:sz w:val="24"/>
          <w:szCs w:val="24"/>
        </w:rPr>
        <w:t>（8）</w:t>
      </w:r>
      <w:r>
        <w:rPr>
          <w:sz w:val="24"/>
          <w:szCs w:val="24"/>
        </w:rPr>
        <w:t>货物的安全要求符合中国最新的相关法律、法规、标准和规范以及合同要求。</w:t>
      </w:r>
    </w:p>
    <w:p w14:paraId="6F0468B0">
      <w:pPr>
        <w:spacing w:line="360" w:lineRule="auto"/>
        <w:rPr>
          <w:sz w:val="24"/>
          <w:szCs w:val="24"/>
        </w:rPr>
      </w:pPr>
      <w:r>
        <w:rPr>
          <w:sz w:val="24"/>
          <w:szCs w:val="24"/>
        </w:rPr>
        <w:t>2</w:t>
      </w:r>
      <w:r>
        <w:rPr>
          <w:rFonts w:hint="eastAsia"/>
          <w:sz w:val="24"/>
          <w:szCs w:val="24"/>
        </w:rPr>
        <w:t>、</w:t>
      </w:r>
      <w:r>
        <w:rPr>
          <w:sz w:val="24"/>
          <w:szCs w:val="24"/>
        </w:rPr>
        <w:t>终验收一般条件</w:t>
      </w:r>
    </w:p>
    <w:p w14:paraId="0AF6C852">
      <w:pPr>
        <w:spacing w:line="360" w:lineRule="auto"/>
        <w:rPr>
          <w:sz w:val="24"/>
          <w:szCs w:val="24"/>
        </w:rPr>
      </w:pPr>
      <w:r>
        <w:rPr>
          <w:rFonts w:hint="eastAsia"/>
          <w:sz w:val="24"/>
          <w:szCs w:val="24"/>
        </w:rPr>
        <w:t>（1）</w:t>
      </w:r>
      <w:r>
        <w:rPr>
          <w:sz w:val="24"/>
          <w:szCs w:val="24"/>
        </w:rPr>
        <w:t xml:space="preserve"> 经过预验收而且没有出现新的质量问题，或者满足预验收条款。</w:t>
      </w:r>
    </w:p>
    <w:p w14:paraId="4658DC87">
      <w:pPr>
        <w:spacing w:line="360" w:lineRule="auto"/>
        <w:rPr>
          <w:sz w:val="24"/>
          <w:szCs w:val="24"/>
        </w:rPr>
      </w:pPr>
      <w:r>
        <w:rPr>
          <w:rFonts w:hint="eastAsia"/>
          <w:sz w:val="24"/>
          <w:szCs w:val="24"/>
        </w:rPr>
        <w:t>（</w:t>
      </w:r>
      <w:r>
        <w:rPr>
          <w:sz w:val="24"/>
          <w:szCs w:val="24"/>
        </w:rPr>
        <w:t>2</w:t>
      </w:r>
      <w:r>
        <w:rPr>
          <w:rFonts w:hint="eastAsia"/>
          <w:sz w:val="24"/>
          <w:szCs w:val="24"/>
        </w:rPr>
        <w:t>）</w:t>
      </w:r>
      <w:r>
        <w:rPr>
          <w:sz w:val="24"/>
          <w:szCs w:val="24"/>
        </w:rPr>
        <w:t>货物正常运行时，噪声等环境影响因素满足国家和当地环保主管部门规定，安全措施落实、有效。</w:t>
      </w:r>
    </w:p>
    <w:p w14:paraId="2E17E612">
      <w:pPr>
        <w:spacing w:line="360" w:lineRule="auto"/>
        <w:rPr>
          <w:sz w:val="24"/>
          <w:szCs w:val="24"/>
        </w:rPr>
      </w:pPr>
      <w:r>
        <w:rPr>
          <w:rFonts w:hint="eastAsia"/>
          <w:sz w:val="24"/>
          <w:szCs w:val="24"/>
        </w:rPr>
        <w:t>（</w:t>
      </w:r>
      <w:r>
        <w:rPr>
          <w:sz w:val="24"/>
          <w:szCs w:val="24"/>
        </w:rPr>
        <w:t>3</w:t>
      </w:r>
      <w:r>
        <w:rPr>
          <w:rFonts w:hint="eastAsia"/>
          <w:sz w:val="24"/>
          <w:szCs w:val="24"/>
        </w:rPr>
        <w:t>）</w:t>
      </w:r>
      <w:r>
        <w:rPr>
          <w:sz w:val="24"/>
          <w:szCs w:val="24"/>
        </w:rPr>
        <w:t>计量仪器、仪表配套合理，采用中国的法定计量单位，计量准确、灵敏可靠。保证设计指标和仪器说明书的参数的实现。</w:t>
      </w:r>
    </w:p>
    <w:p w14:paraId="6C18CE6F">
      <w:pPr>
        <w:spacing w:line="360" w:lineRule="auto"/>
        <w:rPr>
          <w:sz w:val="24"/>
          <w:szCs w:val="24"/>
        </w:rPr>
      </w:pPr>
      <w:r>
        <w:rPr>
          <w:rFonts w:hint="eastAsia"/>
          <w:sz w:val="24"/>
          <w:szCs w:val="24"/>
        </w:rPr>
        <w:t>（</w:t>
      </w:r>
      <w:r>
        <w:rPr>
          <w:sz w:val="24"/>
          <w:szCs w:val="24"/>
        </w:rPr>
        <w:t>4</w:t>
      </w:r>
      <w:r>
        <w:rPr>
          <w:rFonts w:hint="eastAsia"/>
          <w:sz w:val="24"/>
          <w:szCs w:val="24"/>
        </w:rPr>
        <w:t>）</w:t>
      </w:r>
      <w:r>
        <w:rPr>
          <w:sz w:val="24"/>
          <w:szCs w:val="24"/>
        </w:rPr>
        <w:t>试运行期间或之后无维修、调整等行为（特殊情况除外）。</w:t>
      </w:r>
    </w:p>
    <w:p w14:paraId="26E4D35F">
      <w:pPr>
        <w:spacing w:line="360" w:lineRule="auto"/>
        <w:rPr>
          <w:sz w:val="24"/>
          <w:szCs w:val="24"/>
        </w:rPr>
      </w:pPr>
      <w:r>
        <w:rPr>
          <w:rFonts w:hint="eastAsia"/>
          <w:sz w:val="24"/>
          <w:szCs w:val="24"/>
        </w:rPr>
        <w:t>（</w:t>
      </w:r>
      <w:r>
        <w:rPr>
          <w:sz w:val="24"/>
          <w:szCs w:val="24"/>
        </w:rPr>
        <w:t>5</w:t>
      </w:r>
      <w:r>
        <w:rPr>
          <w:rFonts w:hint="eastAsia"/>
          <w:sz w:val="24"/>
          <w:szCs w:val="24"/>
        </w:rPr>
        <w:t>）能自动连续运行</w:t>
      </w:r>
      <w:r>
        <w:rPr>
          <w:sz w:val="24"/>
          <w:szCs w:val="24"/>
        </w:rPr>
        <w:t>，</w:t>
      </w:r>
      <w:r>
        <w:rPr>
          <w:rFonts w:hint="eastAsia"/>
          <w:sz w:val="24"/>
          <w:szCs w:val="24"/>
        </w:rPr>
        <w:t>主要工艺参数</w:t>
      </w:r>
      <w:r>
        <w:rPr>
          <w:sz w:val="24"/>
          <w:szCs w:val="24"/>
        </w:rPr>
        <w:t>达到签订的技术协议书和合同规定的终验收标准。</w:t>
      </w:r>
    </w:p>
    <w:p w14:paraId="4ABECDBE">
      <w:pPr>
        <w:spacing w:line="360" w:lineRule="auto"/>
        <w:rPr>
          <w:sz w:val="24"/>
          <w:szCs w:val="24"/>
        </w:rPr>
      </w:pPr>
      <w:r>
        <w:rPr>
          <w:sz w:val="24"/>
          <w:szCs w:val="24"/>
        </w:rPr>
        <w:t>3</w:t>
      </w:r>
      <w:r>
        <w:rPr>
          <w:rFonts w:hint="eastAsia"/>
          <w:sz w:val="24"/>
          <w:szCs w:val="24"/>
        </w:rPr>
        <w:t>、</w:t>
      </w:r>
      <w:r>
        <w:rPr>
          <w:sz w:val="24"/>
          <w:szCs w:val="24"/>
        </w:rPr>
        <w:t>终验收基本要求</w:t>
      </w:r>
    </w:p>
    <w:p w14:paraId="192503BC">
      <w:pPr>
        <w:spacing w:line="360" w:lineRule="auto"/>
        <w:rPr>
          <w:sz w:val="24"/>
          <w:szCs w:val="24"/>
        </w:rPr>
      </w:pPr>
      <w:r>
        <w:rPr>
          <w:rFonts w:hint="eastAsia"/>
          <w:sz w:val="24"/>
          <w:szCs w:val="24"/>
        </w:rPr>
        <w:t>（1）</w:t>
      </w:r>
      <w:r>
        <w:rPr>
          <w:sz w:val="24"/>
          <w:szCs w:val="24"/>
        </w:rPr>
        <w:t>升降台</w:t>
      </w:r>
      <w:r>
        <w:rPr>
          <w:rFonts w:hint="eastAsia"/>
          <w:sz w:val="24"/>
          <w:szCs w:val="24"/>
        </w:rPr>
        <w:t>、机器人夹具快换定位储存系统、砂芯转运中转台、砂芯定位校准装置、托板定位装置、循环辊道线缓冲装置、安全围栏等新增设备完成安装并与现有设备（</w:t>
      </w:r>
      <w:r>
        <w:rPr>
          <w:sz w:val="24"/>
          <w:szCs w:val="24"/>
        </w:rPr>
        <w:t>2条组芯线、1台表干炉、1条循环辊道线、1条砂芯合芯输送及下芯系统、BMD造型线、5台机器人等）</w:t>
      </w:r>
      <w:r>
        <w:rPr>
          <w:rFonts w:hint="eastAsia"/>
          <w:sz w:val="24"/>
          <w:szCs w:val="24"/>
        </w:rPr>
        <w:t>已完成数据交换接口并可联动生产。</w:t>
      </w:r>
    </w:p>
    <w:p w14:paraId="7F71A422">
      <w:pPr>
        <w:spacing w:line="360" w:lineRule="auto"/>
        <w:rPr>
          <w:sz w:val="24"/>
          <w:szCs w:val="24"/>
        </w:rPr>
      </w:pPr>
      <w:r>
        <w:rPr>
          <w:rFonts w:hint="eastAsia"/>
          <w:sz w:val="24"/>
          <w:szCs w:val="24"/>
        </w:rPr>
        <w:t>（</w:t>
      </w:r>
      <w:r>
        <w:rPr>
          <w:sz w:val="24"/>
          <w:szCs w:val="24"/>
        </w:rPr>
        <w:t>2</w:t>
      </w:r>
      <w:r>
        <w:rPr>
          <w:rFonts w:hint="eastAsia"/>
          <w:sz w:val="24"/>
          <w:szCs w:val="24"/>
        </w:rPr>
        <w:t>）主要工艺参数</w:t>
      </w:r>
      <w:r>
        <w:rPr>
          <w:sz w:val="24"/>
          <w:szCs w:val="24"/>
        </w:rPr>
        <w:t>达到签订的技术协议和合同规定的终验收标准</w:t>
      </w:r>
      <w:r>
        <w:rPr>
          <w:rFonts w:hint="eastAsia"/>
          <w:sz w:val="24"/>
          <w:szCs w:val="24"/>
        </w:rPr>
        <w:t>。</w:t>
      </w:r>
    </w:p>
    <w:p w14:paraId="2C0AF5E3">
      <w:pPr>
        <w:pStyle w:val="2"/>
        <w:rPr>
          <w:sz w:val="24"/>
          <w:szCs w:val="24"/>
        </w:rPr>
      </w:pPr>
      <w:r>
        <w:rPr>
          <w:rFonts w:hint="eastAsia"/>
          <w:sz w:val="24"/>
          <w:szCs w:val="24"/>
        </w:rPr>
        <w:t>（</w:t>
      </w:r>
      <w:r>
        <w:rPr>
          <w:sz w:val="24"/>
          <w:szCs w:val="24"/>
        </w:rPr>
        <w:t>3</w:t>
      </w:r>
      <w:r>
        <w:rPr>
          <w:rFonts w:hint="eastAsia"/>
          <w:sz w:val="24"/>
          <w:szCs w:val="24"/>
        </w:rPr>
        <w:t>）</w:t>
      </w:r>
      <w:r>
        <w:rPr>
          <w:sz w:val="24"/>
          <w:szCs w:val="24"/>
        </w:rPr>
        <w:t>整线</w:t>
      </w:r>
      <w:r>
        <w:rPr>
          <w:rFonts w:hint="eastAsia"/>
          <w:sz w:val="24"/>
          <w:szCs w:val="24"/>
        </w:rPr>
        <w:t>试生产10工作日，无</w:t>
      </w:r>
      <w:r>
        <w:rPr>
          <w:sz w:val="24"/>
          <w:szCs w:val="24"/>
        </w:rPr>
        <w:t>发生关键零部件损坏或重大故障</w:t>
      </w:r>
      <w:r>
        <w:rPr>
          <w:rFonts w:hint="eastAsia"/>
          <w:sz w:val="24"/>
          <w:szCs w:val="24"/>
        </w:rPr>
        <w:t>出现</w:t>
      </w:r>
      <w:r>
        <w:rPr>
          <w:sz w:val="24"/>
          <w:szCs w:val="24"/>
        </w:rPr>
        <w:t>。</w:t>
      </w:r>
    </w:p>
    <w:p w14:paraId="7AF5459B">
      <w:pPr>
        <w:spacing w:line="360" w:lineRule="auto"/>
        <w:rPr>
          <w:sz w:val="24"/>
          <w:szCs w:val="24"/>
        </w:rPr>
      </w:pPr>
      <w:r>
        <w:rPr>
          <w:rFonts w:hint="eastAsia"/>
          <w:sz w:val="24"/>
          <w:szCs w:val="24"/>
        </w:rPr>
        <w:t>（</w:t>
      </w:r>
      <w:r>
        <w:rPr>
          <w:sz w:val="24"/>
          <w:szCs w:val="24"/>
        </w:rPr>
        <w:t>4</w:t>
      </w:r>
      <w:r>
        <w:rPr>
          <w:rFonts w:hint="eastAsia"/>
          <w:sz w:val="24"/>
          <w:szCs w:val="24"/>
        </w:rPr>
        <w:t>）</w:t>
      </w:r>
      <w:r>
        <w:rPr>
          <w:sz w:val="24"/>
          <w:szCs w:val="24"/>
        </w:rPr>
        <w:t>出现下列问题之一，视作验收失败：</w:t>
      </w:r>
    </w:p>
    <w:p w14:paraId="305EBF02">
      <w:pPr>
        <w:pStyle w:val="62"/>
        <w:numPr>
          <w:ilvl w:val="0"/>
          <w:numId w:val="32"/>
        </w:numPr>
        <w:ind w:firstLine="480"/>
        <w:rPr>
          <w:sz w:val="24"/>
          <w:szCs w:val="24"/>
        </w:rPr>
      </w:pPr>
      <w:r>
        <w:rPr>
          <w:rFonts w:hint="eastAsia"/>
          <w:sz w:val="24"/>
          <w:szCs w:val="24"/>
        </w:rPr>
        <w:t>设备验收时，其参数无法满足招标书中的技术要求。</w:t>
      </w:r>
    </w:p>
    <w:p w14:paraId="2567BF7D">
      <w:pPr>
        <w:pStyle w:val="62"/>
        <w:numPr>
          <w:ilvl w:val="0"/>
          <w:numId w:val="32"/>
        </w:numPr>
        <w:ind w:firstLine="480"/>
        <w:rPr>
          <w:sz w:val="24"/>
          <w:szCs w:val="24"/>
        </w:rPr>
      </w:pPr>
      <w:r>
        <w:rPr>
          <w:rFonts w:hint="eastAsia"/>
          <w:sz w:val="24"/>
          <w:szCs w:val="24"/>
        </w:rPr>
        <w:t>在整个验收过程中发生关键零部件损坏或重大故障。</w:t>
      </w:r>
    </w:p>
    <w:p w14:paraId="7632430B">
      <w:pPr>
        <w:pStyle w:val="62"/>
        <w:numPr>
          <w:ilvl w:val="0"/>
          <w:numId w:val="32"/>
        </w:numPr>
        <w:ind w:firstLine="480"/>
        <w:rPr>
          <w:sz w:val="24"/>
          <w:szCs w:val="24"/>
        </w:rPr>
      </w:pPr>
      <w:r>
        <w:rPr>
          <w:rFonts w:hint="eastAsia"/>
          <w:sz w:val="24"/>
          <w:szCs w:val="24"/>
        </w:rPr>
        <w:t>更换的零部件货值超过总货值的</w:t>
      </w:r>
      <w:r>
        <w:rPr>
          <w:sz w:val="24"/>
          <w:szCs w:val="24"/>
        </w:rPr>
        <w:t>2</w:t>
      </w:r>
      <w:r>
        <w:rPr>
          <w:rFonts w:hint="eastAsia"/>
          <w:sz w:val="24"/>
          <w:szCs w:val="24"/>
        </w:rPr>
        <w:t>%。</w:t>
      </w:r>
    </w:p>
    <w:p w14:paraId="2C90711B">
      <w:pPr>
        <w:pStyle w:val="62"/>
        <w:numPr>
          <w:ilvl w:val="0"/>
          <w:numId w:val="32"/>
        </w:numPr>
        <w:ind w:firstLine="480"/>
        <w:rPr>
          <w:sz w:val="24"/>
          <w:szCs w:val="24"/>
        </w:rPr>
      </w:pPr>
      <w:r>
        <w:rPr>
          <w:rFonts w:hint="eastAsia"/>
          <w:sz w:val="24"/>
          <w:szCs w:val="24"/>
        </w:rPr>
        <w:t>累计负载运行实际性能（或生产率）达不到合同规定。</w:t>
      </w:r>
    </w:p>
    <w:p w14:paraId="50289BF1">
      <w:pPr>
        <w:pStyle w:val="62"/>
        <w:numPr>
          <w:ilvl w:val="0"/>
          <w:numId w:val="32"/>
        </w:numPr>
        <w:ind w:firstLine="480"/>
        <w:rPr>
          <w:sz w:val="24"/>
          <w:szCs w:val="24"/>
        </w:rPr>
      </w:pPr>
      <w:r>
        <w:rPr>
          <w:rFonts w:hint="eastAsia"/>
          <w:sz w:val="24"/>
          <w:szCs w:val="24"/>
        </w:rPr>
        <w:t>终验收原则上要求一次完成。若一次验收不成功，最多允许两次；如果出现第三次验收失败，重新作价或退货。</w:t>
      </w:r>
    </w:p>
    <w:p w14:paraId="6E05AF19">
      <w:pPr>
        <w:spacing w:line="360" w:lineRule="auto"/>
        <w:rPr>
          <w:sz w:val="24"/>
          <w:szCs w:val="24"/>
          <w:highlight w:val="yellow"/>
        </w:rPr>
      </w:pPr>
      <w:r>
        <w:rPr>
          <w:rFonts w:hint="eastAsia"/>
          <w:sz w:val="24"/>
          <w:szCs w:val="24"/>
        </w:rPr>
        <w:t>（</w:t>
      </w:r>
      <w:r>
        <w:rPr>
          <w:sz w:val="24"/>
          <w:szCs w:val="24"/>
        </w:rPr>
        <w:t>5</w:t>
      </w:r>
      <w:r>
        <w:rPr>
          <w:rFonts w:hint="eastAsia"/>
          <w:sz w:val="24"/>
          <w:szCs w:val="24"/>
        </w:rPr>
        <w:t>）</w:t>
      </w:r>
      <w:r>
        <w:rPr>
          <w:sz w:val="24"/>
          <w:szCs w:val="24"/>
        </w:rPr>
        <w:t>终验收通过后买卖双方共同签署终验收报告，并移交、核对全部供货范围内物品。</w:t>
      </w:r>
    </w:p>
    <w:p w14:paraId="6291A10F">
      <w:pPr>
        <w:spacing w:line="360" w:lineRule="auto"/>
        <w:rPr>
          <w:sz w:val="24"/>
          <w:szCs w:val="24"/>
        </w:rPr>
      </w:pPr>
      <w:r>
        <w:rPr>
          <w:rFonts w:hint="eastAsia"/>
          <w:sz w:val="24"/>
          <w:szCs w:val="24"/>
        </w:rPr>
        <w:t>（</w:t>
      </w:r>
      <w:r>
        <w:rPr>
          <w:sz w:val="24"/>
          <w:szCs w:val="24"/>
        </w:rPr>
        <w:t>6</w:t>
      </w:r>
      <w:r>
        <w:rPr>
          <w:rFonts w:hint="eastAsia"/>
          <w:sz w:val="24"/>
          <w:szCs w:val="24"/>
        </w:rPr>
        <w:t>）</w:t>
      </w:r>
      <w:r>
        <w:rPr>
          <w:sz w:val="24"/>
          <w:szCs w:val="24"/>
        </w:rPr>
        <w:t>终验收结束，卖方需按双方约定提供备品备件。</w:t>
      </w:r>
    </w:p>
    <w:p w14:paraId="36B3E5AD">
      <w:pPr>
        <w:pStyle w:val="2"/>
        <w:rPr>
          <w:highlight w:val="yellow"/>
        </w:rPr>
      </w:pPr>
    </w:p>
    <w:p w14:paraId="7B2E4E8E">
      <w:pPr>
        <w:pStyle w:val="2"/>
        <w:rPr>
          <w:highlight w:val="yellow"/>
        </w:rPr>
      </w:pPr>
    </w:p>
    <w:p w14:paraId="1715574D">
      <w:pPr>
        <w:pStyle w:val="2"/>
        <w:rPr>
          <w:highlight w:val="yellow"/>
        </w:rPr>
      </w:pPr>
    </w:p>
    <w:p w14:paraId="14E2C275">
      <w:pPr>
        <w:pStyle w:val="2"/>
        <w:rPr>
          <w:highlight w:val="yellow"/>
        </w:rPr>
      </w:pPr>
    </w:p>
    <w:p w14:paraId="61BC439D">
      <w:pPr>
        <w:rPr>
          <w:sz w:val="24"/>
          <w:szCs w:val="24"/>
        </w:rPr>
      </w:pPr>
      <w:r>
        <w:rPr>
          <w:sz w:val="24"/>
          <w:szCs w:val="24"/>
        </w:rPr>
        <w:t>第</w:t>
      </w:r>
      <w:r>
        <w:rPr>
          <w:rFonts w:hint="eastAsia"/>
          <w:sz w:val="24"/>
          <w:szCs w:val="24"/>
        </w:rPr>
        <w:t>六</w:t>
      </w:r>
      <w:r>
        <w:rPr>
          <w:sz w:val="24"/>
          <w:szCs w:val="24"/>
        </w:rPr>
        <w:t>章  投标技术档一般要求</w:t>
      </w:r>
    </w:p>
    <w:p w14:paraId="6ED44434">
      <w:pPr>
        <w:rPr>
          <w:sz w:val="24"/>
          <w:szCs w:val="24"/>
        </w:rPr>
      </w:pPr>
      <w:r>
        <w:rPr>
          <w:rFonts w:hint="eastAsia"/>
          <w:sz w:val="24"/>
          <w:szCs w:val="24"/>
        </w:rPr>
        <w:t>一、技术档一般内容要求</w:t>
      </w:r>
    </w:p>
    <w:p w14:paraId="6976D329">
      <w:pPr>
        <w:rPr>
          <w:sz w:val="24"/>
          <w:szCs w:val="24"/>
        </w:rPr>
      </w:pPr>
      <w:r>
        <w:rPr>
          <w:sz w:val="24"/>
          <w:szCs w:val="24"/>
        </w:rPr>
        <w:t>1、投标方应认真阅读招标档和本技术标书，并按要求编写投标技术档。</w:t>
      </w:r>
    </w:p>
    <w:p w14:paraId="6C5FA353">
      <w:pPr>
        <w:rPr>
          <w:sz w:val="24"/>
          <w:szCs w:val="24"/>
        </w:rPr>
      </w:pPr>
      <w:r>
        <w:rPr>
          <w:sz w:val="24"/>
          <w:szCs w:val="24"/>
        </w:rPr>
        <w:t>2、投标技术档至少应对投标货物的功能用途、技术性能、质量标准、技术参数等作出详细说明。</w:t>
      </w:r>
    </w:p>
    <w:p w14:paraId="433012A9">
      <w:pPr>
        <w:rPr>
          <w:sz w:val="24"/>
          <w:szCs w:val="24"/>
        </w:rPr>
      </w:pPr>
      <w:r>
        <w:rPr>
          <w:sz w:val="24"/>
          <w:szCs w:val="24"/>
        </w:rPr>
        <w:t>3、投标技术档至少应根据投标货物的关键设备、总成、零部件或系统作出满足或优于招标档要求的详细说明。</w:t>
      </w:r>
    </w:p>
    <w:p w14:paraId="1AD601F2">
      <w:pPr>
        <w:rPr>
          <w:sz w:val="24"/>
          <w:szCs w:val="24"/>
        </w:rPr>
      </w:pPr>
      <w:r>
        <w:rPr>
          <w:sz w:val="24"/>
          <w:szCs w:val="24"/>
        </w:rPr>
        <w:t>4、投标技术档至少应按照招标档要求（或投标方建议）列明备品备件、易损件和专用耗材明细。</w:t>
      </w:r>
    </w:p>
    <w:p w14:paraId="29A72084">
      <w:pPr>
        <w:rPr>
          <w:sz w:val="24"/>
          <w:szCs w:val="24"/>
        </w:rPr>
      </w:pPr>
      <w:r>
        <w:rPr>
          <w:sz w:val="24"/>
          <w:szCs w:val="24"/>
        </w:rPr>
        <w:t>5、投标方应当而且必须分别说明所列备品备件、易损件和专用耗材的使用寿命（以有效工作小时数说明）。</w:t>
      </w:r>
    </w:p>
    <w:p w14:paraId="2BB1B81F">
      <w:pPr>
        <w:rPr>
          <w:sz w:val="24"/>
          <w:szCs w:val="24"/>
        </w:rPr>
      </w:pPr>
      <w:r>
        <w:rPr>
          <w:sz w:val="24"/>
          <w:szCs w:val="24"/>
        </w:rPr>
        <w:t>6</w:t>
      </w:r>
      <w:r>
        <w:rPr>
          <w:rFonts w:hint="eastAsia"/>
          <w:sz w:val="24"/>
          <w:szCs w:val="24"/>
        </w:rPr>
        <w:t>、</w:t>
      </w:r>
      <w:r>
        <w:rPr>
          <w:sz w:val="24"/>
          <w:szCs w:val="24"/>
        </w:rPr>
        <w:t>“开标一览表”和“明细表”仅作为投标方编制投标技术档的一般格式。其中序号编写应当便于招标方了解分类或分项货物之间的所属关系，如1、1.1、1.2。</w:t>
      </w:r>
    </w:p>
    <w:p w14:paraId="53CCAC1A">
      <w:pPr>
        <w:rPr>
          <w:sz w:val="24"/>
          <w:szCs w:val="24"/>
        </w:rPr>
      </w:pPr>
      <w:r>
        <w:rPr>
          <w:rFonts w:hint="eastAsia"/>
          <w:sz w:val="24"/>
          <w:szCs w:val="24"/>
        </w:rPr>
        <w:t>7、</w:t>
      </w:r>
      <w:r>
        <w:rPr>
          <w:sz w:val="24"/>
          <w:szCs w:val="24"/>
        </w:rPr>
        <w:t>应当尽可能将货物的配置列全、列细，这将有助于投标方胜出。</w:t>
      </w:r>
    </w:p>
    <w:p w14:paraId="2AD8DC4B">
      <w:pPr>
        <w:rPr>
          <w:sz w:val="24"/>
          <w:szCs w:val="24"/>
        </w:rPr>
      </w:pPr>
      <w:r>
        <w:rPr>
          <w:rFonts w:hint="eastAsia"/>
          <w:sz w:val="24"/>
          <w:szCs w:val="24"/>
        </w:rPr>
        <w:t>8、</w:t>
      </w:r>
      <w:r>
        <w:rPr>
          <w:sz w:val="24"/>
          <w:szCs w:val="24"/>
        </w:rPr>
        <w:t>单价与总价之间、总价与分类小计价之间、分类小计价与合计价之间数据应当齐全而且准确。</w:t>
      </w:r>
    </w:p>
    <w:p w14:paraId="5AA1A88B">
      <w:pPr>
        <w:rPr>
          <w:sz w:val="24"/>
          <w:szCs w:val="24"/>
        </w:rPr>
      </w:pPr>
      <w:r>
        <w:rPr>
          <w:rFonts w:hint="eastAsia"/>
          <w:sz w:val="24"/>
          <w:szCs w:val="24"/>
        </w:rPr>
        <w:t>9、</w:t>
      </w:r>
      <w:r>
        <w:rPr>
          <w:sz w:val="24"/>
          <w:szCs w:val="24"/>
        </w:rPr>
        <w:t>本条款表格中的制造商，应当为全称或公认的简称。</w:t>
      </w:r>
    </w:p>
    <w:p w14:paraId="4775858C">
      <w:pPr>
        <w:rPr>
          <w:sz w:val="24"/>
          <w:szCs w:val="24"/>
        </w:rPr>
      </w:pPr>
      <w:r>
        <w:rPr>
          <w:rFonts w:hint="eastAsia"/>
          <w:sz w:val="24"/>
          <w:szCs w:val="24"/>
        </w:rPr>
        <w:t>二、技术档中货物报价格式要求</w:t>
      </w:r>
    </w:p>
    <w:p w14:paraId="21E5FC41">
      <w:pPr>
        <w:rPr>
          <w:sz w:val="24"/>
          <w:szCs w:val="24"/>
        </w:rPr>
      </w:pPr>
      <w:r>
        <w:rPr>
          <w:sz w:val="24"/>
          <w:szCs w:val="24"/>
        </w:rPr>
        <w:t>1、投标技术档中，如未按照要求编写、或者存在漏项和缺项，将有可能造成对投标方不必要的误解；必要时，漏项和缺项涉及的费用，将有可能以其他投标方中，相同或相似项目的最高价，计入投标方的投标总报价之内，作为评标的依据之一。</w:t>
      </w:r>
    </w:p>
    <w:p w14:paraId="77004422">
      <w:pPr>
        <w:rPr>
          <w:sz w:val="24"/>
          <w:szCs w:val="24"/>
        </w:rPr>
      </w:pPr>
      <w:r>
        <w:rPr>
          <w:sz w:val="24"/>
          <w:szCs w:val="24"/>
        </w:rPr>
        <w:t>2、如果投标总报价与其它价格出现错误或不一致，将有可能导致废标。</w:t>
      </w:r>
    </w:p>
    <w:p w14:paraId="49EBAFDE">
      <w:pPr>
        <w:rPr>
          <w:sz w:val="24"/>
          <w:szCs w:val="24"/>
        </w:rPr>
      </w:pPr>
      <w:r>
        <w:rPr>
          <w:sz w:val="24"/>
          <w:szCs w:val="24"/>
        </w:rPr>
        <w:t>3、投标总报价为自合同签定生效至合同无异议执行完毕涉及的买方需要支付的全部费用。如投标方认为本招标及投标货物涉及特需或专门的设计，应当单独列明设计费。</w:t>
      </w:r>
    </w:p>
    <w:p w14:paraId="0AFB68E5">
      <w:pPr>
        <w:rPr>
          <w:sz w:val="24"/>
          <w:szCs w:val="24"/>
        </w:rPr>
      </w:pPr>
      <w:r>
        <w:rPr>
          <w:rFonts w:hint="eastAsia"/>
          <w:sz w:val="24"/>
          <w:szCs w:val="24"/>
        </w:rPr>
        <w:t>4</w:t>
      </w:r>
      <w:r>
        <w:rPr>
          <w:sz w:val="24"/>
          <w:szCs w:val="24"/>
        </w:rPr>
        <w:t>、要求投标总报价、分项报价、明细报价之间应当具有相互间对应关系以及填报分项和明细报价，仅为便于评标而不妨碍投标人以最合适的形式签署合同。</w:t>
      </w:r>
    </w:p>
    <w:p w14:paraId="03C486DE">
      <w:pPr>
        <w:rPr>
          <w:sz w:val="24"/>
          <w:szCs w:val="24"/>
        </w:rPr>
      </w:pPr>
      <w:r>
        <w:rPr>
          <w:rFonts w:hint="eastAsia"/>
          <w:sz w:val="24"/>
          <w:szCs w:val="24"/>
        </w:rPr>
        <w:t>三、验收标准及内容要求</w:t>
      </w:r>
    </w:p>
    <w:p w14:paraId="0DF4A6C1">
      <w:pPr>
        <w:rPr>
          <w:sz w:val="24"/>
          <w:szCs w:val="24"/>
        </w:rPr>
      </w:pPr>
      <w:r>
        <w:rPr>
          <w:rFonts w:hint="eastAsia"/>
          <w:sz w:val="24"/>
          <w:szCs w:val="24"/>
        </w:rPr>
        <w:t>除招标档明确的验收标准或内容之外，投标方应当在投标档中提供预验收（必要时）和终验收的标准以及规程；在合同签定之前，经投标方和招标方双方洽谈确认并签署，以作为验收标准执行。</w:t>
      </w:r>
    </w:p>
    <w:p w14:paraId="1C1D25D4">
      <w:pPr>
        <w:rPr>
          <w:sz w:val="24"/>
          <w:szCs w:val="24"/>
        </w:rPr>
      </w:pPr>
      <w:r>
        <w:rPr>
          <w:sz w:val="24"/>
          <w:szCs w:val="24"/>
        </w:rPr>
        <w:t>第</w:t>
      </w:r>
      <w:r>
        <w:rPr>
          <w:rFonts w:hint="eastAsia"/>
          <w:sz w:val="24"/>
          <w:szCs w:val="24"/>
        </w:rPr>
        <w:t>七</w:t>
      </w:r>
      <w:r>
        <w:rPr>
          <w:sz w:val="24"/>
          <w:szCs w:val="24"/>
        </w:rPr>
        <w:t>章  其他要求及说明</w:t>
      </w:r>
    </w:p>
    <w:p w14:paraId="460A88CF">
      <w:pPr>
        <w:rPr>
          <w:sz w:val="24"/>
          <w:szCs w:val="24"/>
        </w:rPr>
      </w:pPr>
      <w:r>
        <w:rPr>
          <w:rFonts w:hint="eastAsia"/>
          <w:sz w:val="24"/>
          <w:szCs w:val="24"/>
        </w:rPr>
        <w:t>一、要求</w:t>
      </w:r>
    </w:p>
    <w:p w14:paraId="300E1D05">
      <w:pPr>
        <w:rPr>
          <w:sz w:val="24"/>
          <w:szCs w:val="24"/>
        </w:rPr>
      </w:pPr>
      <w:r>
        <w:rPr>
          <w:rFonts w:hint="eastAsia"/>
          <w:sz w:val="24"/>
          <w:szCs w:val="24"/>
        </w:rPr>
        <w:t>为保证本技术标书所列采购货物的质量以及先进性、可靠性、经济性和实用性，要求投标方在投标档中，至少应具备以下资格证明档或资料：</w:t>
      </w:r>
    </w:p>
    <w:p w14:paraId="0D963DBF">
      <w:pPr>
        <w:rPr>
          <w:sz w:val="24"/>
          <w:szCs w:val="24"/>
        </w:rPr>
      </w:pPr>
      <w:r>
        <w:rPr>
          <w:rFonts w:hint="eastAsia"/>
          <w:sz w:val="24"/>
          <w:szCs w:val="24"/>
        </w:rPr>
        <w:t>1、投标方应是独立法人或得到法人授权的机构。应当在投标档中提供法人营业执照（复印件）、税务登记证以及组织机构代码证（国际供应商参考该要求提供有效证明档），并保证其真实性和有效性。</w:t>
      </w:r>
    </w:p>
    <w:p w14:paraId="4C2BAB33">
      <w:pPr>
        <w:rPr>
          <w:sz w:val="24"/>
          <w:szCs w:val="24"/>
        </w:rPr>
      </w:pPr>
      <w:r>
        <w:rPr>
          <w:rFonts w:hint="eastAsia"/>
          <w:sz w:val="24"/>
          <w:szCs w:val="24"/>
        </w:rPr>
        <w:t>2、必须附有：近5年来类似项目的成功业绩（用户名单、联系方式），并附合同复印件。该同类项目业绩一览表必须如实填写，一览表最终的所有业绩合同总额汇总必填。</w:t>
      </w:r>
    </w:p>
    <w:p w14:paraId="4E066353">
      <w:pPr>
        <w:pStyle w:val="2"/>
        <w:rPr>
          <w:rFonts w:asciiTheme="minorHAnsi" w:hAnsiTheme="minorHAnsi"/>
          <w:sz w:val="24"/>
          <w:szCs w:val="24"/>
        </w:rPr>
      </w:pPr>
      <w:r>
        <w:rPr>
          <w:rFonts w:asciiTheme="minorHAnsi" w:hAnsiTheme="minorHAnsi"/>
          <w:sz w:val="24"/>
          <w:szCs w:val="24"/>
        </w:rPr>
        <w:t>3</w:t>
      </w:r>
      <w:r>
        <w:rPr>
          <w:rFonts w:hint="eastAsia" w:asciiTheme="minorHAnsi" w:hAnsiTheme="minorHAnsi"/>
          <w:sz w:val="24"/>
          <w:szCs w:val="24"/>
        </w:rPr>
        <w:t>、本项目为非标自动化项目，为了确保项目顺利实施，要求投标方不仅具备非标自动化设计制造能力，还需要熟悉相关铸造工艺流程，并与招标方进行充分现场技术交流。</w:t>
      </w:r>
    </w:p>
    <w:p w14:paraId="365BF77A">
      <w:pPr>
        <w:rPr>
          <w:sz w:val="24"/>
          <w:szCs w:val="24"/>
        </w:rPr>
      </w:pPr>
      <w:r>
        <w:rPr>
          <w:rFonts w:hint="eastAsia"/>
          <w:sz w:val="24"/>
          <w:szCs w:val="24"/>
        </w:rPr>
        <w:t>二、说明</w:t>
      </w:r>
    </w:p>
    <w:p w14:paraId="79F52E90">
      <w:pPr>
        <w:rPr>
          <w:sz w:val="24"/>
          <w:szCs w:val="24"/>
        </w:rPr>
      </w:pPr>
      <w:r>
        <w:rPr>
          <w:sz w:val="24"/>
          <w:szCs w:val="24"/>
        </w:rPr>
        <w:t>1、投标方可以根据自身的技术、经验等优势以及对招标档和本技术标书的理解，写明对招标方所采购货物的优化方案或建议意见。投标方的这些努力，招标方表示感谢，并将有助于投标方优先胜出。</w:t>
      </w:r>
    </w:p>
    <w:p w14:paraId="63D611AC">
      <w:pPr>
        <w:rPr>
          <w:sz w:val="24"/>
          <w:szCs w:val="24"/>
        </w:rPr>
      </w:pPr>
      <w:r>
        <w:rPr>
          <w:sz w:val="24"/>
          <w:szCs w:val="24"/>
        </w:rPr>
        <w:t>2、即使有建议意见或建议方案，仍应依据招标档和本技术标书要求，编写符合要求的投标档。建议方案或建议意见，应以单独篇章或档，予以说明和报价。</w:t>
      </w:r>
    </w:p>
    <w:p w14:paraId="6891C10E">
      <w:pPr>
        <w:rPr>
          <w:sz w:val="24"/>
          <w:szCs w:val="24"/>
        </w:rPr>
      </w:pPr>
      <w:r>
        <w:rPr>
          <w:rFonts w:hint="eastAsia"/>
          <w:sz w:val="24"/>
          <w:szCs w:val="24"/>
        </w:rPr>
        <w:t>3</w:t>
      </w:r>
      <w:r>
        <w:rPr>
          <w:sz w:val="24"/>
          <w:szCs w:val="24"/>
        </w:rPr>
        <w:t>、招标档、投标档、答疑档、技术交流档、技术协议书等，在采购过程全部为有效档，如有差异，以对招标方最有利的条款为准。</w:t>
      </w:r>
    </w:p>
    <w:p w14:paraId="4441C181">
      <w:pPr>
        <w:rPr>
          <w:sz w:val="24"/>
          <w:szCs w:val="24"/>
        </w:rPr>
      </w:pPr>
      <w:r>
        <w:rPr>
          <w:rFonts w:hint="eastAsia"/>
          <w:sz w:val="24"/>
          <w:szCs w:val="24"/>
        </w:rPr>
        <w:t>4、为避免歧义，本技术标书涉及招投标环节的条款，均将潜在的卖方称为投标方、将买方称为招标方；定标后合同签署环节以及后续的合同执行环节条款，招标方称为买方、投标方中的中标方称为卖方。</w:t>
      </w:r>
      <w:bookmarkEnd w:id="23"/>
    </w:p>
    <w:p w14:paraId="7993A83E">
      <w:r>
        <w:br w:type="page"/>
      </w:r>
    </w:p>
    <w:p w14:paraId="2447D8CC">
      <w:pPr>
        <w:pStyle w:val="76"/>
      </w:pPr>
    </w:p>
    <w:p w14:paraId="3766D4CB">
      <w:pPr>
        <w:pStyle w:val="71"/>
      </w:pPr>
      <w:bookmarkStart w:id="29" w:name="_Toc47976609"/>
      <w:bookmarkStart w:id="30" w:name="_Toc20595"/>
      <w:r>
        <w:rPr>
          <w:rFonts w:hint="eastAsia"/>
        </w:rPr>
        <w:t>第三部分　合同主要条款</w:t>
      </w:r>
      <w:bookmarkEnd w:id="29"/>
      <w:bookmarkEnd w:id="30"/>
    </w:p>
    <w:p w14:paraId="595ECF98">
      <w:pPr>
        <w:pStyle w:val="72"/>
        <w:numPr>
          <w:ilvl w:val="0"/>
          <w:numId w:val="33"/>
        </w:numPr>
        <w:ind w:left="420"/>
      </w:pPr>
      <w:bookmarkStart w:id="31" w:name="_Toc47976610"/>
      <w:r>
        <w:rPr>
          <w:rFonts w:hint="eastAsia"/>
        </w:rPr>
        <w:t>标的、数量、交货期</w:t>
      </w:r>
      <w:bookmarkEnd w:id="31"/>
    </w:p>
    <w:p w14:paraId="3162E571">
      <w:pPr>
        <w:pStyle w:val="72"/>
      </w:pPr>
      <w:bookmarkStart w:id="32" w:name="_Toc47976611"/>
      <w:r>
        <w:rPr>
          <w:rFonts w:hint="eastAsia"/>
        </w:rPr>
        <w:t>交货地点</w:t>
      </w:r>
      <w:bookmarkEnd w:id="32"/>
    </w:p>
    <w:p w14:paraId="61EB0432">
      <w:pPr>
        <w:pStyle w:val="72"/>
      </w:pPr>
      <w:bookmarkStart w:id="33" w:name="_Toc47976612"/>
      <w:r>
        <w:rPr>
          <w:rFonts w:hint="eastAsia"/>
        </w:rPr>
        <w:t>价款及付款方式</w:t>
      </w:r>
      <w:bookmarkEnd w:id="33"/>
    </w:p>
    <w:p w14:paraId="3198592A">
      <w:pPr>
        <w:pStyle w:val="72"/>
      </w:pPr>
      <w:bookmarkStart w:id="34" w:name="_Toc47976613"/>
      <w:r>
        <w:rPr>
          <w:rFonts w:hint="eastAsia"/>
        </w:rPr>
        <w:t>质量要求、保修期及售后服务</w:t>
      </w:r>
      <w:bookmarkEnd w:id="34"/>
    </w:p>
    <w:p w14:paraId="16E3B00D">
      <w:pPr>
        <w:pStyle w:val="72"/>
      </w:pPr>
      <w:bookmarkStart w:id="35" w:name="_Toc47976614"/>
      <w:r>
        <w:rPr>
          <w:rFonts w:hint="eastAsia"/>
        </w:rPr>
        <w:t>安装、调试及验收要求</w:t>
      </w:r>
      <w:bookmarkEnd w:id="35"/>
    </w:p>
    <w:p w14:paraId="626D6E32">
      <w:pPr>
        <w:pStyle w:val="72"/>
      </w:pPr>
      <w:r>
        <w:rPr>
          <w:rFonts w:hint="eastAsia"/>
        </w:rPr>
        <w:t>违约责任</w:t>
      </w:r>
    </w:p>
    <w:p w14:paraId="5E20011C">
      <w:pPr>
        <w:pStyle w:val="72"/>
      </w:pPr>
      <w:r>
        <w:rPr>
          <w:rFonts w:hint="eastAsia"/>
        </w:rPr>
        <w:t>争议解决方式</w:t>
      </w:r>
    </w:p>
    <w:p w14:paraId="33B1263F">
      <w:pPr>
        <w:pStyle w:val="76"/>
      </w:pPr>
    </w:p>
    <w:p w14:paraId="5390A7AA">
      <w:pPr>
        <w:pStyle w:val="76"/>
      </w:pPr>
    </w:p>
    <w:p w14:paraId="5B401C77">
      <w:pPr>
        <w:pStyle w:val="76"/>
      </w:pPr>
    </w:p>
    <w:p w14:paraId="7BDB44A8">
      <w:pPr>
        <w:pStyle w:val="76"/>
      </w:pPr>
    </w:p>
    <w:p w14:paraId="6026A0D4">
      <w:pPr>
        <w:pStyle w:val="76"/>
      </w:pPr>
    </w:p>
    <w:p w14:paraId="63697E2B">
      <w:pPr>
        <w:pStyle w:val="76"/>
      </w:pPr>
    </w:p>
    <w:p w14:paraId="3D966100">
      <w:pPr>
        <w:pStyle w:val="76"/>
      </w:pPr>
    </w:p>
    <w:p w14:paraId="3D5EFB88">
      <w:pPr>
        <w:pStyle w:val="76"/>
      </w:pPr>
    </w:p>
    <w:p w14:paraId="62581C42">
      <w:pPr>
        <w:pStyle w:val="76"/>
      </w:pPr>
    </w:p>
    <w:p w14:paraId="4A6C9E4E">
      <w:pPr>
        <w:pStyle w:val="76"/>
      </w:pPr>
    </w:p>
    <w:p w14:paraId="48CE5AB1">
      <w:pPr>
        <w:pStyle w:val="76"/>
      </w:pPr>
    </w:p>
    <w:p w14:paraId="6E3703BE">
      <w:pPr>
        <w:pStyle w:val="76"/>
      </w:pPr>
    </w:p>
    <w:p w14:paraId="5D1C7BC6">
      <w:pPr>
        <w:pStyle w:val="76"/>
      </w:pPr>
    </w:p>
    <w:p w14:paraId="2B421CD8">
      <w:pPr>
        <w:pStyle w:val="76"/>
      </w:pPr>
    </w:p>
    <w:p w14:paraId="4445A779">
      <w:pPr>
        <w:pStyle w:val="76"/>
      </w:pPr>
    </w:p>
    <w:p w14:paraId="1369C073">
      <w:pPr>
        <w:pStyle w:val="76"/>
      </w:pPr>
    </w:p>
    <w:p w14:paraId="20FB7AE7">
      <w:pPr>
        <w:pStyle w:val="76"/>
      </w:pPr>
    </w:p>
    <w:p w14:paraId="3D786CAE">
      <w:pPr>
        <w:pStyle w:val="76"/>
      </w:pPr>
    </w:p>
    <w:p w14:paraId="2906231C">
      <w:pPr>
        <w:pStyle w:val="76"/>
      </w:pPr>
    </w:p>
    <w:p w14:paraId="08934D95">
      <w:pPr>
        <w:pStyle w:val="71"/>
      </w:pPr>
      <w:bookmarkStart w:id="36" w:name="_Toc47976615"/>
      <w:bookmarkStart w:id="37" w:name="_Toc5925"/>
      <w:r>
        <w:rPr>
          <w:rFonts w:hint="eastAsia"/>
        </w:rPr>
        <w:t>第四部分　</w:t>
      </w:r>
      <w:bookmarkEnd w:id="36"/>
      <w:r>
        <w:rPr>
          <w:rFonts w:hint="eastAsia"/>
        </w:rPr>
        <w:t>投标文件附件</w:t>
      </w:r>
      <w:bookmarkEnd w:id="37"/>
    </w:p>
    <w:p w14:paraId="47AE7834">
      <w:pPr>
        <w:pStyle w:val="71"/>
        <w:jc w:val="left"/>
        <w:rPr>
          <w:rFonts w:ascii="宋体" w:hAnsi="宋体" w:eastAsia="宋体" w:cs="宋体"/>
          <w:sz w:val="32"/>
          <w:szCs w:val="32"/>
          <w:highlight w:val="yellow"/>
        </w:rPr>
      </w:pPr>
      <w:bookmarkStart w:id="38" w:name="_Toc4225"/>
      <w:bookmarkStart w:id="39" w:name="_Toc47976616"/>
      <w:r>
        <w:rPr>
          <w:rFonts w:hint="eastAsia" w:ascii="宋体" w:hAnsi="宋体" w:eastAsia="宋体" w:cs="宋体"/>
          <w:sz w:val="32"/>
          <w:szCs w:val="32"/>
          <w:highlight w:val="yellow"/>
        </w:rPr>
        <w:t>附件</w:t>
      </w:r>
      <w:bookmarkEnd w:id="38"/>
      <w:bookmarkEnd w:id="39"/>
      <w:r>
        <w:rPr>
          <w:rFonts w:hint="eastAsia" w:ascii="宋体" w:hAnsi="宋体" w:eastAsia="宋体" w:cs="宋体"/>
          <w:sz w:val="32"/>
          <w:szCs w:val="32"/>
          <w:highlight w:val="yellow"/>
        </w:rPr>
        <w:t>1</w:t>
      </w:r>
    </w:p>
    <w:p w14:paraId="505B35F4">
      <w:pPr>
        <w:keepNext/>
        <w:keepLines/>
        <w:jc w:val="center"/>
        <w:outlineLvl w:val="2"/>
        <w:rPr>
          <w:rFonts w:ascii="宋体" w:hAnsi="宋体" w:cs="宋体"/>
          <w:b/>
          <w:bCs/>
          <w:color w:val="000000"/>
          <w:sz w:val="32"/>
          <w:szCs w:val="32"/>
        </w:rPr>
      </w:pPr>
      <w:r>
        <w:rPr>
          <w:rFonts w:hint="eastAsia" w:ascii="宋体" w:hAnsi="宋体" w:cs="宋体"/>
          <w:b/>
          <w:bCs/>
          <w:color w:val="000000"/>
          <w:sz w:val="32"/>
          <w:szCs w:val="32"/>
        </w:rPr>
        <w:t>投标函</w:t>
      </w:r>
    </w:p>
    <w:p w14:paraId="6A909FD8">
      <w:pPr>
        <w:spacing w:line="360" w:lineRule="auto"/>
        <w:ind w:firstLine="480" w:firstLineChars="200"/>
        <w:rPr>
          <w:rFonts w:ascii="宋体" w:hAnsi="宋体"/>
          <w:color w:val="000000"/>
          <w:sz w:val="24"/>
          <w:szCs w:val="24"/>
        </w:rPr>
      </w:pPr>
      <w:r>
        <w:rPr>
          <w:rFonts w:hint="eastAsia" w:ascii="宋体" w:hAnsi="宋体"/>
          <w:color w:val="000000"/>
          <w:sz w:val="24"/>
          <w:szCs w:val="24"/>
        </w:rPr>
        <w:t>致：中国重汽集团</w:t>
      </w:r>
      <w:r>
        <w:rPr>
          <w:rFonts w:hint="eastAsia" w:ascii="宋体" w:hAnsi="宋体"/>
          <w:color w:val="000000"/>
          <w:sz w:val="24"/>
          <w:szCs w:val="24"/>
          <w:u w:val="single"/>
        </w:rPr>
        <w:t xml:space="preserve">            </w:t>
      </w:r>
      <w:r>
        <w:rPr>
          <w:rFonts w:hint="eastAsia" w:ascii="宋体" w:hAnsi="宋体"/>
          <w:color w:val="000000"/>
          <w:sz w:val="24"/>
          <w:szCs w:val="24"/>
        </w:rPr>
        <w:t>有限公司：</w:t>
      </w:r>
    </w:p>
    <w:p w14:paraId="7FC34A1B">
      <w:pPr>
        <w:spacing w:line="360" w:lineRule="auto"/>
        <w:ind w:firstLine="480" w:firstLineChars="200"/>
        <w:rPr>
          <w:rFonts w:ascii="宋体" w:hAnsi="宋体"/>
          <w:color w:val="000000"/>
          <w:sz w:val="24"/>
          <w:szCs w:val="24"/>
        </w:rPr>
      </w:pPr>
      <w:r>
        <w:rPr>
          <w:rFonts w:hint="eastAsia" w:ascii="宋体" w:hAnsi="宋体"/>
          <w:color w:val="000000"/>
          <w:sz w:val="24"/>
          <w:szCs w:val="24"/>
        </w:rPr>
        <w:t>根据贵方</w:t>
      </w:r>
      <w:r>
        <w:rPr>
          <w:rFonts w:hint="eastAsia" w:ascii="宋体" w:hAnsi="宋体"/>
          <w:color w:val="000000"/>
          <w:sz w:val="24"/>
          <w:szCs w:val="24"/>
          <w:u w:val="single"/>
        </w:rPr>
        <w:t xml:space="preserve">                       </w:t>
      </w:r>
      <w:r>
        <w:rPr>
          <w:rFonts w:hint="eastAsia" w:ascii="宋体" w:hAnsi="宋体"/>
          <w:bCs/>
          <w:snapToGrid w:val="0"/>
          <w:color w:val="000000"/>
          <w:kern w:val="0"/>
          <w:sz w:val="24"/>
          <w:szCs w:val="24"/>
        </w:rPr>
        <w:t>招标公告</w:t>
      </w:r>
      <w:r>
        <w:rPr>
          <w:rFonts w:hint="eastAsia" w:ascii="宋体" w:hAnsi="宋体"/>
          <w:color w:val="000000"/>
          <w:sz w:val="24"/>
          <w:szCs w:val="24"/>
        </w:rPr>
        <w:t>，</w:t>
      </w:r>
      <w:r>
        <w:rPr>
          <w:rFonts w:ascii="宋体" w:hAnsi="宋体"/>
          <w:b/>
          <w:color w:val="000000"/>
          <w:sz w:val="24"/>
          <w:szCs w:val="24"/>
          <w:u w:val="single"/>
        </w:rPr>
        <w:t xml:space="preserve">            </w:t>
      </w:r>
      <w:r>
        <w:rPr>
          <w:rFonts w:hint="eastAsia" w:ascii="宋体" w:hAnsi="宋体"/>
          <w:color w:val="000000"/>
          <w:sz w:val="24"/>
          <w:szCs w:val="24"/>
        </w:rPr>
        <w:t>投标公司，</w:t>
      </w:r>
      <w:r>
        <w:rPr>
          <w:rFonts w:ascii="宋体" w:hAnsi="宋体"/>
          <w:color w:val="000000"/>
          <w:sz w:val="24"/>
          <w:szCs w:val="24"/>
        </w:rPr>
        <w:t xml:space="preserve"> </w:t>
      </w:r>
      <w:r>
        <w:rPr>
          <w:rFonts w:hint="eastAsia" w:ascii="宋体" w:hAnsi="宋体"/>
          <w:color w:val="000000"/>
          <w:sz w:val="24"/>
          <w:szCs w:val="24"/>
        </w:rPr>
        <w:t>法人代表人为</w:t>
      </w:r>
      <w:r>
        <w:rPr>
          <w:rFonts w:ascii="宋体" w:hAnsi="宋体"/>
          <w:color w:val="000000"/>
          <w:sz w:val="24"/>
          <w:szCs w:val="24"/>
          <w:u w:val="single"/>
        </w:rPr>
        <w:t xml:space="preserve">         </w:t>
      </w:r>
      <w:r>
        <w:rPr>
          <w:rFonts w:hint="eastAsia" w:ascii="宋体" w:hAnsi="宋体"/>
          <w:color w:val="000000"/>
          <w:sz w:val="24"/>
          <w:szCs w:val="24"/>
        </w:rPr>
        <w:t>，正式授权</w:t>
      </w:r>
      <w:r>
        <w:rPr>
          <w:rFonts w:ascii="宋体" w:hAnsi="宋体"/>
          <w:color w:val="000000"/>
          <w:sz w:val="24"/>
          <w:szCs w:val="24"/>
          <w:u w:val="single"/>
        </w:rPr>
        <w:t xml:space="preserve">           </w:t>
      </w:r>
      <w:r>
        <w:rPr>
          <w:rFonts w:ascii="宋体" w:hAnsi="宋体"/>
          <w:color w:val="000000"/>
          <w:sz w:val="24"/>
          <w:szCs w:val="24"/>
        </w:rPr>
        <w:t xml:space="preserve"> </w:t>
      </w:r>
      <w:r>
        <w:rPr>
          <w:rFonts w:hint="eastAsia" w:ascii="宋体" w:hAnsi="宋体"/>
          <w:color w:val="000000"/>
          <w:sz w:val="24"/>
          <w:szCs w:val="24"/>
        </w:rPr>
        <w:t>提交纸质投标文件：资质证明文件、商务文件和技术文件正本</w:t>
      </w:r>
      <w:r>
        <w:rPr>
          <w:rFonts w:hint="eastAsia" w:ascii="宋体" w:hAnsi="宋体"/>
          <w:color w:val="000000"/>
          <w:sz w:val="24"/>
          <w:szCs w:val="24"/>
          <w:u w:val="single"/>
        </w:rPr>
        <w:t xml:space="preserve">  </w:t>
      </w:r>
      <w:r>
        <w:rPr>
          <w:rFonts w:hint="eastAsia" w:ascii="宋体" w:hAnsi="宋体"/>
          <w:color w:val="000000"/>
          <w:sz w:val="24"/>
          <w:szCs w:val="24"/>
        </w:rPr>
        <w:t>份、副本</w:t>
      </w:r>
      <w:r>
        <w:rPr>
          <w:rFonts w:hint="eastAsia" w:ascii="宋体" w:hAnsi="宋体"/>
          <w:color w:val="000000"/>
          <w:sz w:val="24"/>
          <w:szCs w:val="24"/>
          <w:u w:val="single"/>
        </w:rPr>
        <w:t xml:space="preserve">  </w:t>
      </w:r>
      <w:r>
        <w:rPr>
          <w:rFonts w:hint="eastAsia" w:ascii="宋体" w:hAnsi="宋体"/>
          <w:color w:val="000000"/>
          <w:sz w:val="24"/>
          <w:szCs w:val="24"/>
        </w:rPr>
        <w:t>份；电子版投标文件一份。</w:t>
      </w:r>
    </w:p>
    <w:p w14:paraId="5426D91F">
      <w:pPr>
        <w:spacing w:line="360" w:lineRule="auto"/>
        <w:ind w:firstLine="480" w:firstLineChars="200"/>
        <w:rPr>
          <w:rFonts w:ascii="宋体" w:hAnsi="宋体"/>
          <w:color w:val="000000"/>
          <w:sz w:val="24"/>
          <w:szCs w:val="24"/>
        </w:rPr>
      </w:pPr>
      <w:r>
        <w:rPr>
          <w:rFonts w:hint="eastAsia" w:ascii="宋体" w:hAnsi="宋体"/>
          <w:color w:val="000000"/>
          <w:sz w:val="24"/>
          <w:szCs w:val="24"/>
        </w:rPr>
        <w:t>据此函，签字代表宣布同意如下：</w:t>
      </w:r>
    </w:p>
    <w:p w14:paraId="1D5D3758">
      <w:pPr>
        <w:spacing w:line="360" w:lineRule="auto"/>
        <w:ind w:firstLine="480" w:firstLineChars="200"/>
        <w:rPr>
          <w:rFonts w:ascii="宋体" w:hAnsi="宋体"/>
          <w:color w:val="000000"/>
          <w:sz w:val="24"/>
          <w:szCs w:val="24"/>
        </w:rPr>
      </w:pPr>
      <w:r>
        <w:rPr>
          <w:rFonts w:ascii="宋体" w:hAnsi="宋体"/>
          <w:color w:val="000000"/>
          <w:sz w:val="24"/>
          <w:szCs w:val="24"/>
        </w:rPr>
        <w:t>1</w:t>
      </w:r>
      <w:r>
        <w:rPr>
          <w:rFonts w:hint="eastAsia" w:ascii="宋体" w:hAnsi="宋体"/>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7A7BCC2D">
      <w:pPr>
        <w:spacing w:line="360" w:lineRule="auto"/>
        <w:ind w:firstLine="480" w:firstLineChars="200"/>
        <w:rPr>
          <w:rFonts w:ascii="宋体" w:hAnsi="宋体"/>
          <w:color w:val="000000"/>
          <w:sz w:val="24"/>
          <w:szCs w:val="24"/>
        </w:rPr>
      </w:pPr>
      <w:r>
        <w:rPr>
          <w:rFonts w:ascii="宋体" w:hAnsi="宋体"/>
          <w:color w:val="000000"/>
          <w:sz w:val="24"/>
          <w:szCs w:val="24"/>
        </w:rPr>
        <w:t>2</w:t>
      </w:r>
      <w:r>
        <w:rPr>
          <w:rFonts w:hint="eastAsia" w:ascii="宋体" w:hAnsi="宋体"/>
          <w:color w:val="000000"/>
          <w:sz w:val="24"/>
          <w:szCs w:val="24"/>
        </w:rPr>
        <w:t>.投标人在投标之前已经与贵方进行了充分的沟通，完全理解并接受招标文件的各项规定和要求，对招标文件的合理性、合法性不再有异议。</w:t>
      </w:r>
    </w:p>
    <w:p w14:paraId="776DD659">
      <w:pPr>
        <w:spacing w:line="360" w:lineRule="auto"/>
        <w:ind w:firstLine="480" w:firstLineChars="200"/>
        <w:rPr>
          <w:rFonts w:ascii="宋体" w:hAnsi="宋体"/>
          <w:color w:val="000000"/>
          <w:sz w:val="24"/>
          <w:szCs w:val="24"/>
        </w:rPr>
      </w:pPr>
      <w:r>
        <w:rPr>
          <w:rFonts w:ascii="宋体" w:hAnsi="宋体"/>
          <w:color w:val="000000"/>
          <w:sz w:val="24"/>
          <w:szCs w:val="24"/>
        </w:rPr>
        <w:t>3</w:t>
      </w:r>
      <w:r>
        <w:rPr>
          <w:rFonts w:hint="eastAsia" w:ascii="宋体" w:hAnsi="宋体"/>
          <w:color w:val="000000"/>
          <w:sz w:val="24"/>
          <w:szCs w:val="24"/>
        </w:rPr>
        <w:t>.本投标有效期自开标日起</w:t>
      </w:r>
      <w:r>
        <w:rPr>
          <w:rFonts w:ascii="宋体" w:hAnsi="宋体"/>
          <w:bCs/>
          <w:color w:val="000000"/>
          <w:sz w:val="24"/>
          <w:szCs w:val="24"/>
          <w:u w:val="single"/>
        </w:rPr>
        <w:t xml:space="preserve"> </w:t>
      </w:r>
      <w:r>
        <w:rPr>
          <w:rFonts w:hint="eastAsia" w:ascii="宋体" w:hAnsi="宋体"/>
          <w:bCs/>
          <w:color w:val="000000"/>
          <w:sz w:val="24"/>
          <w:szCs w:val="24"/>
          <w:u w:val="single"/>
        </w:rPr>
        <w:t xml:space="preserve"> </w:t>
      </w:r>
      <w:r>
        <w:rPr>
          <w:rFonts w:hint="eastAsia" w:ascii="宋体" w:hAnsi="宋体"/>
          <w:color w:val="000000"/>
          <w:sz w:val="24"/>
          <w:szCs w:val="24"/>
        </w:rPr>
        <w:t>个日历日。</w:t>
      </w:r>
    </w:p>
    <w:p w14:paraId="09B7EB1E">
      <w:pPr>
        <w:spacing w:line="360" w:lineRule="auto"/>
        <w:ind w:firstLine="480" w:firstLineChars="200"/>
        <w:rPr>
          <w:rFonts w:ascii="宋体" w:hAnsi="宋体"/>
          <w:color w:val="000000"/>
          <w:sz w:val="24"/>
          <w:szCs w:val="24"/>
        </w:rPr>
      </w:pPr>
      <w:r>
        <w:rPr>
          <w:rFonts w:ascii="宋体" w:hAnsi="宋体"/>
          <w:color w:val="000000"/>
          <w:sz w:val="24"/>
          <w:szCs w:val="24"/>
        </w:rPr>
        <w:t>4</w:t>
      </w:r>
      <w:r>
        <w:rPr>
          <w:rFonts w:hint="eastAsia" w:ascii="宋体" w:hAnsi="宋体"/>
          <w:color w:val="000000"/>
          <w:sz w:val="24"/>
          <w:szCs w:val="24"/>
        </w:rPr>
        <w:t>.如中标，本投标文件至本项目合同履行完毕止均保持有效，本投标人将按“招标文件”及政府采购法律、法规的规定履行合同责任和义务。</w:t>
      </w:r>
    </w:p>
    <w:p w14:paraId="4390B1DE">
      <w:pPr>
        <w:spacing w:line="360" w:lineRule="auto"/>
        <w:ind w:firstLine="480" w:firstLineChars="200"/>
        <w:rPr>
          <w:rFonts w:ascii="宋体" w:hAnsi="宋体"/>
          <w:color w:val="000000"/>
          <w:sz w:val="24"/>
          <w:szCs w:val="24"/>
        </w:rPr>
      </w:pPr>
      <w:r>
        <w:rPr>
          <w:rFonts w:ascii="宋体" w:hAnsi="宋体"/>
          <w:color w:val="000000"/>
          <w:sz w:val="24"/>
          <w:szCs w:val="24"/>
        </w:rPr>
        <w:t>5</w:t>
      </w:r>
      <w:r>
        <w:rPr>
          <w:rFonts w:hint="eastAsia" w:ascii="宋体" w:hAnsi="宋体"/>
          <w:color w:val="000000"/>
          <w:sz w:val="24"/>
          <w:szCs w:val="24"/>
        </w:rPr>
        <w:t>.投标人同意按照贵方要求提供与投标有关的一切数据或资料。</w:t>
      </w:r>
    </w:p>
    <w:p w14:paraId="36C59747">
      <w:pPr>
        <w:spacing w:line="360" w:lineRule="auto"/>
        <w:ind w:firstLine="480" w:firstLineChars="200"/>
        <w:rPr>
          <w:rFonts w:ascii="宋体" w:hAnsi="宋体"/>
          <w:color w:val="000000"/>
          <w:sz w:val="24"/>
          <w:szCs w:val="24"/>
        </w:rPr>
      </w:pPr>
      <w:r>
        <w:rPr>
          <w:rFonts w:ascii="宋体" w:hAnsi="宋体"/>
          <w:color w:val="000000"/>
          <w:sz w:val="24"/>
          <w:szCs w:val="24"/>
        </w:rPr>
        <w:t>6</w:t>
      </w:r>
      <w:r>
        <w:rPr>
          <w:rFonts w:hint="eastAsia" w:ascii="宋体" w:hAnsi="宋体"/>
          <w:color w:val="000000"/>
          <w:sz w:val="24"/>
          <w:szCs w:val="24"/>
        </w:rPr>
        <w:t>.与本投标有关的一切正式往来信函请寄：</w:t>
      </w:r>
    </w:p>
    <w:p w14:paraId="42DD352E">
      <w:pPr>
        <w:spacing w:line="360" w:lineRule="auto"/>
        <w:ind w:firstLine="480" w:firstLineChars="200"/>
        <w:rPr>
          <w:rFonts w:ascii="宋体" w:hAnsi="宋体"/>
          <w:color w:val="000000"/>
          <w:sz w:val="24"/>
          <w:szCs w:val="24"/>
        </w:rPr>
      </w:pPr>
      <w:r>
        <w:rPr>
          <w:rFonts w:hint="eastAsia" w:ascii="宋体" w:hAnsi="宋体"/>
          <w:color w:val="000000"/>
          <w:sz w:val="24"/>
          <w:szCs w:val="24"/>
        </w:rPr>
        <w:t>地址：</w:t>
      </w:r>
      <w:r>
        <w:rPr>
          <w:rFonts w:ascii="宋体" w:hAnsi="宋体"/>
          <w:color w:val="000000"/>
          <w:sz w:val="24"/>
          <w:szCs w:val="24"/>
        </w:rPr>
        <w:t xml:space="preserve">                             </w:t>
      </w:r>
    </w:p>
    <w:p w14:paraId="39A30849">
      <w:pPr>
        <w:spacing w:line="360" w:lineRule="auto"/>
        <w:ind w:firstLine="480" w:firstLineChars="200"/>
        <w:rPr>
          <w:rFonts w:ascii="宋体" w:hAnsi="宋体"/>
          <w:color w:val="000000"/>
          <w:sz w:val="24"/>
          <w:szCs w:val="24"/>
        </w:rPr>
      </w:pPr>
      <w:r>
        <w:rPr>
          <w:rFonts w:hint="eastAsia" w:ascii="宋体" w:hAnsi="宋体"/>
          <w:color w:val="000000"/>
          <w:sz w:val="24"/>
          <w:szCs w:val="24"/>
        </w:rPr>
        <w:t>邮编：</w:t>
      </w:r>
      <w:r>
        <w:rPr>
          <w:rFonts w:ascii="宋体" w:hAnsi="宋体"/>
          <w:color w:val="000000"/>
          <w:sz w:val="24"/>
          <w:szCs w:val="24"/>
        </w:rPr>
        <w:t xml:space="preserve">        </w:t>
      </w:r>
    </w:p>
    <w:p w14:paraId="1262C187">
      <w:pPr>
        <w:spacing w:line="360" w:lineRule="auto"/>
        <w:ind w:firstLine="480" w:firstLineChars="200"/>
        <w:rPr>
          <w:rFonts w:ascii="宋体" w:hAnsi="宋体"/>
          <w:color w:val="000000"/>
          <w:sz w:val="24"/>
          <w:szCs w:val="24"/>
        </w:rPr>
      </w:pPr>
      <w:r>
        <w:rPr>
          <w:rFonts w:hint="eastAsia" w:ascii="宋体" w:hAnsi="宋体"/>
          <w:color w:val="000000"/>
          <w:sz w:val="24"/>
          <w:szCs w:val="24"/>
        </w:rPr>
        <w:t>电话：</w:t>
      </w:r>
      <w:r>
        <w:rPr>
          <w:rFonts w:ascii="宋体" w:hAnsi="宋体"/>
          <w:color w:val="000000"/>
          <w:sz w:val="24"/>
          <w:szCs w:val="24"/>
        </w:rPr>
        <w:t xml:space="preserve">        </w:t>
      </w:r>
      <w:r>
        <w:rPr>
          <w:rFonts w:hint="eastAsia" w:ascii="宋体" w:hAnsi="宋体"/>
          <w:color w:val="000000"/>
          <w:sz w:val="24"/>
          <w:szCs w:val="24"/>
        </w:rPr>
        <w:t>传真：</w:t>
      </w:r>
      <w:r>
        <w:rPr>
          <w:rFonts w:ascii="宋体" w:hAnsi="宋体"/>
          <w:color w:val="000000"/>
          <w:sz w:val="24"/>
          <w:szCs w:val="24"/>
        </w:rPr>
        <w:t xml:space="preserve">                   </w:t>
      </w:r>
    </w:p>
    <w:p w14:paraId="6B787014">
      <w:pPr>
        <w:spacing w:line="360" w:lineRule="auto"/>
        <w:ind w:firstLine="480" w:firstLineChars="200"/>
        <w:rPr>
          <w:rFonts w:ascii="宋体" w:hAnsi="宋体"/>
          <w:color w:val="000000"/>
          <w:sz w:val="24"/>
          <w:szCs w:val="24"/>
        </w:rPr>
      </w:pPr>
      <w:r>
        <w:rPr>
          <w:rFonts w:hint="eastAsia" w:ascii="宋体" w:hAnsi="宋体"/>
          <w:color w:val="000000"/>
          <w:sz w:val="24"/>
          <w:szCs w:val="24"/>
        </w:rPr>
        <w:t>投标人代表姓名：</w:t>
      </w:r>
      <w:r>
        <w:rPr>
          <w:rFonts w:hint="eastAsia" w:ascii="宋体" w:hAnsi="宋体"/>
          <w:color w:val="000000"/>
          <w:sz w:val="24"/>
          <w:szCs w:val="24"/>
          <w:u w:val="single"/>
        </w:rPr>
        <w:t xml:space="preserve">         </w:t>
      </w:r>
      <w:r>
        <w:rPr>
          <w:rFonts w:hint="eastAsia" w:ascii="宋体" w:hAnsi="宋体"/>
          <w:color w:val="000000"/>
          <w:sz w:val="24"/>
          <w:szCs w:val="24"/>
        </w:rPr>
        <w:t>职务：</w:t>
      </w:r>
      <w:r>
        <w:rPr>
          <w:rFonts w:ascii="宋体" w:hAnsi="宋体"/>
          <w:color w:val="000000"/>
          <w:sz w:val="24"/>
          <w:szCs w:val="24"/>
        </w:rPr>
        <w:t xml:space="preserve">          </w:t>
      </w:r>
    </w:p>
    <w:p w14:paraId="20ECB88B">
      <w:pPr>
        <w:spacing w:line="360" w:lineRule="auto"/>
        <w:ind w:firstLine="480" w:firstLineChars="200"/>
        <w:rPr>
          <w:rFonts w:ascii="宋体" w:hAnsi="宋体"/>
          <w:color w:val="000000"/>
          <w:sz w:val="24"/>
          <w:szCs w:val="24"/>
        </w:rPr>
      </w:pPr>
      <w:r>
        <w:rPr>
          <w:rFonts w:hint="eastAsia" w:ascii="宋体" w:hAnsi="宋体"/>
          <w:color w:val="000000"/>
          <w:sz w:val="24"/>
          <w:szCs w:val="24"/>
        </w:rPr>
        <w:t>开户银行：</w:t>
      </w:r>
      <w:r>
        <w:rPr>
          <w:rFonts w:ascii="宋体" w:hAnsi="宋体"/>
          <w:color w:val="000000"/>
          <w:sz w:val="24"/>
          <w:szCs w:val="24"/>
        </w:rPr>
        <w:t xml:space="preserve">                   </w:t>
      </w:r>
    </w:p>
    <w:p w14:paraId="3449DD98">
      <w:pPr>
        <w:spacing w:line="360" w:lineRule="auto"/>
        <w:ind w:firstLine="480" w:firstLineChars="200"/>
        <w:rPr>
          <w:rFonts w:ascii="宋体" w:hAnsi="宋体"/>
          <w:color w:val="000000"/>
          <w:sz w:val="24"/>
          <w:szCs w:val="24"/>
        </w:rPr>
      </w:pPr>
      <w:r>
        <w:rPr>
          <w:rFonts w:hint="eastAsia" w:ascii="宋体" w:hAnsi="宋体"/>
          <w:color w:val="000000"/>
          <w:sz w:val="24"/>
          <w:szCs w:val="24"/>
        </w:rPr>
        <w:t>银行帐号：</w:t>
      </w:r>
      <w:r>
        <w:rPr>
          <w:rFonts w:ascii="宋体" w:hAnsi="宋体"/>
          <w:color w:val="000000"/>
          <w:sz w:val="24"/>
          <w:szCs w:val="24"/>
        </w:rPr>
        <w:t xml:space="preserve">                   </w:t>
      </w:r>
    </w:p>
    <w:p w14:paraId="74523873">
      <w:pPr>
        <w:spacing w:line="360" w:lineRule="auto"/>
        <w:ind w:firstLine="480" w:firstLineChars="200"/>
        <w:rPr>
          <w:rFonts w:ascii="宋体" w:hAnsi="宋体"/>
          <w:color w:val="000000"/>
          <w:sz w:val="24"/>
          <w:szCs w:val="24"/>
        </w:rPr>
      </w:pPr>
      <w:r>
        <w:rPr>
          <w:rFonts w:hint="eastAsia" w:ascii="宋体" w:hAnsi="宋体"/>
          <w:color w:val="000000"/>
          <w:sz w:val="24"/>
          <w:szCs w:val="24"/>
        </w:rPr>
        <w:t>投标人名称（</w:t>
      </w:r>
      <w:r>
        <w:rPr>
          <w:rFonts w:hint="eastAsia" w:ascii="宋体" w:hAnsi="宋体"/>
          <w:bCs/>
          <w:color w:val="000000"/>
          <w:sz w:val="24"/>
          <w:szCs w:val="24"/>
        </w:rPr>
        <w:t>盖章）</w:t>
      </w:r>
      <w:r>
        <w:rPr>
          <w:rFonts w:ascii="宋体" w:hAnsi="宋体"/>
          <w:color w:val="000000"/>
          <w:sz w:val="24"/>
          <w:szCs w:val="24"/>
        </w:rPr>
        <w:t xml:space="preserve">: </w:t>
      </w:r>
    </w:p>
    <w:p w14:paraId="72171D86">
      <w:pPr>
        <w:spacing w:line="360" w:lineRule="auto"/>
        <w:ind w:firstLine="480" w:firstLineChars="200"/>
        <w:rPr>
          <w:rFonts w:ascii="宋体" w:hAnsi="宋体"/>
          <w:color w:val="000000"/>
          <w:sz w:val="24"/>
          <w:szCs w:val="24"/>
        </w:rPr>
      </w:pPr>
      <w:r>
        <w:rPr>
          <w:rFonts w:hint="eastAsia" w:ascii="宋体" w:hAnsi="宋体"/>
          <w:color w:val="000000"/>
          <w:sz w:val="24"/>
          <w:szCs w:val="24"/>
        </w:rPr>
        <w:t>授权代表签字</w:t>
      </w:r>
      <w:r>
        <w:rPr>
          <w:rFonts w:hint="eastAsia" w:ascii="宋体" w:hAnsi="宋体"/>
          <w:bCs/>
          <w:color w:val="000000"/>
          <w:sz w:val="24"/>
          <w:szCs w:val="24"/>
        </w:rPr>
        <w:t>：</w:t>
      </w:r>
    </w:p>
    <w:p w14:paraId="1181B0F8">
      <w:pPr>
        <w:spacing w:line="360" w:lineRule="auto"/>
        <w:ind w:firstLine="480" w:firstLineChars="200"/>
        <w:rPr>
          <w:rFonts w:ascii="宋体" w:hAnsi="宋体"/>
          <w:color w:val="000000"/>
          <w:sz w:val="24"/>
          <w:szCs w:val="24"/>
        </w:rPr>
      </w:pPr>
      <w:r>
        <w:rPr>
          <w:rFonts w:hint="eastAsia" w:ascii="宋体" w:hAnsi="宋体"/>
          <w:color w:val="000000"/>
          <w:sz w:val="24"/>
          <w:szCs w:val="24"/>
        </w:rPr>
        <w:t>日期：</w:t>
      </w:r>
      <w:r>
        <w:rPr>
          <w:rFonts w:ascii="宋体" w:hAnsi="宋体"/>
          <w:color w:val="000000"/>
          <w:sz w:val="24"/>
          <w:szCs w:val="24"/>
        </w:rPr>
        <w:t xml:space="preserve">     </w:t>
      </w:r>
      <w:r>
        <w:rPr>
          <w:rFonts w:hint="eastAsia" w:ascii="宋体" w:hAnsi="宋体"/>
          <w:color w:val="000000"/>
          <w:sz w:val="24"/>
          <w:szCs w:val="24"/>
        </w:rPr>
        <w:t>年</w:t>
      </w:r>
      <w:r>
        <w:rPr>
          <w:rFonts w:ascii="宋体" w:hAnsi="宋体"/>
          <w:color w:val="000000"/>
          <w:sz w:val="24"/>
          <w:szCs w:val="24"/>
        </w:rPr>
        <w:t xml:space="preserve">      </w:t>
      </w:r>
      <w:r>
        <w:rPr>
          <w:rFonts w:hint="eastAsia" w:ascii="宋体" w:hAnsi="宋体"/>
          <w:color w:val="000000"/>
          <w:sz w:val="24"/>
          <w:szCs w:val="24"/>
        </w:rPr>
        <w:t>月</w:t>
      </w:r>
      <w:r>
        <w:rPr>
          <w:rFonts w:ascii="宋体" w:hAnsi="宋体"/>
          <w:color w:val="000000"/>
          <w:sz w:val="24"/>
          <w:szCs w:val="24"/>
        </w:rPr>
        <w:t xml:space="preserve">      </w:t>
      </w:r>
      <w:r>
        <w:rPr>
          <w:rFonts w:hint="eastAsia" w:ascii="宋体" w:hAnsi="宋体"/>
          <w:color w:val="000000"/>
          <w:sz w:val="24"/>
          <w:szCs w:val="24"/>
        </w:rPr>
        <w:t>日</w:t>
      </w:r>
    </w:p>
    <w:p w14:paraId="03404B71">
      <w:pPr>
        <w:rPr>
          <w:rFonts w:ascii="黑体" w:hAnsi="Calibri" w:eastAsia="黑体"/>
          <w:color w:val="000000"/>
          <w:sz w:val="24"/>
          <w:szCs w:val="24"/>
        </w:rPr>
      </w:pPr>
    </w:p>
    <w:p w14:paraId="3149AC83">
      <w:pPr>
        <w:rPr>
          <w:rFonts w:ascii="宋体"/>
          <w:b/>
          <w:color w:val="000000"/>
          <w:szCs w:val="24"/>
        </w:rPr>
      </w:pPr>
    </w:p>
    <w:p w14:paraId="1256C9D8">
      <w:pPr>
        <w:pStyle w:val="72"/>
        <w:numPr>
          <w:ilvl w:val="0"/>
          <w:numId w:val="0"/>
        </w:numPr>
        <w:rPr>
          <w:rFonts w:ascii="宋体" w:hAnsi="宋体" w:eastAsia="宋体" w:cs="宋体"/>
          <w:sz w:val="32"/>
          <w:szCs w:val="32"/>
          <w:highlight w:val="yellow"/>
        </w:rPr>
      </w:pPr>
      <w:bookmarkStart w:id="40" w:name="_Toc47976618"/>
      <w:bookmarkStart w:id="41" w:name="_Toc29366869"/>
      <w:bookmarkStart w:id="42" w:name="_Toc29366865"/>
      <w:r>
        <w:rPr>
          <w:rFonts w:hint="eastAsia" w:ascii="宋体" w:hAnsi="宋体" w:eastAsia="宋体" w:cs="宋体"/>
          <w:sz w:val="32"/>
          <w:szCs w:val="32"/>
          <w:highlight w:val="yellow"/>
        </w:rPr>
        <w:t>附件2</w:t>
      </w:r>
    </w:p>
    <w:bookmarkEnd w:id="40"/>
    <w:p w14:paraId="7CFE8133">
      <w:pPr>
        <w:spacing w:line="360" w:lineRule="auto"/>
        <w:jc w:val="center"/>
        <w:rPr>
          <w:rFonts w:ascii="宋体" w:hAnsi="宋体" w:cs="宋体"/>
          <w:color w:val="000000"/>
          <w:sz w:val="32"/>
          <w:szCs w:val="32"/>
        </w:rPr>
      </w:pPr>
      <w:r>
        <w:rPr>
          <w:rFonts w:hint="eastAsia" w:ascii="宋体" w:hAnsi="宋体" w:cs="宋体"/>
          <w:b/>
          <w:bCs/>
          <w:color w:val="000000"/>
          <w:sz w:val="32"/>
          <w:szCs w:val="32"/>
        </w:rPr>
        <w:t>法定代表人授权委托书</w:t>
      </w:r>
    </w:p>
    <w:p w14:paraId="5C29F252">
      <w:pPr>
        <w:spacing w:line="360" w:lineRule="auto"/>
        <w:ind w:firstLine="480" w:firstLineChars="200"/>
        <w:rPr>
          <w:rFonts w:ascii="宋体" w:hAnsi="宋体"/>
          <w:color w:val="000000"/>
          <w:sz w:val="24"/>
          <w:szCs w:val="24"/>
        </w:rPr>
      </w:pPr>
      <w:r>
        <w:rPr>
          <w:rFonts w:hint="eastAsia" w:ascii="宋体" w:hAnsi="宋体"/>
          <w:color w:val="000000"/>
          <w:sz w:val="24"/>
          <w:szCs w:val="24"/>
        </w:rPr>
        <w:t>本授权委托书声明：我＿＿＿＿＿＿＿（姓名）系＿＿＿＿＿＿＿＿＿＿＿＿＿＿＿＿＿＿＿＿＿＿＿＿（投标人全称）的法定代表人，就</w:t>
      </w:r>
      <w:r>
        <w:rPr>
          <w:rFonts w:ascii="宋体" w:hAnsi="宋体"/>
          <w:b/>
          <w:bCs/>
          <w:color w:val="000000"/>
          <w:sz w:val="24"/>
          <w:szCs w:val="24"/>
          <w:u w:val="single"/>
        </w:rPr>
        <w:t xml:space="preserve"> </w:t>
      </w:r>
      <w:r>
        <w:rPr>
          <w:rFonts w:hint="eastAsia" w:ascii="宋体" w:hAnsi="宋体"/>
          <w:b/>
          <w:bCs/>
          <w:color w:val="000000"/>
          <w:sz w:val="24"/>
          <w:szCs w:val="24"/>
          <w:u w:val="single"/>
        </w:rPr>
        <w:t xml:space="preserve">                      </w:t>
      </w:r>
      <w:r>
        <w:rPr>
          <w:rFonts w:hint="eastAsia" w:ascii="宋体" w:hAnsi="宋体"/>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00DF785C">
      <w:pPr>
        <w:spacing w:line="360" w:lineRule="auto"/>
        <w:ind w:firstLine="480" w:firstLineChars="200"/>
        <w:rPr>
          <w:rFonts w:ascii="宋体" w:hAnsi="宋体"/>
          <w:color w:val="000000"/>
          <w:sz w:val="24"/>
          <w:szCs w:val="24"/>
        </w:rPr>
      </w:pPr>
      <w:r>
        <w:rPr>
          <w:rFonts w:hint="eastAsia" w:ascii="宋体" w:hAnsi="宋体"/>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4782C8A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267A208A">
            <w:pPr>
              <w:adjustRightInd w:val="0"/>
              <w:snapToGrid w:val="0"/>
              <w:spacing w:before="93" w:beforeLines="30" w:line="312" w:lineRule="auto"/>
              <w:jc w:val="center"/>
              <w:rPr>
                <w:rFonts w:ascii="宋体" w:hAnsi="Calibri"/>
                <w:sz w:val="24"/>
              </w:rPr>
            </w:pPr>
            <w:r>
              <w:rPr>
                <w:rFonts w:hint="eastAsia" w:ascii="宋体" w:hAnsi="宋体"/>
                <w:sz w:val="24"/>
              </w:rPr>
              <w:t>附法人身份证明复印件（</w:t>
            </w:r>
            <w:r>
              <w:rPr>
                <w:rFonts w:hint="eastAsia" w:ascii="宋体" w:hAnsi="宋体"/>
                <w:color w:val="000000" w:themeColor="text1"/>
                <w:sz w:val="24"/>
                <w14:textFill>
                  <w14:solidFill>
                    <w14:schemeClr w14:val="tx1"/>
                  </w14:solidFill>
                </w14:textFill>
              </w:rPr>
              <w:t>正反面）</w:t>
            </w:r>
          </w:p>
          <w:p w14:paraId="557C0965">
            <w:pPr>
              <w:adjustRightInd w:val="0"/>
              <w:snapToGrid w:val="0"/>
              <w:spacing w:before="93" w:beforeLines="30" w:line="312" w:lineRule="auto"/>
              <w:jc w:val="center"/>
              <w:rPr>
                <w:rFonts w:ascii="宋体" w:hAnsi="Calibri"/>
                <w:sz w:val="24"/>
              </w:rPr>
            </w:pPr>
            <w:r>
              <w:rPr>
                <w:rFonts w:hint="eastAsia" w:ascii="宋体" w:hAnsi="宋体"/>
                <w:sz w:val="24"/>
              </w:rPr>
              <w:t>附授权代理人身份证明复印件（正反面）</w:t>
            </w:r>
          </w:p>
        </w:tc>
      </w:tr>
    </w:tbl>
    <w:p w14:paraId="5276EDC9">
      <w:pPr>
        <w:spacing w:line="360" w:lineRule="auto"/>
        <w:ind w:firstLine="480" w:firstLineChars="200"/>
        <w:rPr>
          <w:rFonts w:ascii="宋体" w:hAnsi="宋体"/>
          <w:color w:val="000000"/>
          <w:sz w:val="24"/>
          <w:szCs w:val="24"/>
        </w:rPr>
      </w:pPr>
      <w:r>
        <w:rPr>
          <w:rFonts w:hint="eastAsia" w:ascii="宋体" w:hAnsi="宋体"/>
          <w:color w:val="000000"/>
          <w:sz w:val="24"/>
          <w:szCs w:val="24"/>
        </w:rPr>
        <w:t>全权代表姓名：</w:t>
      </w:r>
      <w:r>
        <w:rPr>
          <w:rFonts w:ascii="宋体" w:hAnsi="宋体"/>
          <w:color w:val="000000"/>
          <w:sz w:val="24"/>
          <w:szCs w:val="24"/>
        </w:rPr>
        <w:t xml:space="preserve">            </w:t>
      </w:r>
      <w:r>
        <w:rPr>
          <w:rFonts w:hint="eastAsia" w:ascii="宋体" w:hAnsi="宋体"/>
          <w:color w:val="000000"/>
          <w:sz w:val="24"/>
          <w:szCs w:val="24"/>
        </w:rPr>
        <w:t>性别：</w:t>
      </w:r>
      <w:r>
        <w:rPr>
          <w:rFonts w:ascii="宋体" w:hAnsi="宋体"/>
          <w:color w:val="000000"/>
          <w:sz w:val="24"/>
          <w:szCs w:val="24"/>
        </w:rPr>
        <w:t xml:space="preserve">          </w:t>
      </w:r>
      <w:r>
        <w:rPr>
          <w:rFonts w:hint="eastAsia" w:ascii="宋体" w:hAnsi="宋体"/>
          <w:color w:val="000000"/>
          <w:sz w:val="24"/>
          <w:szCs w:val="24"/>
        </w:rPr>
        <w:t>年龄：</w:t>
      </w:r>
    </w:p>
    <w:p w14:paraId="04A41E17">
      <w:pPr>
        <w:spacing w:line="360" w:lineRule="auto"/>
        <w:ind w:firstLine="480" w:firstLineChars="200"/>
        <w:rPr>
          <w:rFonts w:ascii="宋体" w:hAnsi="宋体"/>
          <w:color w:val="000000"/>
          <w:sz w:val="24"/>
          <w:szCs w:val="24"/>
        </w:rPr>
      </w:pPr>
      <w:r>
        <w:rPr>
          <w:rFonts w:hint="eastAsia" w:ascii="宋体" w:hAnsi="宋体"/>
          <w:color w:val="000000"/>
          <w:sz w:val="24"/>
          <w:szCs w:val="24"/>
        </w:rPr>
        <w:t>单位：</w:t>
      </w:r>
      <w:r>
        <w:rPr>
          <w:rFonts w:ascii="宋体" w:hAnsi="宋体"/>
          <w:color w:val="000000"/>
          <w:sz w:val="24"/>
          <w:szCs w:val="24"/>
        </w:rPr>
        <w:t xml:space="preserve">                    </w:t>
      </w:r>
      <w:r>
        <w:rPr>
          <w:rFonts w:hint="eastAsia" w:ascii="宋体" w:hAnsi="宋体"/>
          <w:color w:val="000000"/>
          <w:sz w:val="24"/>
          <w:szCs w:val="24"/>
        </w:rPr>
        <w:t>部门：</w:t>
      </w:r>
      <w:r>
        <w:rPr>
          <w:rFonts w:ascii="宋体" w:hAnsi="宋体"/>
          <w:color w:val="000000"/>
          <w:sz w:val="24"/>
          <w:szCs w:val="24"/>
        </w:rPr>
        <w:t xml:space="preserve">          </w:t>
      </w:r>
      <w:r>
        <w:rPr>
          <w:rFonts w:hint="eastAsia" w:ascii="宋体" w:hAnsi="宋体"/>
          <w:color w:val="000000"/>
          <w:sz w:val="24"/>
          <w:szCs w:val="24"/>
        </w:rPr>
        <w:t>职务：</w:t>
      </w:r>
    </w:p>
    <w:p w14:paraId="313A3EDD">
      <w:pPr>
        <w:spacing w:line="360" w:lineRule="auto"/>
        <w:ind w:firstLine="480" w:firstLineChars="200"/>
        <w:rPr>
          <w:rFonts w:ascii="宋体" w:hAnsi="宋体"/>
          <w:color w:val="000000"/>
          <w:sz w:val="24"/>
          <w:szCs w:val="24"/>
        </w:rPr>
      </w:pPr>
      <w:r>
        <w:rPr>
          <w:rFonts w:hint="eastAsia" w:ascii="宋体" w:hAnsi="宋体"/>
          <w:color w:val="000000"/>
          <w:sz w:val="24"/>
          <w:szCs w:val="24"/>
        </w:rPr>
        <w:t>法定代表人签字或盖章</w:t>
      </w:r>
      <w:r>
        <w:rPr>
          <w:rFonts w:ascii="宋体" w:hAnsi="宋体"/>
          <w:color w:val="000000"/>
          <w:sz w:val="24"/>
          <w:szCs w:val="24"/>
        </w:rPr>
        <w:t xml:space="preserve">                          </w:t>
      </w:r>
    </w:p>
    <w:p w14:paraId="1D2763C2">
      <w:pPr>
        <w:spacing w:line="360" w:lineRule="auto"/>
        <w:ind w:firstLine="480" w:firstLineChars="200"/>
        <w:rPr>
          <w:rFonts w:ascii="宋体" w:hAnsi="宋体"/>
          <w:color w:val="000000"/>
          <w:sz w:val="24"/>
          <w:szCs w:val="24"/>
        </w:rPr>
      </w:pPr>
      <w:r>
        <w:rPr>
          <w:rFonts w:hint="eastAsia" w:ascii="宋体" w:hAnsi="宋体"/>
          <w:color w:val="000000"/>
          <w:sz w:val="24"/>
          <w:szCs w:val="24"/>
        </w:rPr>
        <w:t>被授权人签字</w:t>
      </w:r>
      <w:r>
        <w:rPr>
          <w:rFonts w:ascii="宋体" w:hAnsi="宋体"/>
          <w:color w:val="000000"/>
          <w:sz w:val="24"/>
          <w:szCs w:val="24"/>
        </w:rPr>
        <w:t xml:space="preserve">  </w:t>
      </w:r>
    </w:p>
    <w:p w14:paraId="76EA377E">
      <w:pPr>
        <w:spacing w:line="360" w:lineRule="auto"/>
        <w:ind w:firstLine="480" w:firstLineChars="200"/>
        <w:rPr>
          <w:rFonts w:ascii="宋体" w:hAnsi="宋体"/>
          <w:color w:val="000000"/>
          <w:sz w:val="24"/>
          <w:szCs w:val="24"/>
        </w:rPr>
      </w:pPr>
      <w:r>
        <w:rPr>
          <w:rFonts w:hint="eastAsia" w:ascii="宋体" w:hAnsi="宋体"/>
          <w:color w:val="000000"/>
          <w:sz w:val="24"/>
          <w:szCs w:val="24"/>
        </w:rPr>
        <w:t>被授权人电话：</w:t>
      </w:r>
      <w:r>
        <w:rPr>
          <w:rFonts w:ascii="宋体" w:hAnsi="宋体"/>
          <w:color w:val="000000"/>
          <w:sz w:val="24"/>
          <w:szCs w:val="24"/>
        </w:rPr>
        <w:t xml:space="preserve">   </w:t>
      </w:r>
    </w:p>
    <w:p w14:paraId="7BF08646">
      <w:pPr>
        <w:spacing w:line="360" w:lineRule="auto"/>
        <w:ind w:firstLine="480" w:firstLineChars="200"/>
        <w:rPr>
          <w:rFonts w:ascii="宋体" w:hAnsi="宋体"/>
          <w:color w:val="000000"/>
          <w:sz w:val="24"/>
          <w:szCs w:val="24"/>
        </w:rPr>
      </w:pPr>
      <w:r>
        <w:rPr>
          <w:rFonts w:hint="eastAsia" w:ascii="宋体" w:hAnsi="宋体"/>
          <w:color w:val="000000"/>
          <w:sz w:val="24"/>
          <w:szCs w:val="24"/>
        </w:rPr>
        <w:t>投标人名称（公章）</w:t>
      </w:r>
      <w:r>
        <w:rPr>
          <w:rFonts w:ascii="宋体" w:hAnsi="宋体"/>
          <w:color w:val="000000"/>
          <w:sz w:val="24"/>
          <w:szCs w:val="24"/>
        </w:rPr>
        <w:t xml:space="preserve">                       </w:t>
      </w:r>
    </w:p>
    <w:p w14:paraId="1798ACF9">
      <w:pPr>
        <w:spacing w:line="460" w:lineRule="exact"/>
        <w:ind w:firstLine="5520" w:firstLineChars="2300"/>
        <w:rPr>
          <w:rFonts w:ascii="宋体" w:hAnsi="Calibri"/>
          <w:sz w:val="24"/>
          <w:u w:val="single"/>
        </w:rPr>
      </w:pPr>
      <w:r>
        <w:rPr>
          <w:rFonts w:ascii="宋体" w:hAnsi="宋体"/>
          <w:sz w:val="24"/>
          <w:u w:val="single"/>
        </w:rPr>
        <w:t xml:space="preserve">      </w:t>
      </w:r>
      <w:r>
        <w:rPr>
          <w:rFonts w:hint="eastAsia" w:ascii="宋体" w:hAnsi="宋体"/>
          <w:sz w:val="24"/>
        </w:rPr>
        <w:t>年</w:t>
      </w:r>
      <w:r>
        <w:rPr>
          <w:rFonts w:ascii="宋体" w:hAnsi="宋体"/>
          <w:sz w:val="24"/>
          <w:u w:val="single"/>
        </w:rPr>
        <w:t xml:space="preserve">   </w:t>
      </w:r>
      <w:r>
        <w:rPr>
          <w:rFonts w:hint="eastAsia" w:ascii="宋体" w:hAnsi="宋体"/>
          <w:sz w:val="24"/>
        </w:rPr>
        <w:t>月</w:t>
      </w:r>
      <w:r>
        <w:rPr>
          <w:rFonts w:ascii="宋体" w:hAnsi="宋体"/>
          <w:sz w:val="24"/>
          <w:u w:val="single"/>
        </w:rPr>
        <w:t xml:space="preserve">   </w:t>
      </w:r>
      <w:r>
        <w:rPr>
          <w:rFonts w:hint="eastAsia" w:ascii="宋体" w:hAnsi="宋体"/>
          <w:sz w:val="24"/>
        </w:rPr>
        <w:t>日</w:t>
      </w:r>
    </w:p>
    <w:p w14:paraId="69D039C4">
      <w:pPr>
        <w:spacing w:line="360" w:lineRule="auto"/>
        <w:ind w:firstLine="4800" w:firstLineChars="2000"/>
        <w:rPr>
          <w:rFonts w:ascii="宋体" w:hAnsi="宋体" w:cs="宋体"/>
          <w:sz w:val="24"/>
          <w:szCs w:val="21"/>
        </w:rPr>
      </w:pPr>
    </w:p>
    <w:p w14:paraId="6B8B19E1">
      <w:pPr>
        <w:spacing w:line="360" w:lineRule="auto"/>
        <w:ind w:firstLine="4800" w:firstLineChars="2000"/>
        <w:rPr>
          <w:rFonts w:ascii="宋体" w:hAnsi="宋体" w:cs="宋体"/>
          <w:sz w:val="24"/>
          <w:szCs w:val="21"/>
        </w:rPr>
      </w:pPr>
    </w:p>
    <w:p w14:paraId="78D2A2A5">
      <w:pPr>
        <w:spacing w:line="360" w:lineRule="auto"/>
        <w:ind w:firstLine="4800" w:firstLineChars="2000"/>
        <w:rPr>
          <w:rFonts w:ascii="宋体" w:hAnsi="宋体" w:cs="宋体"/>
          <w:sz w:val="24"/>
          <w:szCs w:val="21"/>
        </w:rPr>
      </w:pPr>
    </w:p>
    <w:p w14:paraId="67A7EA2F">
      <w:pPr>
        <w:spacing w:line="360" w:lineRule="auto"/>
        <w:ind w:firstLine="4800" w:firstLineChars="2000"/>
        <w:rPr>
          <w:rFonts w:ascii="宋体" w:hAnsi="宋体" w:cs="宋体"/>
          <w:sz w:val="24"/>
          <w:szCs w:val="21"/>
        </w:rPr>
      </w:pPr>
    </w:p>
    <w:p w14:paraId="36021616">
      <w:pPr>
        <w:pStyle w:val="2"/>
      </w:pPr>
    </w:p>
    <w:p w14:paraId="3AB65849">
      <w:pPr>
        <w:spacing w:line="360" w:lineRule="auto"/>
        <w:rPr>
          <w:rFonts w:ascii="宋体" w:hAnsi="宋体" w:cs="宋体"/>
          <w:sz w:val="24"/>
          <w:szCs w:val="21"/>
        </w:rPr>
      </w:pPr>
    </w:p>
    <w:bookmarkEnd w:id="41"/>
    <w:bookmarkEnd w:id="42"/>
    <w:p w14:paraId="305189F9">
      <w:pPr>
        <w:pStyle w:val="72"/>
        <w:numPr>
          <w:ilvl w:val="0"/>
          <w:numId w:val="0"/>
        </w:numPr>
        <w:rPr>
          <w:rFonts w:ascii="宋体" w:hAnsi="宋体" w:eastAsia="宋体" w:cs="宋体"/>
          <w:sz w:val="32"/>
          <w:szCs w:val="32"/>
          <w:highlight w:val="yellow"/>
        </w:rPr>
      </w:pPr>
      <w:r>
        <w:rPr>
          <w:rFonts w:hint="eastAsia" w:ascii="宋体" w:hAnsi="宋体" w:eastAsia="宋体" w:cs="宋体"/>
          <w:sz w:val="32"/>
          <w:szCs w:val="32"/>
          <w:highlight w:val="yellow"/>
        </w:rPr>
        <w:t>附件3</w:t>
      </w:r>
    </w:p>
    <w:p w14:paraId="5D6099D2">
      <w:pPr>
        <w:pStyle w:val="72"/>
        <w:numPr>
          <w:ilvl w:val="0"/>
          <w:numId w:val="0"/>
        </w:numPr>
        <w:jc w:val="center"/>
      </w:pPr>
      <w:r>
        <w:rPr>
          <w:rFonts w:hint="eastAsia"/>
        </w:rPr>
        <w:t>开标一览表</w:t>
      </w:r>
    </w:p>
    <w:p w14:paraId="2239C88E">
      <w:pPr>
        <w:spacing w:line="360" w:lineRule="auto"/>
        <w:ind w:firstLine="480" w:firstLineChars="200"/>
        <w:rPr>
          <w:rFonts w:ascii="宋体" w:hAnsi="宋体"/>
          <w:color w:val="000000"/>
          <w:sz w:val="24"/>
          <w:szCs w:val="24"/>
        </w:rPr>
      </w:pPr>
      <w:r>
        <w:rPr>
          <w:rFonts w:hint="eastAsia" w:ascii="宋体" w:hAnsi="宋体"/>
          <w:color w:val="000000"/>
          <w:sz w:val="24"/>
          <w:szCs w:val="24"/>
        </w:rPr>
        <w:t>项目名称：</w:t>
      </w:r>
      <w:r>
        <w:rPr>
          <w:rFonts w:hint="eastAsia" w:ascii="宋体" w:hAnsi="宋体"/>
          <w:color w:val="000000"/>
          <w:sz w:val="24"/>
          <w:szCs w:val="24"/>
          <w:u w:val="single"/>
        </w:rPr>
        <w:t xml:space="preserve">                          </w:t>
      </w:r>
      <w:r>
        <w:rPr>
          <w:rFonts w:ascii="宋体" w:hAnsi="宋体"/>
          <w:color w:val="000000"/>
          <w:sz w:val="24"/>
          <w:szCs w:val="24"/>
        </w:rPr>
        <w:t xml:space="preserve">                                                        </w:t>
      </w:r>
    </w:p>
    <w:tbl>
      <w:tblPr>
        <w:tblStyle w:val="30"/>
        <w:tblW w:w="60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699"/>
      </w:tblGrid>
      <w:tr w14:paraId="2C97E0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69691CC5">
            <w:pPr>
              <w:jc w:val="center"/>
              <w:rPr>
                <w:b/>
              </w:rPr>
            </w:pPr>
            <w:r>
              <w:rPr>
                <w:rFonts w:hint="eastAsia"/>
                <w:b/>
              </w:rPr>
              <w:t>序号</w:t>
            </w:r>
          </w:p>
        </w:tc>
        <w:tc>
          <w:tcPr>
            <w:tcW w:w="1518" w:type="dxa"/>
            <w:vAlign w:val="center"/>
          </w:tcPr>
          <w:p w14:paraId="04897E43">
            <w:pPr>
              <w:jc w:val="center"/>
              <w:rPr>
                <w:b/>
              </w:rPr>
            </w:pPr>
            <w:r>
              <w:rPr>
                <w:rFonts w:hint="eastAsia"/>
                <w:b/>
              </w:rPr>
              <w:t>货物名称</w:t>
            </w:r>
          </w:p>
        </w:tc>
        <w:tc>
          <w:tcPr>
            <w:tcW w:w="848" w:type="dxa"/>
            <w:vAlign w:val="center"/>
          </w:tcPr>
          <w:p w14:paraId="546E18F2">
            <w:pPr>
              <w:jc w:val="center"/>
              <w:rPr>
                <w:b/>
              </w:rPr>
            </w:pPr>
            <w:r>
              <w:rPr>
                <w:rFonts w:hint="eastAsia"/>
                <w:b/>
              </w:rPr>
              <w:t>数量</w:t>
            </w:r>
          </w:p>
        </w:tc>
        <w:tc>
          <w:tcPr>
            <w:tcW w:w="2270" w:type="dxa"/>
            <w:vAlign w:val="center"/>
          </w:tcPr>
          <w:p w14:paraId="199D2B89">
            <w:pPr>
              <w:jc w:val="center"/>
              <w:rPr>
                <w:b/>
              </w:rPr>
            </w:pPr>
            <w:r>
              <w:rPr>
                <w:rFonts w:hint="eastAsia"/>
                <w:b/>
              </w:rPr>
              <w:t>投标总价</w:t>
            </w:r>
            <w:r>
              <w:rPr>
                <w:rFonts w:hint="eastAsia" w:ascii="等线" w:hAnsi="等线" w:eastAsia="等线"/>
                <w:b/>
              </w:rPr>
              <w:t>（元）</w:t>
            </w:r>
          </w:p>
        </w:tc>
        <w:tc>
          <w:tcPr>
            <w:tcW w:w="699" w:type="dxa"/>
            <w:vAlign w:val="center"/>
          </w:tcPr>
          <w:p w14:paraId="23E23EE3">
            <w:pPr>
              <w:jc w:val="center"/>
              <w:rPr>
                <w:rFonts w:ascii="等线" w:hAnsi="等线" w:eastAsia="等线"/>
                <w:b/>
              </w:rPr>
            </w:pPr>
            <w:r>
              <w:rPr>
                <w:rFonts w:hint="eastAsia"/>
                <w:b/>
              </w:rPr>
              <w:t>商务条款是否偏离</w:t>
            </w:r>
          </w:p>
        </w:tc>
      </w:tr>
      <w:tr w14:paraId="24857B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27E740C4">
            <w:pPr>
              <w:jc w:val="center"/>
              <w:rPr>
                <w:b/>
              </w:rPr>
            </w:pPr>
          </w:p>
        </w:tc>
        <w:tc>
          <w:tcPr>
            <w:tcW w:w="1518" w:type="dxa"/>
            <w:vAlign w:val="center"/>
          </w:tcPr>
          <w:p w14:paraId="6B7CAC9B">
            <w:pPr>
              <w:jc w:val="center"/>
              <w:rPr>
                <w:b/>
              </w:rPr>
            </w:pPr>
          </w:p>
        </w:tc>
        <w:tc>
          <w:tcPr>
            <w:tcW w:w="848" w:type="dxa"/>
            <w:vAlign w:val="center"/>
          </w:tcPr>
          <w:p w14:paraId="22D6D308">
            <w:pPr>
              <w:jc w:val="center"/>
              <w:rPr>
                <w:b/>
              </w:rPr>
            </w:pPr>
          </w:p>
        </w:tc>
        <w:tc>
          <w:tcPr>
            <w:tcW w:w="2270" w:type="dxa"/>
            <w:vAlign w:val="center"/>
          </w:tcPr>
          <w:p w14:paraId="17FAB1C3">
            <w:pPr>
              <w:jc w:val="left"/>
              <w:rPr>
                <w:rFonts w:ascii="等线" w:hAnsi="等线" w:eastAsia="等线"/>
                <w:b/>
              </w:rPr>
            </w:pPr>
            <w:r>
              <w:rPr>
                <w:rFonts w:hint="eastAsia" w:ascii="等线" w:hAnsi="等线" w:eastAsia="等线"/>
                <w:b/>
              </w:rPr>
              <w:t>不含税价：</w:t>
            </w:r>
          </w:p>
          <w:p w14:paraId="21FAECEC">
            <w:pPr>
              <w:jc w:val="left"/>
              <w:rPr>
                <w:rFonts w:ascii="等线" w:hAnsi="等线" w:eastAsia="等线"/>
                <w:b/>
              </w:rPr>
            </w:pPr>
            <w:r>
              <w:rPr>
                <w:rFonts w:hint="eastAsia" w:ascii="等线" w:hAnsi="等线" w:eastAsia="等线"/>
                <w:b/>
              </w:rPr>
              <w:t>含税价格：</w:t>
            </w:r>
            <w:r>
              <w:rPr>
                <w:rFonts w:hint="eastAsia" w:ascii="等线" w:hAnsi="等线" w:eastAsia="等线"/>
                <w:b/>
                <w:u w:val="single"/>
              </w:rPr>
              <w:t xml:space="preserve">    （大写：    ）</w:t>
            </w:r>
          </w:p>
          <w:p w14:paraId="4B19EC7F">
            <w:pPr>
              <w:jc w:val="left"/>
              <w:rPr>
                <w:b/>
              </w:rPr>
            </w:pPr>
            <w:r>
              <w:rPr>
                <w:rFonts w:hint="eastAsia" w:ascii="等线" w:hAnsi="等线" w:eastAsia="等线"/>
                <w:b/>
              </w:rPr>
              <w:t>税率：</w:t>
            </w:r>
          </w:p>
        </w:tc>
        <w:tc>
          <w:tcPr>
            <w:tcW w:w="699" w:type="dxa"/>
            <w:vAlign w:val="center"/>
          </w:tcPr>
          <w:p w14:paraId="5FB46430">
            <w:pPr>
              <w:jc w:val="center"/>
              <w:rPr>
                <w:b/>
              </w:rPr>
            </w:pPr>
          </w:p>
        </w:tc>
      </w:tr>
    </w:tbl>
    <w:p w14:paraId="12FCAEF4">
      <w:pPr>
        <w:rPr>
          <w:rFonts w:ascii="宋体" w:hAnsi="Arial"/>
          <w:sz w:val="24"/>
          <w:szCs w:val="24"/>
        </w:rPr>
      </w:pPr>
    </w:p>
    <w:p w14:paraId="01DFC59F">
      <w:pPr>
        <w:spacing w:line="400" w:lineRule="exact"/>
        <w:rPr>
          <w:rFonts w:ascii="宋体" w:hAnsi="Calibri"/>
          <w:szCs w:val="21"/>
        </w:rPr>
      </w:pPr>
      <w:r>
        <w:rPr>
          <w:rFonts w:hint="eastAsia" w:ascii="宋体" w:hAnsi="宋体"/>
          <w:b/>
          <w:bCs/>
          <w:szCs w:val="21"/>
        </w:rPr>
        <w:t>注：</w:t>
      </w:r>
    </w:p>
    <w:p w14:paraId="6D08E5BE">
      <w:pPr>
        <w:spacing w:line="520" w:lineRule="exact"/>
        <w:rPr>
          <w:rFonts w:ascii="宋体" w:hAnsi="Calibri"/>
          <w:b/>
          <w:bCs/>
          <w:szCs w:val="21"/>
        </w:rPr>
      </w:pPr>
      <w:r>
        <w:rPr>
          <w:rFonts w:ascii="宋体" w:hAnsi="宋体"/>
          <w:b/>
          <w:bCs/>
          <w:szCs w:val="21"/>
        </w:rPr>
        <w:t>1</w:t>
      </w:r>
      <w:r>
        <w:rPr>
          <w:rFonts w:hint="eastAsia" w:ascii="宋体" w:hAnsi="宋体"/>
          <w:b/>
          <w:bCs/>
          <w:szCs w:val="21"/>
        </w:rPr>
        <w:t>.此表中的报价必须与相应的报价明细表中的报价一致。</w:t>
      </w:r>
    </w:p>
    <w:p w14:paraId="65108157">
      <w:pPr>
        <w:spacing w:line="300" w:lineRule="auto"/>
        <w:rPr>
          <w:rFonts w:ascii="宋体" w:hAnsi="宋体" w:cs="宋体"/>
          <w:b/>
        </w:rPr>
      </w:pPr>
      <w:r>
        <w:rPr>
          <w:rFonts w:hint="eastAsia" w:ascii="宋体" w:hAnsi="宋体" w:cs="宋体"/>
          <w:b/>
        </w:rPr>
        <w:t>2.需写明含税价、不含税价格、税率。</w:t>
      </w:r>
    </w:p>
    <w:p w14:paraId="2BA60871">
      <w:pPr>
        <w:pStyle w:val="2"/>
        <w:rPr>
          <w:rFonts w:hAnsi="宋体"/>
          <w:b/>
          <w:bCs/>
          <w:szCs w:val="21"/>
        </w:rPr>
      </w:pPr>
      <w:r>
        <w:rPr>
          <w:rFonts w:hint="eastAsia" w:hAnsi="宋体" w:cs="宋体"/>
          <w:b/>
        </w:rPr>
        <w:t>3.</w:t>
      </w:r>
      <w:r>
        <w:rPr>
          <w:rFonts w:hint="eastAsia" w:hAnsi="宋体"/>
          <w:b/>
          <w:bCs/>
          <w:szCs w:val="21"/>
        </w:rPr>
        <w:t>投标总价包括</w:t>
      </w:r>
      <w:r>
        <w:rPr>
          <w:rFonts w:hint="eastAsia" w:hAnsi="宋体"/>
          <w:b/>
          <w:bCs/>
          <w:szCs w:val="21"/>
          <w:u w:val="single"/>
        </w:rPr>
        <w:t xml:space="preserve">                                             </w:t>
      </w:r>
      <w:r>
        <w:rPr>
          <w:rFonts w:hint="eastAsia" w:hAnsi="宋体"/>
          <w:b/>
          <w:bCs/>
          <w:szCs w:val="21"/>
        </w:rPr>
        <w:t>全部费用。</w:t>
      </w:r>
    </w:p>
    <w:p w14:paraId="6FE4CF53">
      <w:pPr>
        <w:pStyle w:val="2"/>
        <w:rPr>
          <w:rFonts w:hAnsi="宋体"/>
          <w:b/>
          <w:bCs/>
          <w:szCs w:val="21"/>
          <w:highlight w:val="yellow"/>
        </w:rPr>
      </w:pPr>
    </w:p>
    <w:p w14:paraId="46969582">
      <w:pPr>
        <w:pStyle w:val="2"/>
        <w:rPr>
          <w:rFonts w:hAnsi="宋体"/>
          <w:b/>
          <w:bCs/>
          <w:szCs w:val="21"/>
          <w:highlight w:val="yellow"/>
        </w:rPr>
      </w:pPr>
    </w:p>
    <w:p w14:paraId="1F2C9407">
      <w:pPr>
        <w:spacing w:line="660" w:lineRule="exact"/>
        <w:jc w:val="center"/>
        <w:rPr>
          <w:rFonts w:ascii="宋体" w:hAnsi="Calibri"/>
          <w:sz w:val="24"/>
        </w:rPr>
      </w:pPr>
      <w:r>
        <w:rPr>
          <w:rFonts w:hint="eastAsia" w:ascii="宋体" w:hAnsi="宋体"/>
          <w:sz w:val="24"/>
        </w:rPr>
        <w:t xml:space="preserve">                        投标人：（盖章）</w:t>
      </w:r>
    </w:p>
    <w:p w14:paraId="02449857">
      <w:pPr>
        <w:spacing w:line="660" w:lineRule="exact"/>
        <w:jc w:val="right"/>
        <w:rPr>
          <w:rFonts w:ascii="宋体" w:hAnsi="Calibri"/>
          <w:sz w:val="24"/>
        </w:rPr>
      </w:pPr>
      <w:r>
        <w:rPr>
          <w:rFonts w:hint="eastAsia" w:ascii="宋体" w:hAnsi="宋体"/>
          <w:sz w:val="24"/>
        </w:rPr>
        <w:t>法定代表人（委托代理人）：（签字）</w:t>
      </w:r>
    </w:p>
    <w:p w14:paraId="6B2CAF6D">
      <w:pPr>
        <w:spacing w:line="660" w:lineRule="exact"/>
        <w:jc w:val="center"/>
        <w:rPr>
          <w:rFonts w:ascii="宋体" w:hAnsi="Calibri"/>
          <w:sz w:val="24"/>
        </w:rPr>
      </w:pPr>
      <w:r>
        <w:rPr>
          <w:rFonts w:hint="eastAsia" w:ascii="宋体" w:hAnsi="宋体"/>
          <w:sz w:val="24"/>
        </w:rPr>
        <w:t xml:space="preserve">                                     日</w:t>
      </w:r>
      <w:r>
        <w:rPr>
          <w:rFonts w:ascii="宋体" w:hAnsi="宋体"/>
          <w:sz w:val="24"/>
        </w:rPr>
        <w:t xml:space="preserve">  </w:t>
      </w:r>
      <w:r>
        <w:rPr>
          <w:rFonts w:hint="eastAsia" w:ascii="宋体" w:hAnsi="宋体"/>
          <w:sz w:val="24"/>
        </w:rPr>
        <w:t>期：</w:t>
      </w:r>
      <w:r>
        <w:rPr>
          <w:rFonts w:ascii="宋体" w:hAnsi="宋体"/>
          <w:sz w:val="24"/>
          <w:u w:val="single"/>
        </w:rPr>
        <w:t xml:space="preserve">       </w:t>
      </w:r>
      <w:r>
        <w:rPr>
          <w:rFonts w:hint="eastAsia" w:ascii="宋体" w:hAnsi="宋体"/>
          <w:sz w:val="24"/>
        </w:rPr>
        <w:t>年</w:t>
      </w:r>
      <w:r>
        <w:rPr>
          <w:rFonts w:ascii="宋体" w:hAnsi="宋体"/>
          <w:sz w:val="24"/>
          <w:u w:val="single"/>
        </w:rPr>
        <w:t xml:space="preserve">    </w:t>
      </w:r>
      <w:r>
        <w:rPr>
          <w:rFonts w:hint="eastAsia" w:ascii="宋体" w:hAnsi="宋体"/>
          <w:sz w:val="24"/>
        </w:rPr>
        <w:t>月</w:t>
      </w:r>
      <w:r>
        <w:rPr>
          <w:rFonts w:ascii="宋体" w:hAnsi="宋体"/>
          <w:sz w:val="24"/>
          <w:u w:val="single"/>
        </w:rPr>
        <w:t xml:space="preserve">    </w:t>
      </w:r>
      <w:r>
        <w:rPr>
          <w:rFonts w:hint="eastAsia" w:ascii="宋体" w:hAnsi="宋体"/>
          <w:sz w:val="24"/>
        </w:rPr>
        <w:t>日</w:t>
      </w:r>
    </w:p>
    <w:p w14:paraId="570B8DB6">
      <w:pPr>
        <w:pStyle w:val="72"/>
        <w:numPr>
          <w:ilvl w:val="0"/>
          <w:numId w:val="0"/>
        </w:numPr>
      </w:pPr>
      <w:r>
        <w:t xml:space="preserve"> </w:t>
      </w:r>
    </w:p>
    <w:p w14:paraId="226F064E">
      <w:pPr>
        <w:pStyle w:val="72"/>
        <w:numPr>
          <w:ilvl w:val="0"/>
          <w:numId w:val="0"/>
        </w:numPr>
      </w:pPr>
    </w:p>
    <w:p w14:paraId="72BD30F8">
      <w:pPr>
        <w:pStyle w:val="72"/>
        <w:numPr>
          <w:ilvl w:val="0"/>
          <w:numId w:val="0"/>
        </w:numPr>
      </w:pPr>
    </w:p>
    <w:p w14:paraId="5F5854D5">
      <w:pPr>
        <w:pStyle w:val="72"/>
        <w:numPr>
          <w:ilvl w:val="0"/>
          <w:numId w:val="0"/>
        </w:numPr>
      </w:pPr>
    </w:p>
    <w:p w14:paraId="5E9439BB">
      <w:pPr>
        <w:pStyle w:val="72"/>
        <w:numPr>
          <w:ilvl w:val="0"/>
          <w:numId w:val="0"/>
        </w:numPr>
      </w:pPr>
    </w:p>
    <w:p w14:paraId="42DE1511">
      <w:pPr>
        <w:pStyle w:val="72"/>
        <w:numPr>
          <w:ilvl w:val="0"/>
          <w:numId w:val="0"/>
        </w:numPr>
      </w:pPr>
    </w:p>
    <w:p w14:paraId="55AC52ED">
      <w:pPr>
        <w:pStyle w:val="72"/>
        <w:numPr>
          <w:ilvl w:val="0"/>
          <w:numId w:val="0"/>
        </w:numPr>
      </w:pPr>
    </w:p>
    <w:p w14:paraId="1CEB793D">
      <w:pPr>
        <w:pStyle w:val="76"/>
        <w:ind w:firstLine="630" w:firstLineChars="300"/>
      </w:pPr>
    </w:p>
    <w:p w14:paraId="35AF7674">
      <w:pPr>
        <w:pStyle w:val="76"/>
        <w:rPr>
          <w:rFonts w:hAnsi="宋体" w:cs="宋体"/>
          <w:b/>
          <w:bCs/>
          <w:sz w:val="32"/>
          <w:szCs w:val="32"/>
        </w:rPr>
      </w:pPr>
      <w:r>
        <w:rPr>
          <w:rFonts w:hint="eastAsia" w:hAnsi="宋体" w:cs="宋体"/>
          <w:b/>
          <w:bCs/>
          <w:sz w:val="32"/>
          <w:szCs w:val="32"/>
        </w:rPr>
        <w:t>附件4</w:t>
      </w:r>
    </w:p>
    <w:p w14:paraId="17AEAF51">
      <w:pPr>
        <w:jc w:val="center"/>
        <w:rPr>
          <w:rFonts w:eastAsia="黑体"/>
          <w:sz w:val="28"/>
        </w:rPr>
      </w:pPr>
      <w:r>
        <w:rPr>
          <w:rFonts w:hint="eastAsia" w:eastAsia="黑体"/>
          <w:sz w:val="28"/>
        </w:rPr>
        <w:t>技术规格偏离表</w:t>
      </w:r>
    </w:p>
    <w:p w14:paraId="44F7BB29">
      <w:pPr>
        <w:rPr>
          <w:rFonts w:ascii="宋体" w:hAnsi="宋体"/>
          <w:szCs w:val="21"/>
        </w:rPr>
      </w:pPr>
    </w:p>
    <w:p w14:paraId="6E0B7FED">
      <w:pPr>
        <w:rPr>
          <w:rFonts w:ascii="宋体" w:hAnsi="宋体"/>
          <w:szCs w:val="21"/>
        </w:rPr>
      </w:pPr>
      <w:r>
        <w:rPr>
          <w:rFonts w:hint="eastAsia" w:ascii="宋体" w:hAnsi="宋体"/>
          <w:szCs w:val="21"/>
        </w:rPr>
        <w:t>项目名称：</w:t>
      </w:r>
      <w:r>
        <w:rPr>
          <w:rFonts w:hint="eastAsia" w:ascii="宋体" w:hAnsi="宋体"/>
          <w:szCs w:val="21"/>
          <w:u w:val="single"/>
        </w:rPr>
        <w:t xml:space="preserve">             </w:t>
      </w:r>
      <w:r>
        <w:rPr>
          <w:rFonts w:hint="eastAsia" w:ascii="宋体" w:hAnsi="宋体"/>
          <w:szCs w:val="21"/>
        </w:rPr>
        <w:t>(XX项目)</w:t>
      </w:r>
    </w:p>
    <w:p w14:paraId="1A33611C">
      <w:pPr>
        <w:rPr>
          <w:rFonts w:ascii="宋体" w:hAnsi="宋体"/>
          <w:szCs w:val="21"/>
        </w:rPr>
      </w:pPr>
    </w:p>
    <w:tbl>
      <w:tblPr>
        <w:tblStyle w:val="31"/>
        <w:tblW w:w="91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8"/>
        <w:gridCol w:w="2175"/>
        <w:gridCol w:w="2425"/>
        <w:gridCol w:w="1774"/>
        <w:gridCol w:w="1846"/>
      </w:tblGrid>
      <w:tr w14:paraId="1929BC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jc w:val="center"/>
        </w:trPr>
        <w:tc>
          <w:tcPr>
            <w:tcW w:w="978" w:type="dxa"/>
            <w:vAlign w:val="center"/>
          </w:tcPr>
          <w:p w14:paraId="094C7A1D">
            <w:pPr>
              <w:jc w:val="center"/>
              <w:rPr>
                <w:rFonts w:ascii="宋体" w:hAnsi="宋体"/>
                <w:kern w:val="0"/>
                <w:sz w:val="20"/>
                <w:szCs w:val="21"/>
              </w:rPr>
            </w:pPr>
            <w:r>
              <w:rPr>
                <w:rFonts w:hint="eastAsia" w:ascii="宋体" w:hAnsi="宋体"/>
                <w:kern w:val="0"/>
                <w:sz w:val="20"/>
                <w:szCs w:val="21"/>
              </w:rPr>
              <w:t>序号</w:t>
            </w:r>
          </w:p>
        </w:tc>
        <w:tc>
          <w:tcPr>
            <w:tcW w:w="2175" w:type="dxa"/>
            <w:vAlign w:val="center"/>
          </w:tcPr>
          <w:p w14:paraId="30843AE7">
            <w:pPr>
              <w:jc w:val="center"/>
              <w:rPr>
                <w:rFonts w:ascii="宋体" w:hAnsi="宋体"/>
                <w:kern w:val="0"/>
                <w:sz w:val="20"/>
                <w:szCs w:val="21"/>
              </w:rPr>
            </w:pPr>
            <w:r>
              <w:rPr>
                <w:rFonts w:hint="eastAsia" w:ascii="宋体" w:hAnsi="宋体"/>
                <w:kern w:val="0"/>
                <w:sz w:val="20"/>
                <w:szCs w:val="21"/>
              </w:rPr>
              <w:t>招标文件条款号</w:t>
            </w:r>
          </w:p>
        </w:tc>
        <w:tc>
          <w:tcPr>
            <w:tcW w:w="2425" w:type="dxa"/>
            <w:vAlign w:val="center"/>
          </w:tcPr>
          <w:p w14:paraId="34B10C9B">
            <w:pPr>
              <w:jc w:val="center"/>
              <w:rPr>
                <w:rFonts w:ascii="宋体" w:hAnsi="宋体"/>
                <w:kern w:val="0"/>
                <w:sz w:val="20"/>
                <w:szCs w:val="21"/>
              </w:rPr>
            </w:pPr>
            <w:r>
              <w:rPr>
                <w:rFonts w:hint="eastAsia" w:ascii="宋体" w:hAnsi="宋体"/>
                <w:kern w:val="0"/>
                <w:sz w:val="20"/>
                <w:szCs w:val="21"/>
              </w:rPr>
              <w:t>招标文件条款内容</w:t>
            </w:r>
          </w:p>
        </w:tc>
        <w:tc>
          <w:tcPr>
            <w:tcW w:w="1774" w:type="dxa"/>
            <w:vAlign w:val="center"/>
          </w:tcPr>
          <w:p w14:paraId="0913697E">
            <w:pPr>
              <w:jc w:val="center"/>
              <w:rPr>
                <w:rFonts w:ascii="宋体" w:hAnsi="宋体"/>
                <w:kern w:val="0"/>
                <w:sz w:val="20"/>
                <w:szCs w:val="21"/>
              </w:rPr>
            </w:pPr>
            <w:r>
              <w:rPr>
                <w:rFonts w:hint="eastAsia" w:ascii="宋体" w:hAnsi="宋体"/>
                <w:kern w:val="0"/>
                <w:sz w:val="20"/>
                <w:szCs w:val="21"/>
              </w:rPr>
              <w:t>偏离</w:t>
            </w:r>
          </w:p>
        </w:tc>
        <w:tc>
          <w:tcPr>
            <w:tcW w:w="1846" w:type="dxa"/>
            <w:vAlign w:val="center"/>
          </w:tcPr>
          <w:p w14:paraId="5F4660A9">
            <w:pPr>
              <w:jc w:val="center"/>
              <w:rPr>
                <w:rFonts w:ascii="宋体" w:hAnsi="宋体"/>
                <w:kern w:val="0"/>
                <w:sz w:val="20"/>
                <w:szCs w:val="21"/>
              </w:rPr>
            </w:pPr>
            <w:r>
              <w:rPr>
                <w:rFonts w:hint="eastAsia" w:ascii="宋体" w:hAnsi="宋体"/>
                <w:kern w:val="0"/>
                <w:sz w:val="20"/>
                <w:szCs w:val="21"/>
              </w:rPr>
              <w:t>说明</w:t>
            </w:r>
          </w:p>
        </w:tc>
      </w:tr>
      <w:tr w14:paraId="726312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jc w:val="center"/>
        </w:trPr>
        <w:tc>
          <w:tcPr>
            <w:tcW w:w="978" w:type="dxa"/>
            <w:vAlign w:val="center"/>
          </w:tcPr>
          <w:p w14:paraId="1E31F8BB">
            <w:pPr>
              <w:jc w:val="center"/>
              <w:rPr>
                <w:rFonts w:ascii="宋体" w:hAnsi="宋体"/>
                <w:kern w:val="0"/>
                <w:sz w:val="20"/>
                <w:szCs w:val="21"/>
              </w:rPr>
            </w:pPr>
          </w:p>
        </w:tc>
        <w:tc>
          <w:tcPr>
            <w:tcW w:w="2175" w:type="dxa"/>
            <w:vAlign w:val="center"/>
          </w:tcPr>
          <w:p w14:paraId="3EA98759">
            <w:pPr>
              <w:jc w:val="center"/>
              <w:rPr>
                <w:rFonts w:ascii="宋体" w:hAnsi="宋体"/>
                <w:kern w:val="0"/>
                <w:sz w:val="20"/>
                <w:szCs w:val="21"/>
              </w:rPr>
            </w:pPr>
          </w:p>
        </w:tc>
        <w:tc>
          <w:tcPr>
            <w:tcW w:w="2425" w:type="dxa"/>
            <w:vAlign w:val="center"/>
          </w:tcPr>
          <w:p w14:paraId="3581C2FE">
            <w:pPr>
              <w:jc w:val="center"/>
              <w:rPr>
                <w:rFonts w:ascii="宋体" w:hAnsi="宋体"/>
                <w:kern w:val="0"/>
                <w:sz w:val="20"/>
                <w:szCs w:val="21"/>
              </w:rPr>
            </w:pPr>
          </w:p>
        </w:tc>
        <w:tc>
          <w:tcPr>
            <w:tcW w:w="1774" w:type="dxa"/>
            <w:vAlign w:val="center"/>
          </w:tcPr>
          <w:p w14:paraId="13577A00">
            <w:pPr>
              <w:jc w:val="center"/>
              <w:rPr>
                <w:rFonts w:ascii="宋体" w:hAnsi="宋体"/>
                <w:kern w:val="0"/>
                <w:sz w:val="20"/>
                <w:szCs w:val="21"/>
              </w:rPr>
            </w:pPr>
          </w:p>
        </w:tc>
        <w:tc>
          <w:tcPr>
            <w:tcW w:w="1846" w:type="dxa"/>
            <w:vAlign w:val="center"/>
          </w:tcPr>
          <w:p w14:paraId="2842A95A">
            <w:pPr>
              <w:jc w:val="center"/>
              <w:rPr>
                <w:rFonts w:ascii="宋体" w:hAnsi="宋体"/>
                <w:kern w:val="0"/>
                <w:sz w:val="20"/>
                <w:szCs w:val="21"/>
              </w:rPr>
            </w:pPr>
          </w:p>
        </w:tc>
      </w:tr>
      <w:tr w14:paraId="440C91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vAlign w:val="center"/>
          </w:tcPr>
          <w:p w14:paraId="13BB2BDA">
            <w:pPr>
              <w:jc w:val="center"/>
              <w:rPr>
                <w:rFonts w:ascii="宋体" w:hAnsi="宋体"/>
                <w:kern w:val="0"/>
                <w:sz w:val="20"/>
                <w:szCs w:val="21"/>
              </w:rPr>
            </w:pPr>
          </w:p>
        </w:tc>
        <w:tc>
          <w:tcPr>
            <w:tcW w:w="2175" w:type="dxa"/>
            <w:vAlign w:val="center"/>
          </w:tcPr>
          <w:p w14:paraId="06511707">
            <w:pPr>
              <w:jc w:val="center"/>
              <w:rPr>
                <w:rFonts w:ascii="宋体" w:hAnsi="宋体"/>
                <w:kern w:val="0"/>
                <w:sz w:val="20"/>
                <w:szCs w:val="21"/>
              </w:rPr>
            </w:pPr>
          </w:p>
        </w:tc>
        <w:tc>
          <w:tcPr>
            <w:tcW w:w="2425" w:type="dxa"/>
            <w:vAlign w:val="center"/>
          </w:tcPr>
          <w:p w14:paraId="4B962BCA">
            <w:pPr>
              <w:jc w:val="center"/>
              <w:rPr>
                <w:rFonts w:ascii="宋体" w:hAnsi="宋体"/>
                <w:kern w:val="0"/>
                <w:sz w:val="20"/>
                <w:szCs w:val="21"/>
              </w:rPr>
            </w:pPr>
          </w:p>
        </w:tc>
        <w:tc>
          <w:tcPr>
            <w:tcW w:w="1774" w:type="dxa"/>
            <w:vAlign w:val="center"/>
          </w:tcPr>
          <w:p w14:paraId="3B735538">
            <w:pPr>
              <w:jc w:val="center"/>
              <w:rPr>
                <w:rFonts w:ascii="宋体" w:hAnsi="宋体"/>
                <w:kern w:val="0"/>
                <w:sz w:val="20"/>
                <w:szCs w:val="21"/>
              </w:rPr>
            </w:pPr>
          </w:p>
        </w:tc>
        <w:tc>
          <w:tcPr>
            <w:tcW w:w="1846" w:type="dxa"/>
            <w:vAlign w:val="center"/>
          </w:tcPr>
          <w:p w14:paraId="554B830F">
            <w:pPr>
              <w:jc w:val="center"/>
              <w:rPr>
                <w:rFonts w:ascii="宋体" w:hAnsi="宋体"/>
                <w:kern w:val="0"/>
                <w:sz w:val="20"/>
                <w:szCs w:val="21"/>
              </w:rPr>
            </w:pPr>
          </w:p>
        </w:tc>
      </w:tr>
      <w:tr w14:paraId="164E00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vAlign w:val="center"/>
          </w:tcPr>
          <w:p w14:paraId="09294C95">
            <w:pPr>
              <w:jc w:val="center"/>
              <w:rPr>
                <w:rFonts w:ascii="宋体" w:hAnsi="宋体"/>
                <w:kern w:val="0"/>
                <w:sz w:val="20"/>
                <w:szCs w:val="21"/>
              </w:rPr>
            </w:pPr>
          </w:p>
        </w:tc>
        <w:tc>
          <w:tcPr>
            <w:tcW w:w="2175" w:type="dxa"/>
            <w:vAlign w:val="center"/>
          </w:tcPr>
          <w:p w14:paraId="263C0CB3">
            <w:pPr>
              <w:jc w:val="center"/>
              <w:rPr>
                <w:rFonts w:ascii="宋体" w:hAnsi="宋体"/>
                <w:kern w:val="0"/>
                <w:sz w:val="20"/>
                <w:szCs w:val="21"/>
              </w:rPr>
            </w:pPr>
          </w:p>
        </w:tc>
        <w:tc>
          <w:tcPr>
            <w:tcW w:w="2425" w:type="dxa"/>
            <w:vAlign w:val="center"/>
          </w:tcPr>
          <w:p w14:paraId="7C669FB8">
            <w:pPr>
              <w:jc w:val="center"/>
              <w:rPr>
                <w:rFonts w:ascii="宋体" w:hAnsi="宋体"/>
                <w:kern w:val="0"/>
                <w:sz w:val="20"/>
                <w:szCs w:val="21"/>
              </w:rPr>
            </w:pPr>
          </w:p>
        </w:tc>
        <w:tc>
          <w:tcPr>
            <w:tcW w:w="1774" w:type="dxa"/>
            <w:vAlign w:val="center"/>
          </w:tcPr>
          <w:p w14:paraId="3FE45F8A">
            <w:pPr>
              <w:jc w:val="center"/>
              <w:rPr>
                <w:rFonts w:ascii="宋体" w:hAnsi="宋体"/>
                <w:kern w:val="0"/>
                <w:sz w:val="20"/>
                <w:szCs w:val="21"/>
              </w:rPr>
            </w:pPr>
          </w:p>
        </w:tc>
        <w:tc>
          <w:tcPr>
            <w:tcW w:w="1846" w:type="dxa"/>
            <w:vAlign w:val="center"/>
          </w:tcPr>
          <w:p w14:paraId="1E1791C9">
            <w:pPr>
              <w:jc w:val="center"/>
              <w:rPr>
                <w:rFonts w:ascii="宋体" w:hAnsi="宋体"/>
                <w:kern w:val="0"/>
                <w:sz w:val="20"/>
                <w:szCs w:val="21"/>
              </w:rPr>
            </w:pPr>
          </w:p>
        </w:tc>
      </w:tr>
      <w:tr w14:paraId="387E0D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vAlign w:val="center"/>
          </w:tcPr>
          <w:p w14:paraId="6A1B4E6C">
            <w:pPr>
              <w:jc w:val="center"/>
              <w:rPr>
                <w:rFonts w:ascii="宋体" w:hAnsi="宋体"/>
                <w:kern w:val="0"/>
                <w:sz w:val="20"/>
                <w:szCs w:val="21"/>
              </w:rPr>
            </w:pPr>
          </w:p>
        </w:tc>
        <w:tc>
          <w:tcPr>
            <w:tcW w:w="2175" w:type="dxa"/>
            <w:vAlign w:val="center"/>
          </w:tcPr>
          <w:p w14:paraId="067FD450">
            <w:pPr>
              <w:jc w:val="center"/>
              <w:rPr>
                <w:rFonts w:ascii="宋体" w:hAnsi="宋体"/>
                <w:kern w:val="0"/>
                <w:sz w:val="20"/>
                <w:szCs w:val="21"/>
              </w:rPr>
            </w:pPr>
          </w:p>
        </w:tc>
        <w:tc>
          <w:tcPr>
            <w:tcW w:w="2425" w:type="dxa"/>
            <w:vAlign w:val="center"/>
          </w:tcPr>
          <w:p w14:paraId="4DAE3252">
            <w:pPr>
              <w:jc w:val="center"/>
              <w:rPr>
                <w:rFonts w:ascii="宋体" w:hAnsi="宋体"/>
                <w:kern w:val="0"/>
                <w:sz w:val="20"/>
                <w:szCs w:val="21"/>
              </w:rPr>
            </w:pPr>
          </w:p>
        </w:tc>
        <w:tc>
          <w:tcPr>
            <w:tcW w:w="1774" w:type="dxa"/>
            <w:vAlign w:val="center"/>
          </w:tcPr>
          <w:p w14:paraId="1854C7CE">
            <w:pPr>
              <w:jc w:val="center"/>
              <w:rPr>
                <w:rFonts w:ascii="宋体" w:hAnsi="宋体"/>
                <w:kern w:val="0"/>
                <w:sz w:val="20"/>
                <w:szCs w:val="21"/>
              </w:rPr>
            </w:pPr>
          </w:p>
        </w:tc>
        <w:tc>
          <w:tcPr>
            <w:tcW w:w="1846" w:type="dxa"/>
            <w:vAlign w:val="center"/>
          </w:tcPr>
          <w:p w14:paraId="2C436831">
            <w:pPr>
              <w:jc w:val="center"/>
              <w:rPr>
                <w:rFonts w:ascii="宋体" w:hAnsi="宋体"/>
                <w:kern w:val="0"/>
                <w:sz w:val="20"/>
                <w:szCs w:val="21"/>
              </w:rPr>
            </w:pPr>
          </w:p>
        </w:tc>
      </w:tr>
      <w:tr w14:paraId="79C385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vAlign w:val="center"/>
          </w:tcPr>
          <w:p w14:paraId="4DB2AE9F">
            <w:pPr>
              <w:jc w:val="center"/>
              <w:rPr>
                <w:rFonts w:ascii="宋体" w:hAnsi="宋体"/>
                <w:kern w:val="0"/>
                <w:sz w:val="20"/>
                <w:szCs w:val="21"/>
              </w:rPr>
            </w:pPr>
          </w:p>
        </w:tc>
        <w:tc>
          <w:tcPr>
            <w:tcW w:w="2175" w:type="dxa"/>
            <w:vAlign w:val="center"/>
          </w:tcPr>
          <w:p w14:paraId="3DF675A3">
            <w:pPr>
              <w:jc w:val="center"/>
              <w:rPr>
                <w:rFonts w:ascii="宋体" w:hAnsi="宋体"/>
                <w:kern w:val="0"/>
                <w:sz w:val="20"/>
                <w:szCs w:val="21"/>
              </w:rPr>
            </w:pPr>
          </w:p>
        </w:tc>
        <w:tc>
          <w:tcPr>
            <w:tcW w:w="2425" w:type="dxa"/>
            <w:vAlign w:val="center"/>
          </w:tcPr>
          <w:p w14:paraId="532229A9">
            <w:pPr>
              <w:jc w:val="center"/>
              <w:rPr>
                <w:rFonts w:ascii="宋体" w:hAnsi="宋体"/>
                <w:kern w:val="0"/>
                <w:sz w:val="20"/>
                <w:szCs w:val="21"/>
              </w:rPr>
            </w:pPr>
          </w:p>
        </w:tc>
        <w:tc>
          <w:tcPr>
            <w:tcW w:w="1774" w:type="dxa"/>
            <w:vAlign w:val="center"/>
          </w:tcPr>
          <w:p w14:paraId="257DAD9D">
            <w:pPr>
              <w:jc w:val="center"/>
              <w:rPr>
                <w:rFonts w:ascii="宋体" w:hAnsi="宋体"/>
                <w:kern w:val="0"/>
                <w:sz w:val="20"/>
                <w:szCs w:val="21"/>
              </w:rPr>
            </w:pPr>
          </w:p>
        </w:tc>
        <w:tc>
          <w:tcPr>
            <w:tcW w:w="1846" w:type="dxa"/>
            <w:vAlign w:val="center"/>
          </w:tcPr>
          <w:p w14:paraId="452D806E">
            <w:pPr>
              <w:jc w:val="center"/>
              <w:rPr>
                <w:rFonts w:ascii="宋体" w:hAnsi="宋体"/>
                <w:kern w:val="0"/>
                <w:sz w:val="20"/>
                <w:szCs w:val="21"/>
              </w:rPr>
            </w:pPr>
          </w:p>
        </w:tc>
      </w:tr>
      <w:tr w14:paraId="2B94E0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vAlign w:val="center"/>
          </w:tcPr>
          <w:p w14:paraId="6F7382C3">
            <w:pPr>
              <w:jc w:val="center"/>
              <w:rPr>
                <w:rFonts w:ascii="宋体" w:hAnsi="宋体"/>
                <w:kern w:val="0"/>
                <w:sz w:val="20"/>
                <w:szCs w:val="21"/>
              </w:rPr>
            </w:pPr>
          </w:p>
        </w:tc>
        <w:tc>
          <w:tcPr>
            <w:tcW w:w="2175" w:type="dxa"/>
            <w:vAlign w:val="center"/>
          </w:tcPr>
          <w:p w14:paraId="277525DA">
            <w:pPr>
              <w:jc w:val="center"/>
              <w:rPr>
                <w:rFonts w:ascii="宋体" w:hAnsi="宋体"/>
                <w:kern w:val="0"/>
                <w:sz w:val="20"/>
                <w:szCs w:val="21"/>
              </w:rPr>
            </w:pPr>
          </w:p>
        </w:tc>
        <w:tc>
          <w:tcPr>
            <w:tcW w:w="2425" w:type="dxa"/>
            <w:vAlign w:val="center"/>
          </w:tcPr>
          <w:p w14:paraId="5E32EFE3">
            <w:pPr>
              <w:jc w:val="center"/>
              <w:rPr>
                <w:rFonts w:ascii="宋体" w:hAnsi="宋体"/>
                <w:kern w:val="0"/>
                <w:sz w:val="20"/>
                <w:szCs w:val="21"/>
              </w:rPr>
            </w:pPr>
          </w:p>
        </w:tc>
        <w:tc>
          <w:tcPr>
            <w:tcW w:w="1774" w:type="dxa"/>
            <w:vAlign w:val="center"/>
          </w:tcPr>
          <w:p w14:paraId="7DFE0FAB">
            <w:pPr>
              <w:jc w:val="center"/>
              <w:rPr>
                <w:rFonts w:ascii="宋体" w:hAnsi="宋体"/>
                <w:kern w:val="0"/>
                <w:sz w:val="20"/>
                <w:szCs w:val="21"/>
              </w:rPr>
            </w:pPr>
          </w:p>
        </w:tc>
        <w:tc>
          <w:tcPr>
            <w:tcW w:w="1846" w:type="dxa"/>
            <w:vAlign w:val="center"/>
          </w:tcPr>
          <w:p w14:paraId="3AE73D82">
            <w:pPr>
              <w:jc w:val="center"/>
              <w:rPr>
                <w:rFonts w:ascii="宋体" w:hAnsi="宋体"/>
                <w:kern w:val="0"/>
                <w:sz w:val="20"/>
                <w:szCs w:val="21"/>
              </w:rPr>
            </w:pPr>
          </w:p>
        </w:tc>
      </w:tr>
    </w:tbl>
    <w:p w14:paraId="76D0F1D5">
      <w:pPr>
        <w:rPr>
          <w:rFonts w:ascii="宋体" w:hAnsi="宋体"/>
          <w:szCs w:val="21"/>
        </w:rPr>
      </w:pPr>
    </w:p>
    <w:p w14:paraId="195B8D13">
      <w:pPr>
        <w:rPr>
          <w:rFonts w:ascii="宋体" w:hAnsi="宋体"/>
          <w:szCs w:val="21"/>
        </w:rPr>
      </w:pPr>
    </w:p>
    <w:p w14:paraId="23653900">
      <w:pPr>
        <w:rPr>
          <w:rFonts w:ascii="宋体" w:hAnsi="宋体"/>
          <w:szCs w:val="21"/>
        </w:rPr>
      </w:pPr>
    </w:p>
    <w:p w14:paraId="04DF8CC3">
      <w:pPr>
        <w:rPr>
          <w:rFonts w:ascii="宋体" w:hAnsi="宋体"/>
          <w:szCs w:val="21"/>
        </w:rPr>
      </w:pPr>
    </w:p>
    <w:p w14:paraId="46B0E768">
      <w:r>
        <w:rPr>
          <w:rFonts w:hint="eastAsia" w:ascii="宋体" w:hAnsi="宋体"/>
          <w:szCs w:val="21"/>
        </w:rPr>
        <w:t>投标人名称（盖章）：              法定代表人或授权代表签字：</w:t>
      </w:r>
    </w:p>
    <w:p w14:paraId="2B389CC7">
      <w:pPr>
        <w:pStyle w:val="76"/>
        <w:rPr>
          <w:b/>
          <w:bCs/>
        </w:rPr>
      </w:pPr>
    </w:p>
    <w:p w14:paraId="79FA32FC">
      <w:pPr>
        <w:rPr>
          <w:rFonts w:ascii="宋体" w:hAnsi="宋体" w:cs="宋体"/>
          <w:b/>
          <w:bCs/>
          <w:sz w:val="32"/>
          <w:szCs w:val="32"/>
        </w:rPr>
      </w:pPr>
      <w:r>
        <w:rPr>
          <w:rFonts w:ascii="宋体" w:hAnsi="宋体" w:cs="宋体"/>
          <w:b/>
          <w:bCs/>
          <w:sz w:val="32"/>
          <w:szCs w:val="32"/>
        </w:rPr>
        <w:br w:type="page"/>
      </w:r>
    </w:p>
    <w:p w14:paraId="06174B79">
      <w:pPr>
        <w:pStyle w:val="76"/>
        <w:rPr>
          <w:rFonts w:hAnsi="宋体" w:cs="宋体"/>
          <w:b/>
          <w:bCs/>
          <w:sz w:val="32"/>
          <w:szCs w:val="32"/>
        </w:rPr>
      </w:pPr>
      <w:r>
        <w:rPr>
          <w:rFonts w:hint="eastAsia" w:hAnsi="宋体" w:cs="宋体"/>
          <w:b/>
          <w:bCs/>
          <w:sz w:val="32"/>
          <w:szCs w:val="32"/>
        </w:rPr>
        <w:t>附件5</w:t>
      </w:r>
    </w:p>
    <w:p w14:paraId="3CAF1A82">
      <w:pPr>
        <w:jc w:val="center"/>
        <w:rPr>
          <w:rFonts w:eastAsia="黑体"/>
          <w:sz w:val="28"/>
        </w:rPr>
      </w:pPr>
      <w:r>
        <w:rPr>
          <w:rFonts w:hint="eastAsia" w:eastAsia="黑体"/>
          <w:sz w:val="28"/>
        </w:rPr>
        <w:t>商务偏离表</w:t>
      </w:r>
    </w:p>
    <w:p w14:paraId="0E0F6B8E">
      <w:pPr>
        <w:rPr>
          <w:rFonts w:ascii="宋体" w:hAnsi="宋体"/>
          <w:szCs w:val="21"/>
        </w:rPr>
      </w:pPr>
    </w:p>
    <w:p w14:paraId="46B86972">
      <w:pPr>
        <w:rPr>
          <w:rFonts w:ascii="宋体" w:hAnsi="宋体"/>
          <w:szCs w:val="21"/>
        </w:rPr>
      </w:pPr>
      <w:r>
        <w:rPr>
          <w:rFonts w:hint="eastAsia" w:ascii="宋体" w:hAnsi="宋体"/>
          <w:szCs w:val="21"/>
        </w:rPr>
        <w:t>项目名称：</w:t>
      </w:r>
      <w:r>
        <w:rPr>
          <w:rFonts w:hint="eastAsia" w:ascii="宋体" w:hAnsi="宋体"/>
          <w:szCs w:val="21"/>
          <w:u w:val="single"/>
        </w:rPr>
        <w:t xml:space="preserve">             </w:t>
      </w:r>
      <w:r>
        <w:rPr>
          <w:rFonts w:hint="eastAsia" w:ascii="宋体" w:hAnsi="宋体"/>
          <w:szCs w:val="21"/>
        </w:rPr>
        <w:t>(XX项目)</w:t>
      </w:r>
    </w:p>
    <w:p w14:paraId="1D5703B3">
      <w:pPr>
        <w:rPr>
          <w:rFonts w:ascii="宋体" w:hAnsi="宋体"/>
          <w:szCs w:val="21"/>
        </w:rPr>
      </w:pPr>
    </w:p>
    <w:tbl>
      <w:tblPr>
        <w:tblStyle w:val="31"/>
        <w:tblW w:w="91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8"/>
        <w:gridCol w:w="2175"/>
        <w:gridCol w:w="2425"/>
        <w:gridCol w:w="1774"/>
        <w:gridCol w:w="1846"/>
      </w:tblGrid>
      <w:tr w14:paraId="2CB641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jc w:val="center"/>
        </w:trPr>
        <w:tc>
          <w:tcPr>
            <w:tcW w:w="978" w:type="dxa"/>
            <w:vAlign w:val="center"/>
          </w:tcPr>
          <w:p w14:paraId="23077CFB">
            <w:pPr>
              <w:jc w:val="center"/>
              <w:rPr>
                <w:rFonts w:ascii="宋体" w:hAnsi="宋体"/>
                <w:kern w:val="0"/>
                <w:sz w:val="20"/>
                <w:szCs w:val="21"/>
              </w:rPr>
            </w:pPr>
            <w:r>
              <w:rPr>
                <w:rFonts w:hint="eastAsia" w:ascii="宋体" w:hAnsi="宋体"/>
                <w:kern w:val="0"/>
                <w:sz w:val="20"/>
                <w:szCs w:val="21"/>
              </w:rPr>
              <w:t>序号</w:t>
            </w:r>
          </w:p>
        </w:tc>
        <w:tc>
          <w:tcPr>
            <w:tcW w:w="2175" w:type="dxa"/>
            <w:vAlign w:val="center"/>
          </w:tcPr>
          <w:p w14:paraId="0F399A9F">
            <w:pPr>
              <w:jc w:val="center"/>
              <w:rPr>
                <w:rFonts w:ascii="宋体" w:hAnsi="宋体"/>
                <w:kern w:val="0"/>
                <w:sz w:val="20"/>
                <w:szCs w:val="21"/>
              </w:rPr>
            </w:pPr>
            <w:r>
              <w:rPr>
                <w:rFonts w:hint="eastAsia" w:ascii="宋体" w:hAnsi="宋体"/>
                <w:kern w:val="0"/>
                <w:sz w:val="20"/>
                <w:szCs w:val="21"/>
              </w:rPr>
              <w:t>招标文件条款号</w:t>
            </w:r>
          </w:p>
        </w:tc>
        <w:tc>
          <w:tcPr>
            <w:tcW w:w="2425" w:type="dxa"/>
            <w:vAlign w:val="center"/>
          </w:tcPr>
          <w:p w14:paraId="5990E59C">
            <w:pPr>
              <w:jc w:val="center"/>
              <w:rPr>
                <w:rFonts w:ascii="宋体" w:hAnsi="宋体"/>
                <w:kern w:val="0"/>
                <w:sz w:val="20"/>
                <w:szCs w:val="21"/>
              </w:rPr>
            </w:pPr>
            <w:r>
              <w:rPr>
                <w:rFonts w:hint="eastAsia" w:ascii="宋体" w:hAnsi="宋体"/>
                <w:kern w:val="0"/>
                <w:sz w:val="20"/>
                <w:szCs w:val="21"/>
              </w:rPr>
              <w:t>招标文件条款内容</w:t>
            </w:r>
          </w:p>
        </w:tc>
        <w:tc>
          <w:tcPr>
            <w:tcW w:w="1774" w:type="dxa"/>
            <w:vAlign w:val="center"/>
          </w:tcPr>
          <w:p w14:paraId="56B1FA2B">
            <w:pPr>
              <w:jc w:val="center"/>
              <w:rPr>
                <w:rFonts w:ascii="宋体" w:hAnsi="宋体"/>
                <w:kern w:val="0"/>
                <w:sz w:val="20"/>
                <w:szCs w:val="21"/>
              </w:rPr>
            </w:pPr>
            <w:r>
              <w:rPr>
                <w:rFonts w:hint="eastAsia" w:ascii="宋体" w:hAnsi="宋体"/>
                <w:kern w:val="0"/>
                <w:sz w:val="20"/>
                <w:szCs w:val="21"/>
              </w:rPr>
              <w:t>偏离</w:t>
            </w:r>
          </w:p>
        </w:tc>
        <w:tc>
          <w:tcPr>
            <w:tcW w:w="1846" w:type="dxa"/>
            <w:vAlign w:val="center"/>
          </w:tcPr>
          <w:p w14:paraId="2FEBB463">
            <w:pPr>
              <w:jc w:val="center"/>
              <w:rPr>
                <w:rFonts w:ascii="宋体" w:hAnsi="宋体"/>
                <w:kern w:val="0"/>
                <w:sz w:val="20"/>
                <w:szCs w:val="21"/>
              </w:rPr>
            </w:pPr>
            <w:r>
              <w:rPr>
                <w:rFonts w:hint="eastAsia" w:ascii="宋体" w:hAnsi="宋体"/>
                <w:kern w:val="0"/>
                <w:sz w:val="20"/>
                <w:szCs w:val="21"/>
              </w:rPr>
              <w:t>说明</w:t>
            </w:r>
          </w:p>
        </w:tc>
      </w:tr>
      <w:tr w14:paraId="6A2167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jc w:val="center"/>
        </w:trPr>
        <w:tc>
          <w:tcPr>
            <w:tcW w:w="978" w:type="dxa"/>
            <w:vAlign w:val="center"/>
          </w:tcPr>
          <w:p w14:paraId="1E4900DB">
            <w:pPr>
              <w:jc w:val="center"/>
              <w:rPr>
                <w:rFonts w:ascii="宋体" w:hAnsi="宋体"/>
                <w:kern w:val="0"/>
                <w:sz w:val="20"/>
                <w:szCs w:val="21"/>
              </w:rPr>
            </w:pPr>
          </w:p>
        </w:tc>
        <w:tc>
          <w:tcPr>
            <w:tcW w:w="2175" w:type="dxa"/>
            <w:vAlign w:val="center"/>
          </w:tcPr>
          <w:p w14:paraId="7ABE9100">
            <w:pPr>
              <w:jc w:val="center"/>
              <w:rPr>
                <w:rFonts w:ascii="宋体" w:hAnsi="宋体"/>
                <w:kern w:val="0"/>
                <w:sz w:val="20"/>
                <w:szCs w:val="21"/>
              </w:rPr>
            </w:pPr>
          </w:p>
        </w:tc>
        <w:tc>
          <w:tcPr>
            <w:tcW w:w="2425" w:type="dxa"/>
            <w:vAlign w:val="center"/>
          </w:tcPr>
          <w:p w14:paraId="29773168">
            <w:pPr>
              <w:jc w:val="center"/>
              <w:rPr>
                <w:rFonts w:ascii="宋体" w:hAnsi="宋体"/>
                <w:kern w:val="0"/>
                <w:sz w:val="20"/>
                <w:szCs w:val="21"/>
              </w:rPr>
            </w:pPr>
          </w:p>
        </w:tc>
        <w:tc>
          <w:tcPr>
            <w:tcW w:w="1774" w:type="dxa"/>
            <w:vAlign w:val="center"/>
          </w:tcPr>
          <w:p w14:paraId="10B7AF4F">
            <w:pPr>
              <w:jc w:val="center"/>
              <w:rPr>
                <w:rFonts w:ascii="宋体" w:hAnsi="宋体"/>
                <w:kern w:val="0"/>
                <w:sz w:val="20"/>
                <w:szCs w:val="21"/>
              </w:rPr>
            </w:pPr>
          </w:p>
        </w:tc>
        <w:tc>
          <w:tcPr>
            <w:tcW w:w="1846" w:type="dxa"/>
            <w:vAlign w:val="center"/>
          </w:tcPr>
          <w:p w14:paraId="761495A5">
            <w:pPr>
              <w:jc w:val="center"/>
              <w:rPr>
                <w:rFonts w:ascii="宋体" w:hAnsi="宋体"/>
                <w:kern w:val="0"/>
                <w:sz w:val="20"/>
                <w:szCs w:val="21"/>
              </w:rPr>
            </w:pPr>
          </w:p>
        </w:tc>
      </w:tr>
      <w:tr w14:paraId="0CB678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vAlign w:val="center"/>
          </w:tcPr>
          <w:p w14:paraId="368B2876">
            <w:pPr>
              <w:jc w:val="center"/>
              <w:rPr>
                <w:rFonts w:ascii="宋体" w:hAnsi="宋体"/>
                <w:kern w:val="0"/>
                <w:sz w:val="20"/>
                <w:szCs w:val="21"/>
              </w:rPr>
            </w:pPr>
          </w:p>
        </w:tc>
        <w:tc>
          <w:tcPr>
            <w:tcW w:w="2175" w:type="dxa"/>
            <w:vAlign w:val="center"/>
          </w:tcPr>
          <w:p w14:paraId="19526812">
            <w:pPr>
              <w:jc w:val="center"/>
              <w:rPr>
                <w:rFonts w:ascii="宋体" w:hAnsi="宋体"/>
                <w:kern w:val="0"/>
                <w:sz w:val="20"/>
                <w:szCs w:val="21"/>
              </w:rPr>
            </w:pPr>
          </w:p>
        </w:tc>
        <w:tc>
          <w:tcPr>
            <w:tcW w:w="2425" w:type="dxa"/>
            <w:vAlign w:val="center"/>
          </w:tcPr>
          <w:p w14:paraId="020217A2">
            <w:pPr>
              <w:jc w:val="center"/>
              <w:rPr>
                <w:rFonts w:ascii="宋体" w:hAnsi="宋体"/>
                <w:kern w:val="0"/>
                <w:sz w:val="20"/>
                <w:szCs w:val="21"/>
              </w:rPr>
            </w:pPr>
          </w:p>
        </w:tc>
        <w:tc>
          <w:tcPr>
            <w:tcW w:w="1774" w:type="dxa"/>
            <w:vAlign w:val="center"/>
          </w:tcPr>
          <w:p w14:paraId="002220A2">
            <w:pPr>
              <w:jc w:val="center"/>
              <w:rPr>
                <w:rFonts w:ascii="宋体" w:hAnsi="宋体"/>
                <w:kern w:val="0"/>
                <w:sz w:val="20"/>
                <w:szCs w:val="21"/>
              </w:rPr>
            </w:pPr>
          </w:p>
        </w:tc>
        <w:tc>
          <w:tcPr>
            <w:tcW w:w="1846" w:type="dxa"/>
            <w:vAlign w:val="center"/>
          </w:tcPr>
          <w:p w14:paraId="76C8B12F">
            <w:pPr>
              <w:jc w:val="center"/>
              <w:rPr>
                <w:rFonts w:ascii="宋体" w:hAnsi="宋体"/>
                <w:kern w:val="0"/>
                <w:sz w:val="20"/>
                <w:szCs w:val="21"/>
              </w:rPr>
            </w:pPr>
          </w:p>
        </w:tc>
      </w:tr>
      <w:tr w14:paraId="200C23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vAlign w:val="center"/>
          </w:tcPr>
          <w:p w14:paraId="355085E2">
            <w:pPr>
              <w:jc w:val="center"/>
              <w:rPr>
                <w:rFonts w:ascii="宋体" w:hAnsi="宋体"/>
                <w:kern w:val="0"/>
                <w:sz w:val="20"/>
                <w:szCs w:val="21"/>
              </w:rPr>
            </w:pPr>
          </w:p>
        </w:tc>
        <w:tc>
          <w:tcPr>
            <w:tcW w:w="2175" w:type="dxa"/>
            <w:vAlign w:val="center"/>
          </w:tcPr>
          <w:p w14:paraId="563B130B">
            <w:pPr>
              <w:jc w:val="center"/>
              <w:rPr>
                <w:rFonts w:ascii="宋体" w:hAnsi="宋体"/>
                <w:kern w:val="0"/>
                <w:sz w:val="20"/>
                <w:szCs w:val="21"/>
              </w:rPr>
            </w:pPr>
          </w:p>
        </w:tc>
        <w:tc>
          <w:tcPr>
            <w:tcW w:w="2425" w:type="dxa"/>
            <w:vAlign w:val="center"/>
          </w:tcPr>
          <w:p w14:paraId="3898073B">
            <w:pPr>
              <w:jc w:val="center"/>
              <w:rPr>
                <w:rFonts w:ascii="宋体" w:hAnsi="宋体"/>
                <w:kern w:val="0"/>
                <w:sz w:val="20"/>
                <w:szCs w:val="21"/>
              </w:rPr>
            </w:pPr>
          </w:p>
        </w:tc>
        <w:tc>
          <w:tcPr>
            <w:tcW w:w="1774" w:type="dxa"/>
            <w:vAlign w:val="center"/>
          </w:tcPr>
          <w:p w14:paraId="516E23A6">
            <w:pPr>
              <w:jc w:val="center"/>
              <w:rPr>
                <w:rFonts w:ascii="宋体" w:hAnsi="宋体"/>
                <w:kern w:val="0"/>
                <w:sz w:val="20"/>
                <w:szCs w:val="21"/>
              </w:rPr>
            </w:pPr>
          </w:p>
        </w:tc>
        <w:tc>
          <w:tcPr>
            <w:tcW w:w="1846" w:type="dxa"/>
            <w:vAlign w:val="center"/>
          </w:tcPr>
          <w:p w14:paraId="1FFA0C64">
            <w:pPr>
              <w:jc w:val="center"/>
              <w:rPr>
                <w:rFonts w:ascii="宋体" w:hAnsi="宋体"/>
                <w:kern w:val="0"/>
                <w:sz w:val="20"/>
                <w:szCs w:val="21"/>
              </w:rPr>
            </w:pPr>
          </w:p>
        </w:tc>
      </w:tr>
      <w:tr w14:paraId="054D2D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vAlign w:val="center"/>
          </w:tcPr>
          <w:p w14:paraId="4378E3A4">
            <w:pPr>
              <w:jc w:val="center"/>
              <w:rPr>
                <w:rFonts w:ascii="宋体" w:hAnsi="宋体"/>
                <w:kern w:val="0"/>
                <w:sz w:val="20"/>
                <w:szCs w:val="21"/>
              </w:rPr>
            </w:pPr>
          </w:p>
        </w:tc>
        <w:tc>
          <w:tcPr>
            <w:tcW w:w="2175" w:type="dxa"/>
            <w:vAlign w:val="center"/>
          </w:tcPr>
          <w:p w14:paraId="43305251">
            <w:pPr>
              <w:jc w:val="center"/>
              <w:rPr>
                <w:rFonts w:ascii="宋体" w:hAnsi="宋体"/>
                <w:kern w:val="0"/>
                <w:sz w:val="20"/>
                <w:szCs w:val="21"/>
              </w:rPr>
            </w:pPr>
          </w:p>
        </w:tc>
        <w:tc>
          <w:tcPr>
            <w:tcW w:w="2425" w:type="dxa"/>
            <w:vAlign w:val="center"/>
          </w:tcPr>
          <w:p w14:paraId="6CDC8E18">
            <w:pPr>
              <w:jc w:val="center"/>
              <w:rPr>
                <w:rFonts w:ascii="宋体" w:hAnsi="宋体"/>
                <w:kern w:val="0"/>
                <w:sz w:val="20"/>
                <w:szCs w:val="21"/>
              </w:rPr>
            </w:pPr>
          </w:p>
        </w:tc>
        <w:tc>
          <w:tcPr>
            <w:tcW w:w="1774" w:type="dxa"/>
            <w:vAlign w:val="center"/>
          </w:tcPr>
          <w:p w14:paraId="022A44D2">
            <w:pPr>
              <w:jc w:val="center"/>
              <w:rPr>
                <w:rFonts w:ascii="宋体" w:hAnsi="宋体"/>
                <w:kern w:val="0"/>
                <w:sz w:val="20"/>
                <w:szCs w:val="21"/>
              </w:rPr>
            </w:pPr>
          </w:p>
        </w:tc>
        <w:tc>
          <w:tcPr>
            <w:tcW w:w="1846" w:type="dxa"/>
            <w:vAlign w:val="center"/>
          </w:tcPr>
          <w:p w14:paraId="05A78BB2">
            <w:pPr>
              <w:jc w:val="center"/>
              <w:rPr>
                <w:rFonts w:ascii="宋体" w:hAnsi="宋体"/>
                <w:kern w:val="0"/>
                <w:sz w:val="20"/>
                <w:szCs w:val="21"/>
              </w:rPr>
            </w:pPr>
          </w:p>
        </w:tc>
      </w:tr>
      <w:tr w14:paraId="53B565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vAlign w:val="center"/>
          </w:tcPr>
          <w:p w14:paraId="371045FA">
            <w:pPr>
              <w:jc w:val="center"/>
              <w:rPr>
                <w:rFonts w:ascii="宋体" w:hAnsi="宋体"/>
                <w:kern w:val="0"/>
                <w:sz w:val="20"/>
                <w:szCs w:val="21"/>
              </w:rPr>
            </w:pPr>
          </w:p>
        </w:tc>
        <w:tc>
          <w:tcPr>
            <w:tcW w:w="2175" w:type="dxa"/>
            <w:vAlign w:val="center"/>
          </w:tcPr>
          <w:p w14:paraId="4A24A8DB">
            <w:pPr>
              <w:jc w:val="center"/>
              <w:rPr>
                <w:rFonts w:ascii="宋体" w:hAnsi="宋体"/>
                <w:kern w:val="0"/>
                <w:sz w:val="20"/>
                <w:szCs w:val="21"/>
              </w:rPr>
            </w:pPr>
          </w:p>
        </w:tc>
        <w:tc>
          <w:tcPr>
            <w:tcW w:w="2425" w:type="dxa"/>
            <w:vAlign w:val="center"/>
          </w:tcPr>
          <w:p w14:paraId="2540822A">
            <w:pPr>
              <w:jc w:val="center"/>
              <w:rPr>
                <w:rFonts w:ascii="宋体" w:hAnsi="宋体"/>
                <w:kern w:val="0"/>
                <w:sz w:val="20"/>
                <w:szCs w:val="21"/>
              </w:rPr>
            </w:pPr>
          </w:p>
        </w:tc>
        <w:tc>
          <w:tcPr>
            <w:tcW w:w="1774" w:type="dxa"/>
            <w:vAlign w:val="center"/>
          </w:tcPr>
          <w:p w14:paraId="39D23CDB">
            <w:pPr>
              <w:jc w:val="center"/>
              <w:rPr>
                <w:rFonts w:ascii="宋体" w:hAnsi="宋体"/>
                <w:kern w:val="0"/>
                <w:sz w:val="20"/>
                <w:szCs w:val="21"/>
              </w:rPr>
            </w:pPr>
          </w:p>
        </w:tc>
        <w:tc>
          <w:tcPr>
            <w:tcW w:w="1846" w:type="dxa"/>
            <w:vAlign w:val="center"/>
          </w:tcPr>
          <w:p w14:paraId="22C67063">
            <w:pPr>
              <w:jc w:val="center"/>
              <w:rPr>
                <w:rFonts w:ascii="宋体" w:hAnsi="宋体"/>
                <w:kern w:val="0"/>
                <w:sz w:val="20"/>
                <w:szCs w:val="21"/>
              </w:rPr>
            </w:pPr>
          </w:p>
        </w:tc>
      </w:tr>
      <w:tr w14:paraId="3FC34E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vAlign w:val="center"/>
          </w:tcPr>
          <w:p w14:paraId="7EDF66CE">
            <w:pPr>
              <w:jc w:val="center"/>
              <w:rPr>
                <w:rFonts w:ascii="宋体" w:hAnsi="宋体"/>
                <w:kern w:val="0"/>
                <w:sz w:val="20"/>
                <w:szCs w:val="21"/>
              </w:rPr>
            </w:pPr>
          </w:p>
        </w:tc>
        <w:tc>
          <w:tcPr>
            <w:tcW w:w="2175" w:type="dxa"/>
            <w:vAlign w:val="center"/>
          </w:tcPr>
          <w:p w14:paraId="7E4AE688">
            <w:pPr>
              <w:jc w:val="center"/>
              <w:rPr>
                <w:rFonts w:ascii="宋体" w:hAnsi="宋体"/>
                <w:kern w:val="0"/>
                <w:sz w:val="20"/>
                <w:szCs w:val="21"/>
              </w:rPr>
            </w:pPr>
          </w:p>
        </w:tc>
        <w:tc>
          <w:tcPr>
            <w:tcW w:w="2425" w:type="dxa"/>
            <w:vAlign w:val="center"/>
          </w:tcPr>
          <w:p w14:paraId="0EFCA554">
            <w:pPr>
              <w:jc w:val="center"/>
              <w:rPr>
                <w:rFonts w:ascii="宋体" w:hAnsi="宋体"/>
                <w:kern w:val="0"/>
                <w:sz w:val="20"/>
                <w:szCs w:val="21"/>
              </w:rPr>
            </w:pPr>
          </w:p>
        </w:tc>
        <w:tc>
          <w:tcPr>
            <w:tcW w:w="1774" w:type="dxa"/>
            <w:vAlign w:val="center"/>
          </w:tcPr>
          <w:p w14:paraId="06A464E6">
            <w:pPr>
              <w:jc w:val="center"/>
              <w:rPr>
                <w:rFonts w:ascii="宋体" w:hAnsi="宋体"/>
                <w:kern w:val="0"/>
                <w:sz w:val="20"/>
                <w:szCs w:val="21"/>
              </w:rPr>
            </w:pPr>
          </w:p>
        </w:tc>
        <w:tc>
          <w:tcPr>
            <w:tcW w:w="1846" w:type="dxa"/>
            <w:vAlign w:val="center"/>
          </w:tcPr>
          <w:p w14:paraId="6EE78DBE">
            <w:pPr>
              <w:jc w:val="center"/>
              <w:rPr>
                <w:rFonts w:ascii="宋体" w:hAnsi="宋体"/>
                <w:kern w:val="0"/>
                <w:sz w:val="20"/>
                <w:szCs w:val="21"/>
              </w:rPr>
            </w:pPr>
          </w:p>
        </w:tc>
      </w:tr>
    </w:tbl>
    <w:p w14:paraId="079B79C0">
      <w:pPr>
        <w:rPr>
          <w:rFonts w:ascii="宋体" w:hAnsi="宋体"/>
          <w:szCs w:val="21"/>
        </w:rPr>
      </w:pPr>
    </w:p>
    <w:p w14:paraId="47F87054">
      <w:pPr>
        <w:rPr>
          <w:rFonts w:ascii="宋体" w:hAnsi="宋体"/>
          <w:szCs w:val="21"/>
        </w:rPr>
      </w:pPr>
    </w:p>
    <w:p w14:paraId="65FBF977">
      <w:pPr>
        <w:rPr>
          <w:rFonts w:ascii="宋体" w:hAnsi="宋体"/>
          <w:szCs w:val="21"/>
        </w:rPr>
      </w:pPr>
    </w:p>
    <w:p w14:paraId="676546F3">
      <w:pPr>
        <w:rPr>
          <w:rFonts w:ascii="宋体" w:hAnsi="宋体"/>
          <w:szCs w:val="21"/>
        </w:rPr>
      </w:pPr>
    </w:p>
    <w:p w14:paraId="47B7D59C">
      <w:pPr>
        <w:pStyle w:val="76"/>
        <w:rPr>
          <w:rFonts w:hAnsi="宋体"/>
          <w:szCs w:val="21"/>
        </w:rPr>
      </w:pPr>
      <w:r>
        <w:rPr>
          <w:rFonts w:hint="eastAsia" w:hAnsi="宋体"/>
          <w:szCs w:val="21"/>
        </w:rPr>
        <w:t>投标人名称（盖章）：              法定代表人或授权代表签字：</w:t>
      </w:r>
    </w:p>
    <w:p w14:paraId="1BCC8B59">
      <w:pPr>
        <w:rPr>
          <w:rFonts w:ascii="宋体" w:hAnsi="宋体" w:cs="宋体"/>
          <w:b/>
          <w:bCs/>
          <w:sz w:val="32"/>
          <w:szCs w:val="32"/>
        </w:rPr>
      </w:pPr>
      <w:r>
        <w:rPr>
          <w:rFonts w:ascii="宋体" w:hAnsi="宋体" w:cs="宋体"/>
          <w:b/>
          <w:bCs/>
          <w:sz w:val="32"/>
          <w:szCs w:val="32"/>
        </w:rPr>
        <w:br w:type="page"/>
      </w:r>
    </w:p>
    <w:p w14:paraId="6DB6E000">
      <w:pPr>
        <w:pStyle w:val="2"/>
        <w:outlineLvl w:val="2"/>
        <w:rPr>
          <w:rFonts w:hAnsi="宋体" w:cs="宋体"/>
          <w:b/>
          <w:bCs/>
          <w:color w:val="000000"/>
          <w:sz w:val="24"/>
          <w:szCs w:val="24"/>
        </w:rPr>
      </w:pPr>
      <w:r>
        <w:rPr>
          <w:rFonts w:hint="eastAsia" w:hAnsi="宋体" w:cs="宋体"/>
          <w:b/>
          <w:bCs/>
          <w:color w:val="000000"/>
          <w:sz w:val="24"/>
          <w:szCs w:val="24"/>
        </w:rPr>
        <w:t>SRM非生产供应商注册操作手册</w:t>
      </w:r>
    </w:p>
    <w:p w14:paraId="68765BB9">
      <w:pPr>
        <w:pStyle w:val="2"/>
      </w:pPr>
    </w:p>
    <w:p w14:paraId="0E24E503">
      <w:pPr>
        <w:adjustRightInd w:val="0"/>
        <w:snapToGrid w:val="0"/>
        <w:spacing w:line="360" w:lineRule="auto"/>
        <w:jc w:val="left"/>
        <w:rPr>
          <w:rFonts w:ascii="宋体" w:hAnsi="宋体" w:cs="宋体"/>
          <w:sz w:val="24"/>
          <w:szCs w:val="24"/>
        </w:rPr>
      </w:pPr>
      <w:r>
        <w:rPr>
          <w:rFonts w:ascii="宋体" w:hAnsi="宋体" w:cs="宋体"/>
          <w:sz w:val="24"/>
          <w:szCs w:val="24"/>
        </w:rPr>
        <w:t>浏览器中输入地址;</w:t>
      </w:r>
    </w:p>
    <w:p w14:paraId="74FA9387">
      <w:pPr>
        <w:adjustRightInd w:val="0"/>
        <w:snapToGrid w:val="0"/>
        <w:spacing w:line="360" w:lineRule="auto"/>
        <w:jc w:val="left"/>
        <w:rPr>
          <w:rFonts w:ascii="宋体" w:hAnsi="宋体" w:cs="宋体"/>
          <w:sz w:val="24"/>
          <w:szCs w:val="24"/>
        </w:rPr>
      </w:pPr>
      <w:r>
        <w:fldChar w:fldCharType="begin"/>
      </w:r>
      <w:r>
        <w:instrText xml:space="preserve"> HYPERLINK "http://ecaitong.sinotruk.com:8012/" \l "/login" \t "dlt" </w:instrText>
      </w:r>
      <w:r>
        <w:fldChar w:fldCharType="separate"/>
      </w:r>
      <w:r>
        <w:rPr>
          <w:rFonts w:ascii="宋体" w:hAnsi="宋体" w:cs="宋体"/>
          <w:sz w:val="24"/>
          <w:szCs w:val="24"/>
        </w:rPr>
        <w:t>http</w:t>
      </w:r>
      <w:r>
        <w:rPr>
          <w:rFonts w:hint="eastAsia" w:ascii="宋体" w:hAnsi="宋体" w:cs="宋体"/>
          <w:sz w:val="24"/>
          <w:szCs w:val="24"/>
        </w:rPr>
        <w:t>s</w:t>
      </w:r>
      <w:r>
        <w:rPr>
          <w:rFonts w:ascii="宋体" w:hAnsi="宋体" w:cs="宋体"/>
          <w:sz w:val="24"/>
          <w:szCs w:val="24"/>
        </w:rPr>
        <w:t>://ecaitong.sinotruk.com:8012/#/login</w:t>
      </w:r>
      <w:r>
        <w:rPr>
          <w:rFonts w:ascii="宋体" w:hAnsi="宋体" w:cs="宋体"/>
          <w:sz w:val="24"/>
          <w:szCs w:val="24"/>
        </w:rPr>
        <w:fldChar w:fldCharType="end"/>
      </w:r>
    </w:p>
    <w:p w14:paraId="6BB0DFE9">
      <w:pPr>
        <w:adjustRightInd w:val="0"/>
        <w:snapToGrid w:val="0"/>
        <w:spacing w:line="360" w:lineRule="auto"/>
        <w:jc w:val="left"/>
        <w:rPr>
          <w:rFonts w:ascii="宋体" w:hAnsi="宋体" w:cs="宋体"/>
          <w:sz w:val="24"/>
          <w:szCs w:val="24"/>
        </w:rPr>
      </w:pPr>
      <w:r>
        <w:rPr>
          <w:rFonts w:ascii="宋体" w:hAnsi="宋体" w:cs="宋体"/>
          <w:sz w:val="24"/>
          <w:szCs w:val="24"/>
        </w:rPr>
        <w:t>1.点击立即注册</w:t>
      </w:r>
    </w:p>
    <w:p w14:paraId="4D1508E0">
      <w:pPr>
        <w:snapToGrid w:val="0"/>
        <w:spacing w:line="312" w:lineRule="auto"/>
      </w:pPr>
      <w:r>
        <w:drawing>
          <wp:inline distT="0" distB="0" distL="0" distR="0">
            <wp:extent cx="5760085" cy="2933065"/>
            <wp:effectExtent l="0" t="0" r="5715" b="635"/>
            <wp:docPr id="4" name="picture" descr="descript"/>
            <wp:cNvGraphicFramePr/>
            <a:graphic xmlns:a="http://schemas.openxmlformats.org/drawingml/2006/main">
              <a:graphicData uri="http://schemas.openxmlformats.org/drawingml/2006/picture">
                <pic:pic xmlns:pic="http://schemas.openxmlformats.org/drawingml/2006/picture">
                  <pic:nvPicPr>
                    <pic:cNvPr id="4" name="picture" descr="descript"/>
                    <pic:cNvPicPr/>
                  </pic:nvPicPr>
                  <pic:blipFill>
                    <a:blip r:embed="rId15"/>
                    <a:stretch>
                      <a:fillRect/>
                    </a:stretch>
                  </pic:blipFill>
                  <pic:spPr>
                    <a:xfrm>
                      <a:off x="0" y="0"/>
                      <a:ext cx="5760085" cy="2933377"/>
                    </a:xfrm>
                    <a:prstGeom prst="rect">
                      <a:avLst/>
                    </a:prstGeom>
                  </pic:spPr>
                </pic:pic>
              </a:graphicData>
            </a:graphic>
          </wp:inline>
        </w:drawing>
      </w:r>
    </w:p>
    <w:p w14:paraId="19D7CFAC">
      <w:pPr>
        <w:spacing w:line="360" w:lineRule="auto"/>
        <w:rPr>
          <w:rFonts w:ascii="宋体" w:hAnsi="宋体" w:cs="宋体"/>
          <w:sz w:val="24"/>
          <w:szCs w:val="28"/>
        </w:rPr>
      </w:pPr>
      <w:r>
        <w:rPr>
          <w:rFonts w:hint="eastAsia" w:ascii="宋体" w:hAnsi="宋体" w:cs="宋体"/>
          <w:color w:val="000000"/>
          <w:sz w:val="24"/>
          <w:szCs w:val="28"/>
        </w:rPr>
        <w:t>2.</w:t>
      </w:r>
      <w:r>
        <w:rPr>
          <w:rFonts w:ascii="宋体" w:hAnsi="宋体" w:cs="宋体"/>
          <w:color w:val="000000"/>
          <w:sz w:val="24"/>
          <w:szCs w:val="28"/>
        </w:rPr>
        <w:t>填写手机号码（没有注册过的）</w:t>
      </w:r>
    </w:p>
    <w:p w14:paraId="1FEA666F">
      <w:pPr>
        <w:snapToGrid w:val="0"/>
        <w:spacing w:line="312" w:lineRule="auto"/>
      </w:pPr>
      <w:r>
        <w:drawing>
          <wp:inline distT="0" distB="0" distL="0" distR="0">
            <wp:extent cx="5760085" cy="2766695"/>
            <wp:effectExtent l="0" t="0" r="5715" b="190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16"/>
                    <a:stretch>
                      <a:fillRect/>
                    </a:stretch>
                  </pic:blipFill>
                  <pic:spPr>
                    <a:xfrm>
                      <a:off x="0" y="0"/>
                      <a:ext cx="5760085" cy="2766707"/>
                    </a:xfrm>
                    <a:prstGeom prst="rect">
                      <a:avLst/>
                    </a:prstGeom>
                  </pic:spPr>
                </pic:pic>
              </a:graphicData>
            </a:graphic>
          </wp:inline>
        </w:drawing>
      </w:r>
    </w:p>
    <w:p w14:paraId="0691E3CA">
      <w:pPr>
        <w:spacing w:line="360" w:lineRule="auto"/>
        <w:rPr>
          <w:rFonts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14:paraId="31921633">
      <w:pPr>
        <w:snapToGrid w:val="0"/>
        <w:spacing w:line="312" w:lineRule="auto"/>
      </w:pPr>
      <w:r>
        <w:drawing>
          <wp:inline distT="0" distB="0" distL="0" distR="0">
            <wp:extent cx="5760085" cy="2869565"/>
            <wp:effectExtent l="0" t="0" r="5715" b="635"/>
            <wp:docPr id="14" name="picture" descr="descript"/>
            <wp:cNvGraphicFramePr/>
            <a:graphic xmlns:a="http://schemas.openxmlformats.org/drawingml/2006/main">
              <a:graphicData uri="http://schemas.openxmlformats.org/drawingml/2006/picture">
                <pic:pic xmlns:pic="http://schemas.openxmlformats.org/drawingml/2006/picture">
                  <pic:nvPicPr>
                    <pic:cNvPr id="14" name="picture" descr="descript"/>
                    <pic:cNvPicPr/>
                  </pic:nvPicPr>
                  <pic:blipFill>
                    <a:blip r:embed="rId17"/>
                    <a:stretch>
                      <a:fillRect/>
                    </a:stretch>
                  </pic:blipFill>
                  <pic:spPr>
                    <a:xfrm>
                      <a:off x="0" y="0"/>
                      <a:ext cx="5760085" cy="2870054"/>
                    </a:xfrm>
                    <a:prstGeom prst="rect">
                      <a:avLst/>
                    </a:prstGeom>
                  </pic:spPr>
                </pic:pic>
              </a:graphicData>
            </a:graphic>
          </wp:inline>
        </w:drawing>
      </w:r>
    </w:p>
    <w:p w14:paraId="1D22714A">
      <w:pPr>
        <w:spacing w:line="360" w:lineRule="auto"/>
        <w:rPr>
          <w:rFonts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14:paraId="29725BB0">
      <w:pPr>
        <w:snapToGrid w:val="0"/>
        <w:spacing w:line="312" w:lineRule="auto"/>
      </w:pPr>
      <w: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8"/>
                    <a:stretch>
                      <a:fillRect/>
                    </a:stretch>
                  </pic:blipFill>
                  <pic:spPr>
                    <a:xfrm>
                      <a:off x="0" y="0"/>
                      <a:ext cx="5760085" cy="2853375"/>
                    </a:xfrm>
                    <a:prstGeom prst="rect">
                      <a:avLst/>
                    </a:prstGeom>
                  </pic:spPr>
                </pic:pic>
              </a:graphicData>
            </a:graphic>
          </wp:inline>
        </w:drawing>
      </w:r>
    </w:p>
    <w:p w14:paraId="3F134B44">
      <w:pPr>
        <w:spacing w:line="360" w:lineRule="auto"/>
        <w:rPr>
          <w:rFonts w:ascii="宋体" w:hAnsi="宋体" w:cs="宋体"/>
          <w:sz w:val="24"/>
          <w:szCs w:val="28"/>
        </w:rPr>
      </w:pPr>
      <w:r>
        <w:rPr>
          <w:rFonts w:hint="eastAsia" w:ascii="宋体" w:hAnsi="宋体" w:cs="宋体"/>
          <w:sz w:val="24"/>
          <w:szCs w:val="28"/>
        </w:rPr>
        <w:t>5</w:t>
      </w:r>
      <w:r>
        <w:rPr>
          <w:rFonts w:hint="eastAsia" w:ascii="宋体" w:hAnsi="宋体" w:cs="宋体"/>
          <w:color w:val="000000"/>
          <w:sz w:val="24"/>
          <w:szCs w:val="28"/>
        </w:rPr>
        <w:t>.</w:t>
      </w:r>
      <w:r>
        <w:rPr>
          <w:rFonts w:ascii="宋体" w:hAnsi="宋体" w:cs="宋体"/>
          <w:color w:val="000000"/>
          <w:sz w:val="24"/>
          <w:szCs w:val="28"/>
        </w:rPr>
        <w:t>按要求填写所有信息，注意非生产类要填写合作单位，最后提交审批</w:t>
      </w:r>
    </w:p>
    <w:p w14:paraId="2F5034DE">
      <w:pPr>
        <w:pStyle w:val="2"/>
      </w:pPr>
    </w:p>
    <w:p w14:paraId="6C65D4C9">
      <w: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9"/>
                    <a:stretch>
                      <a:fillRect/>
                    </a:stretch>
                  </pic:blipFill>
                  <pic:spPr>
                    <a:xfrm>
                      <a:off x="0" y="0"/>
                      <a:ext cx="5760085" cy="2810122"/>
                    </a:xfrm>
                    <a:prstGeom prst="rect">
                      <a:avLst/>
                    </a:prstGeom>
                  </pic:spPr>
                </pic:pic>
              </a:graphicData>
            </a:graphic>
          </wp:inline>
        </w:drawing>
      </w:r>
    </w:p>
    <w:p w14:paraId="68C26661">
      <w:pPr>
        <w:pStyle w:val="2"/>
      </w:pPr>
      <w: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20"/>
                    <a:stretch>
                      <a:fillRect/>
                    </a:stretch>
                  </pic:blipFill>
                  <pic:spPr>
                    <a:xfrm>
                      <a:off x="0" y="0"/>
                      <a:ext cx="5760085" cy="2820042"/>
                    </a:xfrm>
                    <a:prstGeom prst="rect">
                      <a:avLst/>
                    </a:prstGeom>
                  </pic:spPr>
                </pic:pic>
              </a:graphicData>
            </a:graphic>
          </wp:inline>
        </w:drawing>
      </w:r>
    </w:p>
    <w:p w14:paraId="4BC81C19">
      <w:pPr>
        <w:pStyle w:val="2"/>
      </w:pPr>
    </w:p>
    <w:p w14:paraId="066E0F54">
      <w:pPr>
        <w:rPr>
          <w:rFonts w:ascii="宋体" w:hAnsi="宋体" w:cs="宋体"/>
          <w:b/>
          <w:bCs/>
          <w:color w:val="000000"/>
          <w:sz w:val="24"/>
          <w:szCs w:val="28"/>
          <w:highlight w:val="yellow"/>
        </w:rPr>
      </w:pPr>
      <w:r>
        <w:rPr>
          <w:rFonts w:hint="eastAsia" w:ascii="宋体" w:hAnsi="宋体" w:cs="宋体"/>
          <w:b/>
          <w:bCs/>
          <w:color w:val="000000"/>
          <w:sz w:val="24"/>
          <w:szCs w:val="28"/>
          <w:highlight w:val="yellow"/>
        </w:rPr>
        <w:t>注：</w:t>
      </w:r>
    </w:p>
    <w:p w14:paraId="27AAD5E0">
      <w:pPr>
        <w:rPr>
          <w:rFonts w:ascii="宋体" w:hAnsi="宋体" w:cs="宋体"/>
          <w:b/>
          <w:bCs/>
          <w:color w:val="000000"/>
          <w:sz w:val="24"/>
          <w:szCs w:val="28"/>
          <w:highlight w:val="yellow"/>
        </w:rPr>
      </w:pPr>
      <w:r>
        <w:rPr>
          <w:rFonts w:hint="eastAsia" w:ascii="宋体" w:hAnsi="宋体" w:cs="宋体"/>
          <w:b/>
          <w:bCs/>
          <w:color w:val="000000"/>
          <w:sz w:val="24"/>
          <w:szCs w:val="28"/>
          <w:highlight w:val="yellow"/>
        </w:rPr>
        <w:t>1.“项目名称”和“采购形式编号”见投标须知前附表1.1；</w:t>
      </w:r>
    </w:p>
    <w:p w14:paraId="40FAC5B1">
      <w:pPr>
        <w:rPr>
          <w:rFonts w:ascii="宋体" w:hAnsi="宋体" w:cs="宋体"/>
          <w:b/>
          <w:bCs/>
          <w:color w:val="000000"/>
          <w:sz w:val="24"/>
          <w:szCs w:val="24"/>
        </w:rPr>
      </w:pPr>
      <w:r>
        <w:rPr>
          <w:rFonts w:hint="eastAsia" w:ascii="宋体" w:hAnsi="宋体" w:cs="宋体"/>
          <w:b/>
          <w:bCs/>
          <w:color w:val="000000"/>
          <w:sz w:val="24"/>
          <w:szCs w:val="28"/>
          <w:highlight w:val="yellow"/>
        </w:rPr>
        <w:t>2.</w:t>
      </w:r>
      <w:r>
        <w:rPr>
          <w:rFonts w:hint="eastAsia" w:hAnsi="宋体" w:cs="宋体"/>
          <w:b/>
          <w:bCs/>
          <w:color w:val="000000"/>
          <w:sz w:val="24"/>
          <w:szCs w:val="28"/>
          <w:highlight w:val="yellow"/>
        </w:rPr>
        <w:t>配套能力“供货类别”选“直管单位非生产招标 / 工艺设备 / 工艺设备”，业务主管部门为“工艺研究院”。</w:t>
      </w:r>
      <w:r>
        <w:rPr>
          <w:rFonts w:hint="eastAsia" w:ascii="宋体" w:hAnsi="宋体" w:cs="宋体"/>
          <w:b/>
          <w:bCs/>
          <w:color w:val="000000"/>
          <w:sz w:val="24"/>
          <w:szCs w:val="24"/>
        </w:rPr>
        <w:br w:type="page"/>
      </w:r>
    </w:p>
    <w:p w14:paraId="3EF56BD2">
      <w:pPr>
        <w:pStyle w:val="2"/>
        <w:outlineLvl w:val="2"/>
        <w:rPr>
          <w:rFonts w:hAnsi="宋体"/>
          <w:b/>
          <w:color w:val="000000"/>
          <w:sz w:val="24"/>
          <w:szCs w:val="24"/>
        </w:rPr>
      </w:pPr>
      <w:r>
        <w:rPr>
          <w:rFonts w:hint="eastAsia" w:hAnsi="宋体"/>
          <w:b/>
          <w:color w:val="000000"/>
          <w:sz w:val="24"/>
          <w:szCs w:val="24"/>
        </w:rPr>
        <w:t>SRM系统供应商用户手册</w:t>
      </w:r>
    </w:p>
    <w:p w14:paraId="56283A6E">
      <w:pPr>
        <w:spacing w:line="360" w:lineRule="auto"/>
        <w:rPr>
          <w:rFonts w:ascii="宋体" w:hAnsi="宋体" w:cs="宋体"/>
          <w:sz w:val="24"/>
          <w:szCs w:val="24"/>
        </w:rPr>
      </w:pPr>
      <w:r>
        <w:rPr>
          <w:rFonts w:hint="eastAsia" w:ascii="宋体" w:hAnsi="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cs="宋体"/>
          <w:sz w:val="24"/>
          <w:szCs w:val="24"/>
        </w:rPr>
        <w:t>https://ecaitong.sinotruk.com:8012/</w:t>
      </w:r>
      <w:r>
        <w:rPr>
          <w:rStyle w:val="37"/>
          <w:rFonts w:hint="eastAsia" w:ascii="宋体" w:hAnsi="宋体" w:cs="宋体"/>
          <w:sz w:val="24"/>
          <w:szCs w:val="24"/>
        </w:rPr>
        <w:fldChar w:fldCharType="end"/>
      </w:r>
    </w:p>
    <w:p w14:paraId="7E311810">
      <w:pPr>
        <w:spacing w:line="360" w:lineRule="auto"/>
        <w:rPr>
          <w:rFonts w:ascii="宋体" w:hAnsi="宋体" w:cs="宋体"/>
          <w:sz w:val="24"/>
          <w:szCs w:val="24"/>
        </w:rPr>
      </w:pPr>
      <w:r>
        <w:rPr>
          <w:rFonts w:hint="eastAsia" w:ascii="宋体" w:hAnsi="宋体" w:cs="宋体"/>
          <w:color w:val="000000"/>
          <w:sz w:val="24"/>
          <w:szCs w:val="24"/>
        </w:rPr>
        <w:t>用 户 名：gys+供应商代码（</w:t>
      </w:r>
      <w:r>
        <w:rPr>
          <w:rFonts w:hint="eastAsia" w:ascii="宋体" w:hAnsi="宋体" w:cs="宋体"/>
          <w:color w:val="FF0000"/>
          <w:sz w:val="24"/>
          <w:szCs w:val="24"/>
        </w:rPr>
        <w:t>注意：注册完毕后，用户名不要用手机号登录</w:t>
      </w:r>
      <w:r>
        <w:rPr>
          <w:rFonts w:hint="eastAsia" w:ascii="宋体" w:hAnsi="宋体" w:cs="宋体"/>
          <w:color w:val="000000"/>
          <w:sz w:val="24"/>
          <w:szCs w:val="24"/>
        </w:rPr>
        <w:t>）</w:t>
      </w:r>
    </w:p>
    <w:p w14:paraId="0571182E">
      <w:pPr>
        <w:spacing w:line="360" w:lineRule="auto"/>
        <w:rPr>
          <w:rFonts w:ascii="宋体" w:hAnsi="宋体" w:cs="宋体"/>
          <w:sz w:val="24"/>
          <w:szCs w:val="24"/>
        </w:rPr>
      </w:pPr>
      <w:r>
        <w:rPr>
          <w:rFonts w:hint="eastAsia" w:ascii="宋体" w:hAnsi="宋体" w:cs="宋体"/>
          <w:color w:val="000000"/>
          <w:sz w:val="24"/>
          <w:szCs w:val="24"/>
        </w:rPr>
        <w:t>初始密码：</w:t>
      </w:r>
      <w:r>
        <w:rPr>
          <w:rFonts w:hint="eastAsia" w:ascii="宋体" w:hAnsi="宋体" w:cs="宋体"/>
          <w:color w:val="000000"/>
          <w:sz w:val="24"/>
          <w:szCs w:val="24"/>
          <w:highlight w:val="yellow"/>
        </w:rPr>
        <w:t>scm@2022</w:t>
      </w:r>
    </w:p>
    <w:p w14:paraId="5EAA7313">
      <w:pPr>
        <w:spacing w:line="360" w:lineRule="auto"/>
        <w:rPr>
          <w:rFonts w:ascii="宋体" w:hAnsi="宋体" w:cs="宋体"/>
          <w:b/>
          <w:bCs/>
          <w:color w:val="000000"/>
          <w:sz w:val="24"/>
          <w:szCs w:val="24"/>
        </w:rPr>
      </w:pPr>
      <w:r>
        <w:rPr>
          <w:rFonts w:hint="eastAsia" w:ascii="宋体" w:hAnsi="宋体" w:cs="宋体"/>
          <w:b/>
          <w:bCs/>
          <w:color w:val="000000"/>
          <w:sz w:val="24"/>
          <w:szCs w:val="24"/>
        </w:rPr>
        <w:t>1.供应商应标</w:t>
      </w:r>
    </w:p>
    <w:p w14:paraId="4C3B5D1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供应商应标</w:t>
      </w:r>
    </w:p>
    <w:p w14:paraId="2752A5A6">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14:paraId="6AD4D2CB">
      <w:r>
        <w:drawing>
          <wp:inline distT="0" distB="0" distL="0" distR="0">
            <wp:extent cx="5760085" cy="2269490"/>
            <wp:effectExtent l="0" t="0" r="5715" b="38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21"/>
                    <a:stretch>
                      <a:fillRect/>
                    </a:stretch>
                  </pic:blipFill>
                  <pic:spPr>
                    <a:xfrm>
                      <a:off x="0" y="0"/>
                      <a:ext cx="5760085" cy="2269864"/>
                    </a:xfrm>
                    <a:prstGeom prst="rect">
                      <a:avLst/>
                    </a:prstGeom>
                  </pic:spPr>
                </pic:pic>
              </a:graphicData>
            </a:graphic>
          </wp:inline>
        </w:drawing>
      </w:r>
    </w:p>
    <w:p w14:paraId="340D32D7"/>
    <w:p w14:paraId="0A9846D6">
      <w:pPr>
        <w:spacing w:line="360" w:lineRule="auto"/>
        <w:rPr>
          <w:rFonts w:ascii="宋体" w:hAnsi="宋体" w:cs="宋体"/>
          <w:b/>
          <w:bCs/>
          <w:color w:val="000000"/>
          <w:sz w:val="24"/>
          <w:szCs w:val="24"/>
        </w:rPr>
      </w:pPr>
      <w:r>
        <w:rPr>
          <w:rFonts w:hint="eastAsia" w:ascii="宋体" w:hAnsi="宋体" w:cs="宋体"/>
          <w:b/>
          <w:bCs/>
          <w:color w:val="000000"/>
          <w:sz w:val="24"/>
          <w:szCs w:val="24"/>
        </w:rPr>
        <w:t>2.供应商投标</w:t>
      </w:r>
    </w:p>
    <w:p w14:paraId="37A95C9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供应商投标</w:t>
      </w:r>
    </w:p>
    <w:p w14:paraId="19B6EE1C">
      <w:pPr>
        <w:rPr>
          <w:rFonts w:ascii="宋体" w:hAnsi="宋体" w:cs="宋体"/>
          <w:color w:val="000000"/>
        </w:rPr>
      </w:pPr>
      <w:r>
        <w:rPr>
          <w:rFonts w:ascii="宋体" w:hAnsi="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2"/>
                    <a:stretch>
                      <a:fillRect/>
                    </a:stretch>
                  </pic:blipFill>
                  <pic:spPr>
                    <a:xfrm>
                      <a:off x="0" y="0"/>
                      <a:ext cx="5760085" cy="2125673"/>
                    </a:xfrm>
                    <a:prstGeom prst="rect">
                      <a:avLst/>
                    </a:prstGeom>
                  </pic:spPr>
                </pic:pic>
              </a:graphicData>
            </a:graphic>
          </wp:inline>
        </w:drawing>
      </w:r>
    </w:p>
    <w:p w14:paraId="5C2A60BF">
      <w:pPr>
        <w:spacing w:line="360" w:lineRule="auto"/>
        <w:rPr>
          <w:rFonts w:ascii="宋体" w:hAnsi="宋体" w:cs="宋体"/>
          <w:color w:val="000000"/>
          <w:sz w:val="24"/>
          <w:szCs w:val="28"/>
        </w:rPr>
      </w:pPr>
      <w:r>
        <w:rPr>
          <w:rFonts w:ascii="宋体" w:hAnsi="宋体" w:cs="宋体"/>
          <w:color w:val="000000"/>
          <w:sz w:val="24"/>
          <w:szCs w:val="28"/>
        </w:rPr>
        <w:t>点击投标按钮，进入详情页，输入投标报价并上传相应的附件。</w:t>
      </w:r>
    </w:p>
    <w:p w14:paraId="1C8F87D8">
      <w:pPr>
        <w:pStyle w:val="2"/>
      </w:pPr>
      <w:r>
        <w:rPr>
          <w:rFonts w:hint="eastAsia" w:hAnsi="宋体" w:cs="宋体"/>
          <w:color w:val="000000"/>
          <w:sz w:val="24"/>
          <w:szCs w:val="28"/>
          <w:highlight w:val="yellow"/>
        </w:rPr>
        <w:t>注意：系统内的投标报价单位为“万元”，如开标现场发现填错报价，即直接淘汰。</w:t>
      </w:r>
    </w:p>
    <w:p w14:paraId="5AF6C707">
      <w:pPr>
        <w:pStyle w:val="6"/>
        <w:ind w:left="425" w:hanging="425"/>
        <w:rPr>
          <w:rFonts w:eastAsia="Arial" w:cs="Arial"/>
          <w:color w:val="000000"/>
        </w:rPr>
      </w:pPr>
      <w:r>
        <w:rPr>
          <w:rFonts w:eastAsia="Arial" w:cs="Arial"/>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3"/>
                    <a:stretch>
                      <a:fillRect/>
                    </a:stretch>
                  </pic:blipFill>
                  <pic:spPr>
                    <a:xfrm>
                      <a:off x="0" y="0"/>
                      <a:ext cx="5490210" cy="2669498"/>
                    </a:xfrm>
                    <a:prstGeom prst="rect">
                      <a:avLst/>
                    </a:prstGeom>
                  </pic:spPr>
                </pic:pic>
              </a:graphicData>
            </a:graphic>
          </wp:inline>
        </w:drawing>
      </w:r>
    </w:p>
    <w:p w14:paraId="40B41E73">
      <w:pPr>
        <w:spacing w:line="360" w:lineRule="auto"/>
        <w:rPr>
          <w:rFonts w:ascii="宋体" w:hAnsi="宋体" w:cs="宋体"/>
          <w:b/>
          <w:bCs/>
          <w:color w:val="000000"/>
          <w:sz w:val="24"/>
          <w:szCs w:val="24"/>
        </w:rPr>
      </w:pPr>
      <w:r>
        <w:rPr>
          <w:rFonts w:hint="eastAsia" w:ascii="宋体" w:hAnsi="宋体" w:cs="宋体"/>
          <w:b/>
          <w:bCs/>
          <w:color w:val="000000"/>
          <w:sz w:val="24"/>
          <w:szCs w:val="24"/>
        </w:rPr>
        <w:t>3.供应商技术标澄清函</w:t>
      </w:r>
    </w:p>
    <w:p w14:paraId="45544645">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供应商技术标澄清函</w:t>
      </w:r>
    </w:p>
    <w:p w14:paraId="615DA943">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14:paraId="174D650E">
      <w:pPr>
        <w:spacing w:line="360" w:lineRule="auto"/>
        <w:rPr>
          <w:rFonts w:ascii="Arial" w:hAnsi="Arial" w:eastAsia="Arial" w:cs="Arial"/>
          <w:color w:val="000000"/>
          <w:sz w:val="28"/>
        </w:rPr>
      </w:pPr>
      <w:r>
        <w:rPr>
          <w:rFonts w:ascii="宋体" w:hAnsi="宋体" w:cs="宋体"/>
          <w:color w:val="000000"/>
          <w:sz w:val="24"/>
          <w:szCs w:val="24"/>
        </w:rPr>
        <w:t>开标之后所有投标的供应商都可编辑提交，技术标入围之后</w:t>
      </w:r>
      <w:r>
        <w:rPr>
          <w:rFonts w:hint="eastAsia" w:ascii="宋体" w:hAnsi="宋体" w:cs="宋体"/>
          <w:color w:val="000000"/>
          <w:sz w:val="24"/>
          <w:szCs w:val="24"/>
        </w:rPr>
        <w:t xml:space="preserve"> </w:t>
      </w:r>
      <w:r>
        <w:rPr>
          <w:rFonts w:ascii="宋体" w:hAnsi="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4"/>
                    <a:stretch>
                      <a:fillRect/>
                    </a:stretch>
                  </pic:blipFill>
                  <pic:spPr>
                    <a:xfrm>
                      <a:off x="0" y="0"/>
                      <a:ext cx="5490210" cy="1992743"/>
                    </a:xfrm>
                    <a:prstGeom prst="rect">
                      <a:avLst/>
                    </a:prstGeom>
                  </pic:spPr>
                </pic:pic>
              </a:graphicData>
            </a:graphic>
          </wp:inline>
        </w:drawing>
      </w:r>
    </w:p>
    <w:p w14:paraId="1C0DE9DB">
      <w:pPr>
        <w:spacing w:line="360" w:lineRule="auto"/>
        <w:rPr>
          <w:rFonts w:ascii="宋体" w:hAnsi="宋体" w:cs="宋体"/>
          <w:b/>
          <w:bCs/>
          <w:color w:val="000000"/>
          <w:sz w:val="24"/>
          <w:szCs w:val="24"/>
        </w:rPr>
      </w:pPr>
      <w:r>
        <w:rPr>
          <w:rFonts w:hint="eastAsia" w:ascii="宋体" w:hAnsi="宋体" w:cs="宋体"/>
          <w:b/>
          <w:bCs/>
          <w:color w:val="000000"/>
          <w:sz w:val="24"/>
          <w:szCs w:val="24"/>
        </w:rPr>
        <w:t>4.供应商报价</w:t>
      </w:r>
    </w:p>
    <w:p w14:paraId="2605E50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供应商报价</w:t>
      </w:r>
    </w:p>
    <w:p w14:paraId="6EA9BA94">
      <w:pPr>
        <w:spacing w:line="360" w:lineRule="auto"/>
        <w:rPr>
          <w:rFonts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14:paraId="554CC952">
      <w:pPr>
        <w:spacing w:line="360" w:lineRule="auto"/>
        <w:rPr>
          <w:rFonts w:ascii="宋体" w:hAnsi="宋体" w:cs="宋体"/>
          <w:b/>
          <w:bCs/>
          <w:color w:val="000000"/>
          <w:sz w:val="24"/>
          <w:szCs w:val="24"/>
        </w:rPr>
      </w:pPr>
      <w:r>
        <w:rPr>
          <w:rFonts w:hint="eastAsia" w:ascii="宋体" w:hAnsi="宋体" w:cs="宋体"/>
          <w:b/>
          <w:bCs/>
          <w:color w:val="000000"/>
          <w:sz w:val="24"/>
          <w:szCs w:val="24"/>
        </w:rPr>
        <w:t>5.供应商澄清报价</w:t>
      </w:r>
    </w:p>
    <w:p w14:paraId="7EC6ED8D">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供应商澄清报价</w:t>
      </w:r>
    </w:p>
    <w:p w14:paraId="7C189B98">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07B3D6B7">
      <w:pPr>
        <w:pStyle w:val="6"/>
        <w:ind w:left="425" w:hanging="425"/>
        <w:rPr>
          <w:rFonts w:eastAsia="Arial" w:cs="Arial"/>
          <w:color w:val="000000"/>
        </w:rPr>
      </w:pPr>
      <w:r>
        <w:rPr>
          <w:rFonts w:eastAsia="Arial" w:cs="Arial"/>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5"/>
                    <a:stretch>
                      <a:fillRect/>
                    </a:stretch>
                  </pic:blipFill>
                  <pic:spPr>
                    <a:xfrm>
                      <a:off x="0" y="0"/>
                      <a:ext cx="5490210" cy="2544669"/>
                    </a:xfrm>
                    <a:prstGeom prst="rect">
                      <a:avLst/>
                    </a:prstGeom>
                  </pic:spPr>
                </pic:pic>
              </a:graphicData>
            </a:graphic>
          </wp:inline>
        </w:drawing>
      </w:r>
    </w:p>
    <w:p w14:paraId="2A290490">
      <w:pPr>
        <w:spacing w:line="360" w:lineRule="auto"/>
        <w:rPr>
          <w:rFonts w:ascii="宋体" w:hAnsi="宋体" w:cs="宋体"/>
          <w:b/>
          <w:bCs/>
          <w:color w:val="000000"/>
          <w:sz w:val="24"/>
          <w:szCs w:val="24"/>
        </w:rPr>
      </w:pPr>
      <w:r>
        <w:rPr>
          <w:rFonts w:hint="eastAsia" w:ascii="宋体" w:hAnsi="宋体" w:cs="宋体"/>
          <w:b/>
          <w:bCs/>
          <w:color w:val="000000"/>
          <w:sz w:val="24"/>
          <w:szCs w:val="24"/>
        </w:rPr>
        <w:t>6.供应商查看中标通知</w:t>
      </w:r>
    </w:p>
    <w:p w14:paraId="7B4AB8D7">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中标项目</w:t>
      </w:r>
    </w:p>
    <w:p w14:paraId="36FF5ECC">
      <w:pPr>
        <w:spacing w:line="360" w:lineRule="auto"/>
        <w:rPr>
          <w:rFonts w:ascii="宋体" w:hAnsi="宋体" w:cs="宋体"/>
          <w:sz w:val="24"/>
          <w:szCs w:val="24"/>
        </w:rPr>
      </w:pPr>
      <w:r>
        <w:rPr>
          <w:rFonts w:ascii="宋体" w:hAnsi="宋体" w:cs="宋体"/>
          <w:color w:val="000000"/>
          <w:sz w:val="24"/>
          <w:szCs w:val="24"/>
        </w:rPr>
        <w:t>点击查看进入查看中标项目详情</w:t>
      </w:r>
    </w:p>
    <w:p w14:paraId="4064784D">
      <w: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6"/>
                    <a:stretch>
                      <a:fillRect/>
                    </a:stretch>
                  </pic:blipFill>
                  <pic:spPr>
                    <a:xfrm>
                      <a:off x="0" y="0"/>
                      <a:ext cx="5760085" cy="1956600"/>
                    </a:xfrm>
                    <a:prstGeom prst="rect">
                      <a:avLst/>
                    </a:prstGeom>
                  </pic:spPr>
                </pic:pic>
              </a:graphicData>
            </a:graphic>
          </wp:inline>
        </w:drawing>
      </w:r>
    </w:p>
    <w:p w14:paraId="62C7BFB2">
      <w:pPr>
        <w:pStyle w:val="2"/>
        <w:rPr>
          <w:rFonts w:hAnsi="宋体"/>
          <w:b/>
          <w:color w:val="000000"/>
          <w:sz w:val="24"/>
          <w:szCs w:val="24"/>
        </w:rPr>
      </w:pPr>
    </w:p>
    <w:p w14:paraId="39CB5A8E">
      <w:pPr>
        <w:pStyle w:val="12"/>
      </w:pPr>
    </w:p>
    <w:p w14:paraId="2BBCDDE9">
      <w:pPr>
        <w:pStyle w:val="76"/>
        <w:rPr>
          <w:rFonts w:hAnsi="宋体"/>
          <w:b/>
          <w:bCs/>
          <w:sz w:val="24"/>
          <w:szCs w:val="24"/>
        </w:rPr>
      </w:pPr>
    </w:p>
    <w:p w14:paraId="293A4F96">
      <w:pPr>
        <w:pStyle w:val="76"/>
        <w:rPr>
          <w:rFonts w:hAnsi="宋体" w:cs="宋体"/>
          <w:b/>
          <w:bCs/>
          <w:sz w:val="32"/>
          <w:szCs w:val="32"/>
        </w:rPr>
      </w:pPr>
    </w:p>
    <w:p w14:paraId="1007312A">
      <w:pPr>
        <w:pStyle w:val="76"/>
        <w:rPr>
          <w:rFonts w:hAnsi="宋体"/>
          <w:sz w:val="24"/>
        </w:rPr>
      </w:pPr>
    </w:p>
    <w:p w14:paraId="5A74F6FF">
      <w:pPr>
        <w:pStyle w:val="76"/>
        <w:rPr>
          <w:rFonts w:hAnsi="宋体" w:cs="宋体"/>
          <w:b/>
          <w:bCs/>
          <w:sz w:val="32"/>
          <w:szCs w:val="32"/>
        </w:rPr>
      </w:pPr>
    </w:p>
    <w:p w14:paraId="38CFA109">
      <w:pPr>
        <w:pStyle w:val="76"/>
        <w:rPr>
          <w:rFonts w:hAnsi="宋体" w:cs="宋体"/>
          <w:b/>
          <w:bCs/>
          <w:sz w:val="32"/>
          <w:szCs w:val="32"/>
        </w:rPr>
      </w:pPr>
    </w:p>
    <w:sectPr>
      <w:headerReference r:id="rId10" w:type="first"/>
      <w:footerReference r:id="rId11"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Arial">
    <w:panose1 w:val="020B0604020202020204"/>
    <w:charset w:val="00"/>
    <w:family w:val="swiss"/>
    <w:pitch w:val="default"/>
    <w:sig w:usb0="E0002EFF" w:usb1="C000785B" w:usb2="00000009" w:usb3="00000000" w:csb0="400001FF" w:csb1="FFFF0000"/>
  </w:font>
  <w:font w:name="Courier New">
    <w:panose1 w:val="02070309020205020404"/>
    <w:charset w:val="00"/>
    <w:family w:val="modern"/>
    <w:pitch w:val="default"/>
    <w:sig w:usb0="E0002EFF" w:usb1="C0007843" w:usb2="00000009" w:usb3="00000000" w:csb0="400001FF" w:csb1="FFFF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华文仿宋">
    <w:altName w:val="仿宋"/>
    <w:panose1 w:val="02010600040101010101"/>
    <w:charset w:val="86"/>
    <w:family w:val="auto"/>
    <w:pitch w:val="default"/>
    <w:sig w:usb0="00000000" w:usb1="00000000" w:usb2="00000010" w:usb3="00000000" w:csb0="0004009F" w:csb1="00000000"/>
  </w:font>
  <w:font w:name="仿宋">
    <w:panose1 w:val="02010609060101010101"/>
    <w:charset w:val="86"/>
    <w:family w:val="modern"/>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13FD0E0">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- 2 -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40</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4E2153">
    <w:pPr>
      <w:pStyle w:val="18"/>
      <w:framePr w:wrap="around" w:vAnchor="text" w:hAnchor="margin" w:xAlign="center" w:y="1"/>
      <w:rPr>
        <w:rStyle w:val="34"/>
      </w:rPr>
    </w:pPr>
    <w:r>
      <w:fldChar w:fldCharType="begin"/>
    </w:r>
    <w:r>
      <w:rPr>
        <w:rStyle w:val="34"/>
      </w:rPr>
      <w:instrText xml:space="preserve">PAGE  </w:instrText>
    </w:r>
    <w:r>
      <w:fldChar w:fldCharType="end"/>
    </w:r>
  </w:p>
  <w:p w14:paraId="36A84289">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98FA5D">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9FA2E5">
    <w:pPr>
      <w:pStyle w:val="18"/>
      <w:jc w:val="center"/>
    </w:pPr>
    <w:r>
      <mc:AlternateContent>
        <mc:Choice Requires="wps">
          <w:drawing>
            <wp:anchor distT="0" distB="0" distL="0" distR="0" simplePos="0" relativeHeight="251660288" behindDoc="0" locked="0" layoutInCell="0" allowOverlap="1">
              <wp:simplePos x="0" y="0"/>
              <wp:positionH relativeFrom="margin">
                <wp:align>center</wp:align>
              </wp:positionH>
              <wp:positionV relativeFrom="paragraph">
                <wp:posOffset>635</wp:posOffset>
              </wp:positionV>
              <wp:extent cx="1829435" cy="165100"/>
              <wp:effectExtent l="0" t="0" r="0" b="0"/>
              <wp:wrapNone/>
              <wp:docPr id="2" name="文本框 2_0"/>
              <wp:cNvGraphicFramePr/>
              <a:graphic xmlns:a="http://schemas.openxmlformats.org/drawingml/2006/main">
                <a:graphicData uri="http://schemas.microsoft.com/office/word/2010/wordprocessingShape">
                  <wps:wsp>
                    <wps:cNvSpPr/>
                    <wps:spPr>
                      <a:xfrm>
                        <a:off x="0" y="0"/>
                        <a:ext cx="1828800" cy="164520"/>
                      </a:xfrm>
                      <a:prstGeom prst="rect">
                        <a:avLst/>
                      </a:prstGeom>
                      <a:noFill/>
                      <a:ln w="6350">
                        <a:noFill/>
                      </a:ln>
                    </wps:spPr>
                    <wps:style>
                      <a:lnRef idx="0">
                        <a:schemeClr val="accent1"/>
                      </a:lnRef>
                      <a:fillRef idx="0">
                        <a:schemeClr val="accent1"/>
                      </a:fillRef>
                      <a:effectRef idx="0">
                        <a:schemeClr val="accent1"/>
                      </a:effectRef>
                      <a:fontRef idx="minor"/>
                    </wps:style>
                    <wps:txbx>
                      <w:txbxContent>
                        <w:p w14:paraId="5C310486">
                          <w:pPr>
                            <w:pStyle w:val="111"/>
                            <w:snapToGrid w:val="0"/>
                            <w:jc w:val="center"/>
                            <w:rPr>
                              <w:sz w:val="18"/>
                            </w:rPr>
                          </w:pPr>
                          <w:r>
                            <w:rPr>
                              <w:color w:val="000000"/>
                              <w:szCs w:val="28"/>
                            </w:rPr>
                            <w:fldChar w:fldCharType="begin"/>
                          </w:r>
                          <w:r>
                            <w:rPr>
                              <w:color w:val="000000"/>
                              <w:szCs w:val="28"/>
                            </w:rPr>
                            <w:instrText xml:space="preserve">PAGE</w:instrText>
                          </w:r>
                          <w:r>
                            <w:rPr>
                              <w:color w:val="000000"/>
                              <w:szCs w:val="28"/>
                            </w:rPr>
                            <w:fldChar w:fldCharType="separate"/>
                          </w:r>
                          <w:r>
                            <w:rPr>
                              <w:color w:val="000000"/>
                              <w:szCs w:val="28"/>
                            </w:rPr>
                            <w:t>- 11 -</w:t>
                          </w:r>
                          <w:r>
                            <w:rPr>
                              <w:color w:val="000000"/>
                              <w:szCs w:val="28"/>
                            </w:rPr>
                            <w:fldChar w:fldCharType="end"/>
                          </w:r>
                        </w:p>
                      </w:txbxContent>
                    </wps:txbx>
                    <wps:bodyPr lIns="0" tIns="0" rIns="0" bIns="0">
                      <a:spAutoFit/>
                    </wps:bodyPr>
                  </wps:wsp>
                </a:graphicData>
              </a:graphic>
            </wp:anchor>
          </w:drawing>
        </mc:Choice>
        <mc:Fallback>
          <w:pict>
            <v:rect id="文本框 2_0" o:spid="_x0000_s1026" o:spt="1" style="position:absolute;left:0pt;margin-top:0.05pt;height:13pt;width:144.05pt;mso-position-horizontal:center;mso-position-horizontal-relative:margin;z-index:251660288;mso-width-relative:page;mso-height-relative:page;" filled="f" stroked="f" coordsize="21600,21600" o:allowincell="f" o:gfxdata="UEsDBAoAAAAAAIdO4kAAAAAAAAAAAAAAAAAEAAAAZHJzL1BLAwQUAAAACACHTuJA9mCOvtMAAAAE&#10;AQAADwAAAGRycy9kb3ducmV2LnhtbE2PzU7DQAyE70i8w8pIXFC7SYEoCtlUAgQ3Dg1IXN2smwSy&#10;3jS7/Xt73BO9jT3W+JtyeXSD2tMUes8G0nkCirjxtufWwNfn2ywHFSKyxcEzGThRgGV1fVViYf2B&#10;V7SvY6skhEOBBroYx0Lr0HTkMMz9SCzexk8Oo4xTq+2EBwl3g14kSaYd9iwfOhzppaPmt945A/f2&#10;/e7HfdcPzyt9ehw/Xrf1tsmMub1JkydQkY7x/xjO+IIOlTCt/Y5tUIMBKRLPWyXeIs9FrEVkKeiq&#10;1Jfw1R9QSwMEFAAAAAgAh07iQG+jj9DCAQAAgQMAAA4AAABkcnMvZTJvRG9jLnhtbK1TzW7bMAy+&#10;D+g7CLovdrw1CIw4RYGgxYBhK9DtPCiyFAvQH0Qldl6gfYOddtl9z5XnGKU4ydBdeuhFJkXyI7+P&#10;8uJmMJrsRADlbEOnk5ISYblrld009Pu3u/dzSiAy2zLtrGjoXgC9WV69W/S+FpXrnG5FIAhioe59&#10;Q7sYfV0UwDthGEycFxaD0gXDIrphU7SB9YhudFGV5azoXWh9cFwA4O3qGKQjYngNoJNScbFyfGuE&#10;jUfUIDSLSAk65YEu87RSCh6/SgkiEt1QZBrziU3QXqezWC5YvQnMd4qPI7DXjPCCk2HKYtMz1IpF&#10;RrZB/QdlFA8OnIwT7kxxJJIVQRbT8oU2jx3zInNBqcGfRYe3g+Vfdg+BqLahFSWWGVz44efz4def&#10;w+8nUv3IAvUeasx79A8B5UoeoJnYDjKY9EUeZMii7s+iiiESjpfTeTWfl6g3x9h09vG6yqDFpdoH&#10;iPfCGZKMhgZcWtaS7T5DxI6YekpJzay7U1rnxWlL+obOPlyXueAcwQptsfAya7LisB5GAmvX7pG3&#10;/mRRy/QuTkY4GevRSB3B324jds3DJKRj+dgAN5NnHF9RWv2/fs66/DnLv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PZgjr7TAAAABAEAAA8AAAAAAAAAAQAgAAAAIgAAAGRycy9kb3ducmV2LnhtbFBL&#10;AQIUABQAAAAIAIdO4kBvo4/QwgEAAIEDAAAOAAAAAAAAAAEAIAAAACIBAABkcnMvZTJvRG9jLnht&#10;bFBLBQYAAAAABgAGAFkBAABWBQAAAAA=&#10;">
              <v:fill on="f" focussize="0,0"/>
              <v:stroke on="f" weight="0.5pt"/>
              <v:imagedata o:title=""/>
              <o:lock v:ext="edit" aspectratio="f"/>
              <v:textbox inset="0mm,0mm,0mm,0mm" style="mso-fit-shape-to-text:t;">
                <w:txbxContent>
                  <w:p w14:paraId="5C310486">
                    <w:pPr>
                      <w:pStyle w:val="111"/>
                      <w:snapToGrid w:val="0"/>
                      <w:jc w:val="center"/>
                      <w:rPr>
                        <w:sz w:val="18"/>
                      </w:rPr>
                    </w:pPr>
                    <w:r>
                      <w:rPr>
                        <w:color w:val="000000"/>
                        <w:szCs w:val="28"/>
                      </w:rPr>
                      <w:fldChar w:fldCharType="begin"/>
                    </w:r>
                    <w:r>
                      <w:rPr>
                        <w:color w:val="000000"/>
                        <w:szCs w:val="28"/>
                      </w:rPr>
                      <w:instrText xml:space="preserve">PAGE</w:instrText>
                    </w:r>
                    <w:r>
                      <w:rPr>
                        <w:color w:val="000000"/>
                        <w:szCs w:val="28"/>
                      </w:rPr>
                      <w:fldChar w:fldCharType="separate"/>
                    </w:r>
                    <w:r>
                      <w:rPr>
                        <w:color w:val="000000"/>
                        <w:szCs w:val="28"/>
                      </w:rPr>
                      <w:t>- 11 -</w:t>
                    </w:r>
                    <w:r>
                      <w:rPr>
                        <w:color w:val="000000"/>
                        <w:szCs w:val="28"/>
                      </w:rPr>
                      <w:fldChar w:fldCharType="end"/>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6B9E32">
    <w:pPr>
      <w:pStyle w:val="18"/>
    </w:pPr>
    <w:r>
      <mc:AlternateContent>
        <mc:Choice Requires="wps">
          <w:drawing>
            <wp:anchor distT="0" distB="0" distL="0" distR="0" simplePos="0" relativeHeight="251661312" behindDoc="0" locked="0" layoutInCell="0" allowOverlap="1">
              <wp:simplePos x="0" y="0"/>
              <wp:positionH relativeFrom="margin">
                <wp:align>center</wp:align>
              </wp:positionH>
              <wp:positionV relativeFrom="paragraph">
                <wp:posOffset>635</wp:posOffset>
              </wp:positionV>
              <wp:extent cx="1829435" cy="165100"/>
              <wp:effectExtent l="0" t="0" r="0" b="0"/>
              <wp:wrapNone/>
              <wp:docPr id="11" name="文本框 2_0"/>
              <wp:cNvGraphicFramePr/>
              <a:graphic xmlns:a="http://schemas.openxmlformats.org/drawingml/2006/main">
                <a:graphicData uri="http://schemas.microsoft.com/office/word/2010/wordprocessingShape">
                  <wps:wsp>
                    <wps:cNvSpPr/>
                    <wps:spPr>
                      <a:xfrm>
                        <a:off x="0" y="0"/>
                        <a:ext cx="1828800" cy="164520"/>
                      </a:xfrm>
                      <a:prstGeom prst="rect">
                        <a:avLst/>
                      </a:prstGeom>
                      <a:noFill/>
                      <a:ln w="6350">
                        <a:noFill/>
                      </a:ln>
                    </wps:spPr>
                    <wps:style>
                      <a:lnRef idx="0">
                        <a:schemeClr val="accent1"/>
                      </a:lnRef>
                      <a:fillRef idx="0">
                        <a:schemeClr val="accent1"/>
                      </a:fillRef>
                      <a:effectRef idx="0">
                        <a:schemeClr val="accent1"/>
                      </a:effectRef>
                      <a:fontRef idx="minor"/>
                    </wps:style>
                    <wps:txbx>
                      <w:txbxContent>
                        <w:p w14:paraId="28899BF1">
                          <w:pPr>
                            <w:pStyle w:val="111"/>
                            <w:rPr>
                              <w:sz w:val="18"/>
                            </w:rPr>
                          </w:pPr>
                          <w:r>
                            <w:fldChar w:fldCharType="begin"/>
                          </w:r>
                          <w:r>
                            <w:instrText xml:space="preserve">PAGE</w:instrText>
                          </w:r>
                          <w:r>
                            <w:fldChar w:fldCharType="separate"/>
                          </w:r>
                          <w:r>
                            <w:t>- 4 -</w:t>
                          </w:r>
                          <w:r>
                            <w:fldChar w:fldCharType="end"/>
                          </w:r>
                        </w:p>
                      </w:txbxContent>
                    </wps:txbx>
                    <wps:bodyPr lIns="0" tIns="0" rIns="0" bIns="0">
                      <a:spAutoFit/>
                    </wps:bodyPr>
                  </wps:wsp>
                </a:graphicData>
              </a:graphic>
            </wp:anchor>
          </w:drawing>
        </mc:Choice>
        <mc:Fallback>
          <w:pict>
            <v:rect id="文本框 2_0" o:spid="_x0000_s1026" o:spt="1" style="position:absolute;left:0pt;margin-top:0.05pt;height:13pt;width:144.05pt;mso-position-horizontal:center;mso-position-horizontal-relative:margin;z-index:251661312;mso-width-relative:page;mso-height-relative:page;" filled="f" stroked="f" coordsize="21600,21600" o:allowincell="f" o:gfxdata="UEsDBAoAAAAAAIdO4kAAAAAAAAAAAAAAAAAEAAAAZHJzL1BLAwQUAAAACACHTuJA9mCOvtMAAAAE&#10;AQAADwAAAGRycy9kb3ducmV2LnhtbE2PzU7DQAyE70i8w8pIXFC7SYEoCtlUAgQ3Dg1IXN2smwSy&#10;3jS7/Xt73BO9jT3W+JtyeXSD2tMUes8G0nkCirjxtufWwNfn2ywHFSKyxcEzGThRgGV1fVViYf2B&#10;V7SvY6skhEOBBroYx0Lr0HTkMMz9SCzexk8Oo4xTq+2EBwl3g14kSaYd9iwfOhzppaPmt945A/f2&#10;/e7HfdcPzyt9ehw/Xrf1tsmMub1JkydQkY7x/xjO+IIOlTCt/Y5tUIMBKRLPWyXeIs9FrEVkKeiq&#10;1Jfw1R9QSwMEFAAAAAgAh07iQPFzvMnDAQAAggMAAA4AAABkcnMvZTJvRG9jLnhtbK1TS44TMRDd&#10;I3EHy3vSH5goaqUzGikahIRgpIE1ctx22pJ/cjnpzgXgBqzYsOdcOQdlp5OgYTOL2birXFWv6r1y&#10;L29Ho8leBFDOtrSalZQIy12n7LalX7/cv1lQApHZjmlnRUsPAujt6vWr5eAbUbve6U4EgiAWmsG3&#10;tI/RN0UBvBeGwcx5YTEoXTAsohu2RRfYgOhGF3VZzovBhc4HxwUA3q5PQTohhucAOikVF2vHd0bY&#10;eEINQrOIlKBXHugqTyul4PGzlCAi0S1FpjGf2ATtTTqL1ZI128B8r/g0AnvOCE84GaYsNr1ArVlk&#10;ZBfUf1BG8eDAyTjjzhQnIlkRZFGVT7R57JkXmQtKDf4iOrwcLP+0fwhEdfgSKkosM7jx488fx19/&#10;jr+/k/pbVmjw0GDio38IqFfyAM1Ed5TBpC8SIWNW9XBRVYyRcLysFvViUaLgHGPV/N1NnUGLa7UP&#10;EN8LZ0gyWhpwa1lMtv8IETti6jklNbPuXmmdN6ctGVo6f3tT5oJLBCu0xcLrrMmK42acCGxcd0Di&#10;+oNFMdPDOBvhbGwmI3UEf7eL2DUPk5BO5VMDXE2ecXpGaff/+jnr+uus/gJ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2YI6+0wAAAAQBAAAPAAAAAAAAAAEAIAAAACIAAABkcnMvZG93bnJldi54bWxQ&#10;SwECFAAUAAAACACHTuJA8XO8ycMBAACCAwAADgAAAAAAAAABACAAAAAiAQAAZHJzL2Uyb0RvYy54&#10;bWxQSwUGAAAAAAYABgBZAQAAVwUAAAAA&#10;">
              <v:fill on="f" focussize="0,0"/>
              <v:stroke on="f" weight="0.5pt"/>
              <v:imagedata o:title=""/>
              <o:lock v:ext="edit" aspectratio="f"/>
              <v:textbox inset="0mm,0mm,0mm,0mm" style="mso-fit-shape-to-text:t;">
                <w:txbxContent>
                  <w:p w14:paraId="28899BF1">
                    <w:pPr>
                      <w:pStyle w:val="111"/>
                      <w:rPr>
                        <w:sz w:val="18"/>
                      </w:rPr>
                    </w:pPr>
                    <w:r>
                      <w:fldChar w:fldCharType="begin"/>
                    </w:r>
                    <w:r>
                      <w:instrText xml:space="preserve">PAGE</w:instrText>
                    </w:r>
                    <w:r>
                      <w:fldChar w:fldCharType="separate"/>
                    </w:r>
                    <w:r>
                      <w:t>- 4 -</w:t>
                    </w:r>
                    <w: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363EA396">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40</w:t>
            </w:r>
            <w:r>
              <w:rPr>
                <w:lang w:val="zh-CN"/>
              </w:rPr>
              <w:fldChar w:fldCharType="end"/>
            </w:r>
            <w:r>
              <w:rPr>
                <w:rFonts w:hint="eastAsia"/>
                <w:lang w:val="zh-CN"/>
              </w:rPr>
              <w:t>页</w:t>
            </w:r>
          </w:p>
        </w:sdtContent>
      </w:sdt>
    </w:sdtContent>
  </w:sdt>
  <w:p w14:paraId="4D7D6D4F">
    <w:pPr>
      <w:pStyle w:val="18"/>
      <w:jc w:val="center"/>
    </w:pPr>
  </w:p>
  <w:p w14:paraId="29BB7BE0"/>
  <w:p w14:paraId="01DA3E46"/>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BE5276">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0552C5">
    <w:pPr>
      <w:pStyle w:val="19"/>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81E82C"/>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2">
    <w:nsid w:val="86729C71"/>
    <w:multiLevelType w:val="singleLevel"/>
    <w:tmpl w:val="86729C71"/>
    <w:lvl w:ilvl="0" w:tentative="0">
      <w:start w:val="1"/>
      <w:numFmt w:val="decimal"/>
      <w:lvlText w:val="%1."/>
      <w:lvlJc w:val="left"/>
      <w:pPr>
        <w:tabs>
          <w:tab w:val="left" w:pos="312"/>
        </w:tabs>
      </w:pPr>
      <w:rPr>
        <w:rFonts w:hint="default"/>
        <w:b/>
        <w:bCs/>
        <w:highlight w:val="none"/>
      </w:rPr>
    </w:lvl>
  </w:abstractNum>
  <w:abstractNum w:abstractNumId="3">
    <w:nsid w:val="93852671"/>
    <w:multiLevelType w:val="singleLevel"/>
    <w:tmpl w:val="93852671"/>
    <w:lvl w:ilvl="0" w:tentative="0">
      <w:start w:val="1"/>
      <w:numFmt w:val="decimal"/>
      <w:lvlText w:val="%1."/>
      <w:lvlJc w:val="left"/>
      <w:pPr>
        <w:ind w:left="425" w:hanging="425"/>
      </w:pPr>
      <w:rPr>
        <w:rFonts w:hint="default"/>
      </w:rPr>
    </w:lvl>
  </w:abstractNum>
  <w:abstractNum w:abstractNumId="4">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5">
    <w:nsid w:val="B12C4597"/>
    <w:multiLevelType w:val="singleLevel"/>
    <w:tmpl w:val="B12C4597"/>
    <w:lvl w:ilvl="0" w:tentative="0">
      <w:start w:val="1"/>
      <w:numFmt w:val="decimal"/>
      <w:lvlText w:val="%1."/>
      <w:lvlJc w:val="left"/>
      <w:pPr>
        <w:ind w:left="425" w:hanging="425"/>
      </w:pPr>
      <w:rPr>
        <w:rFonts w:hint="default"/>
      </w:rPr>
    </w:lvl>
  </w:abstractNum>
  <w:abstractNum w:abstractNumId="6">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7">
    <w:nsid w:val="BD4C6742"/>
    <w:multiLevelType w:val="singleLevel"/>
    <w:tmpl w:val="BD4C6742"/>
    <w:lvl w:ilvl="0" w:tentative="0">
      <w:start w:val="1"/>
      <w:numFmt w:val="decimal"/>
      <w:lvlText w:val="%1."/>
      <w:lvlJc w:val="left"/>
      <w:pPr>
        <w:ind w:left="425" w:hanging="425"/>
      </w:pPr>
      <w:rPr>
        <w:rFonts w:hint="default"/>
      </w:rPr>
    </w:lvl>
  </w:abstractNum>
  <w:abstractNum w:abstractNumId="8">
    <w:nsid w:val="CA70C5AE"/>
    <w:multiLevelType w:val="singleLevel"/>
    <w:tmpl w:val="CA70C5AE"/>
    <w:lvl w:ilvl="0" w:tentative="0">
      <w:start w:val="1"/>
      <w:numFmt w:val="decimal"/>
      <w:lvlText w:val="%1."/>
      <w:lvlJc w:val="left"/>
      <w:pPr>
        <w:ind w:left="425" w:hanging="425"/>
      </w:pPr>
      <w:rPr>
        <w:rFonts w:hint="default"/>
      </w:rPr>
    </w:lvl>
  </w:abstractNum>
  <w:abstractNum w:abstractNumId="9">
    <w:nsid w:val="D9A4530E"/>
    <w:multiLevelType w:val="singleLevel"/>
    <w:tmpl w:val="D9A4530E"/>
    <w:lvl w:ilvl="0" w:tentative="0">
      <w:start w:val="1"/>
      <w:numFmt w:val="decimal"/>
      <w:lvlText w:val="(%1)"/>
      <w:lvlJc w:val="left"/>
      <w:pPr>
        <w:ind w:left="425" w:hanging="425"/>
      </w:pPr>
      <w:rPr>
        <w:rFonts w:hint="default"/>
      </w:rPr>
    </w:lvl>
  </w:abstractNum>
  <w:abstractNum w:abstractNumId="10">
    <w:nsid w:val="DC3F8C8B"/>
    <w:multiLevelType w:val="singleLevel"/>
    <w:tmpl w:val="DC3F8C8B"/>
    <w:lvl w:ilvl="0" w:tentative="0">
      <w:start w:val="1"/>
      <w:numFmt w:val="decimal"/>
      <w:lvlText w:val="%1."/>
      <w:lvlJc w:val="left"/>
      <w:pPr>
        <w:ind w:left="425" w:hanging="425"/>
      </w:pPr>
      <w:rPr>
        <w:rFonts w:hint="default"/>
      </w:rPr>
    </w:lvl>
  </w:abstractNum>
  <w:abstractNum w:abstractNumId="11">
    <w:nsid w:val="FE574647"/>
    <w:multiLevelType w:val="multilevel"/>
    <w:tmpl w:val="FE57464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12">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3">
    <w:nsid w:val="07FA6ED8"/>
    <w:multiLevelType w:val="singleLevel"/>
    <w:tmpl w:val="07FA6ED8"/>
    <w:lvl w:ilvl="0" w:tentative="0">
      <w:start w:val="1"/>
      <w:numFmt w:val="decimal"/>
      <w:lvlText w:val="%1."/>
      <w:lvlJc w:val="left"/>
      <w:pPr>
        <w:tabs>
          <w:tab w:val="left" w:pos="732"/>
        </w:tabs>
        <w:ind w:left="420"/>
      </w:pPr>
      <w:rPr>
        <w:rFonts w:hint="default" w:ascii="宋体" w:hAnsi="宋体" w:eastAsia="宋体" w:cs="宋体"/>
        <w:sz w:val="21"/>
        <w:szCs w:val="21"/>
      </w:rPr>
    </w:lvl>
  </w:abstractNum>
  <w:abstractNum w:abstractNumId="14">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5">
    <w:nsid w:val="1CA473A4"/>
    <w:multiLevelType w:val="multilevel"/>
    <w:tmpl w:val="1CA473A4"/>
    <w:lvl w:ilvl="0" w:tentative="0">
      <w:start w:val="1"/>
      <w:numFmt w:val="decimal"/>
      <w:lvlText w:val="%1)"/>
      <w:lvlJc w:val="left"/>
      <w:pPr>
        <w:tabs>
          <w:tab w:val="left" w:pos="600"/>
        </w:tabs>
        <w:ind w:left="600" w:hanging="420"/>
      </w:pPr>
    </w:lvl>
    <w:lvl w:ilvl="1" w:tentative="0">
      <w:start w:val="1"/>
      <w:numFmt w:val="decimal"/>
      <w:lvlText w:val="%2)"/>
      <w:lvlJc w:val="left"/>
      <w:pPr>
        <w:tabs>
          <w:tab w:val="left" w:pos="1020"/>
        </w:tabs>
        <w:ind w:left="1020" w:hanging="420"/>
      </w:pPr>
    </w:lvl>
    <w:lvl w:ilvl="2" w:tentative="0">
      <w:start w:val="1"/>
      <w:numFmt w:val="none"/>
      <w:lvlText w:val="2)"/>
      <w:lvlJc w:val="left"/>
      <w:pPr>
        <w:tabs>
          <w:tab w:val="left" w:pos="600"/>
        </w:tabs>
        <w:ind w:left="600" w:hanging="420"/>
      </w:pPr>
      <w:rPr>
        <w:rFonts w:hint="eastAsia"/>
      </w:rPr>
    </w:lvl>
    <w:lvl w:ilvl="3" w:tentative="0">
      <w:start w:val="1"/>
      <w:numFmt w:val="decimal"/>
      <w:lvlText w:val="%4."/>
      <w:lvlJc w:val="left"/>
      <w:pPr>
        <w:tabs>
          <w:tab w:val="left" w:pos="1860"/>
        </w:tabs>
        <w:ind w:left="1860" w:hanging="420"/>
      </w:pPr>
    </w:lvl>
    <w:lvl w:ilvl="4" w:tentative="0">
      <w:start w:val="1"/>
      <w:numFmt w:val="lowerLetter"/>
      <w:lvlText w:val="%5)"/>
      <w:lvlJc w:val="left"/>
      <w:pPr>
        <w:tabs>
          <w:tab w:val="left" w:pos="2280"/>
        </w:tabs>
        <w:ind w:left="2280" w:hanging="420"/>
      </w:pPr>
    </w:lvl>
    <w:lvl w:ilvl="5" w:tentative="0">
      <w:start w:val="1"/>
      <w:numFmt w:val="lowerRoman"/>
      <w:lvlText w:val="%6."/>
      <w:lvlJc w:val="right"/>
      <w:pPr>
        <w:tabs>
          <w:tab w:val="left" w:pos="2700"/>
        </w:tabs>
        <w:ind w:left="2700" w:hanging="420"/>
      </w:pPr>
    </w:lvl>
    <w:lvl w:ilvl="6" w:tentative="0">
      <w:start w:val="1"/>
      <w:numFmt w:val="decimal"/>
      <w:lvlText w:val="%7."/>
      <w:lvlJc w:val="left"/>
      <w:pPr>
        <w:tabs>
          <w:tab w:val="left" w:pos="3120"/>
        </w:tabs>
        <w:ind w:left="3120" w:hanging="420"/>
      </w:pPr>
    </w:lvl>
    <w:lvl w:ilvl="7" w:tentative="0">
      <w:start w:val="1"/>
      <w:numFmt w:val="lowerLetter"/>
      <w:lvlText w:val="%8)"/>
      <w:lvlJc w:val="left"/>
      <w:pPr>
        <w:tabs>
          <w:tab w:val="left" w:pos="3540"/>
        </w:tabs>
        <w:ind w:left="3540" w:hanging="420"/>
      </w:pPr>
    </w:lvl>
    <w:lvl w:ilvl="8" w:tentative="0">
      <w:start w:val="1"/>
      <w:numFmt w:val="lowerRoman"/>
      <w:lvlText w:val="%9."/>
      <w:lvlJc w:val="right"/>
      <w:pPr>
        <w:tabs>
          <w:tab w:val="left" w:pos="3960"/>
        </w:tabs>
        <w:ind w:left="3960" w:hanging="420"/>
      </w:pPr>
    </w:lvl>
  </w:abstractNum>
  <w:abstractNum w:abstractNumId="16">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7">
    <w:nsid w:val="3265E1EC"/>
    <w:multiLevelType w:val="singleLevel"/>
    <w:tmpl w:val="3265E1EC"/>
    <w:lvl w:ilvl="0" w:tentative="0">
      <w:start w:val="1"/>
      <w:numFmt w:val="decimal"/>
      <w:lvlText w:val="(%1)"/>
      <w:lvlJc w:val="left"/>
      <w:pPr>
        <w:ind w:left="425" w:hanging="425"/>
      </w:pPr>
      <w:rPr>
        <w:rFonts w:hint="default"/>
      </w:rPr>
    </w:lvl>
  </w:abstractNum>
  <w:abstractNum w:abstractNumId="18">
    <w:nsid w:val="3CF6EF77"/>
    <w:multiLevelType w:val="singleLevel"/>
    <w:tmpl w:val="3CF6EF77"/>
    <w:lvl w:ilvl="0" w:tentative="0">
      <w:start w:val="1"/>
      <w:numFmt w:val="decimal"/>
      <w:lvlText w:val="%1."/>
      <w:lvlJc w:val="left"/>
      <w:pPr>
        <w:ind w:left="425" w:hanging="425"/>
      </w:pPr>
      <w:rPr>
        <w:rFonts w:hint="default"/>
      </w:rPr>
    </w:lvl>
  </w:abstractNum>
  <w:abstractNum w:abstractNumId="19">
    <w:nsid w:val="3D2537F8"/>
    <w:multiLevelType w:val="singleLevel"/>
    <w:tmpl w:val="3D2537F8"/>
    <w:lvl w:ilvl="0" w:tentative="0">
      <w:start w:val="1"/>
      <w:numFmt w:val="decimal"/>
      <w:lvlText w:val="%1."/>
      <w:lvlJc w:val="left"/>
      <w:pPr>
        <w:ind w:left="425" w:hanging="425"/>
      </w:pPr>
      <w:rPr>
        <w:rFonts w:hint="default"/>
        <w:color w:val="auto"/>
        <w:highlight w:val="none"/>
      </w:rPr>
    </w:lvl>
  </w:abstractNum>
  <w:abstractNum w:abstractNumId="20">
    <w:nsid w:val="432B0804"/>
    <w:multiLevelType w:val="multilevel"/>
    <w:tmpl w:val="432B0804"/>
    <w:lvl w:ilvl="0" w:tentative="0">
      <w:start w:val="1"/>
      <w:numFmt w:val="decimal"/>
      <w:lvlText w:val="%1)"/>
      <w:lvlJc w:val="left"/>
      <w:pPr>
        <w:tabs>
          <w:tab w:val="left" w:pos="1021"/>
        </w:tabs>
        <w:ind w:left="1021" w:hanging="420"/>
      </w:pPr>
    </w:lvl>
    <w:lvl w:ilvl="1" w:tentative="0">
      <w:start w:val="1"/>
      <w:numFmt w:val="decimal"/>
      <w:lvlText w:val="%2)"/>
      <w:lvlJc w:val="left"/>
      <w:pPr>
        <w:tabs>
          <w:tab w:val="left" w:pos="780"/>
        </w:tabs>
        <w:ind w:left="780" w:hanging="420"/>
      </w:pPr>
    </w:lvl>
    <w:lvl w:ilvl="2" w:tentative="0">
      <w:start w:val="1"/>
      <w:numFmt w:val="lowerRoman"/>
      <w:lvlText w:val="%3."/>
      <w:lvlJc w:val="right"/>
      <w:pPr>
        <w:tabs>
          <w:tab w:val="left" w:pos="1861"/>
        </w:tabs>
        <w:ind w:left="1861" w:hanging="420"/>
      </w:pPr>
    </w:lvl>
    <w:lvl w:ilvl="3" w:tentative="0">
      <w:start w:val="1"/>
      <w:numFmt w:val="decimal"/>
      <w:lvlText w:val="%4."/>
      <w:lvlJc w:val="left"/>
      <w:pPr>
        <w:tabs>
          <w:tab w:val="left" w:pos="2281"/>
        </w:tabs>
        <w:ind w:left="2281" w:hanging="420"/>
      </w:pPr>
    </w:lvl>
    <w:lvl w:ilvl="4" w:tentative="0">
      <w:start w:val="1"/>
      <w:numFmt w:val="lowerLetter"/>
      <w:lvlText w:val="%5)"/>
      <w:lvlJc w:val="left"/>
      <w:pPr>
        <w:tabs>
          <w:tab w:val="left" w:pos="2701"/>
        </w:tabs>
        <w:ind w:left="2701" w:hanging="420"/>
      </w:pPr>
    </w:lvl>
    <w:lvl w:ilvl="5" w:tentative="0">
      <w:start w:val="1"/>
      <w:numFmt w:val="lowerRoman"/>
      <w:lvlText w:val="%6."/>
      <w:lvlJc w:val="right"/>
      <w:pPr>
        <w:tabs>
          <w:tab w:val="left" w:pos="3121"/>
        </w:tabs>
        <w:ind w:left="3121" w:hanging="420"/>
      </w:pPr>
    </w:lvl>
    <w:lvl w:ilvl="6" w:tentative="0">
      <w:start w:val="1"/>
      <w:numFmt w:val="decimal"/>
      <w:lvlText w:val="%7."/>
      <w:lvlJc w:val="left"/>
      <w:pPr>
        <w:tabs>
          <w:tab w:val="left" w:pos="3541"/>
        </w:tabs>
        <w:ind w:left="3541" w:hanging="420"/>
      </w:pPr>
    </w:lvl>
    <w:lvl w:ilvl="7" w:tentative="0">
      <w:start w:val="1"/>
      <w:numFmt w:val="lowerLetter"/>
      <w:lvlText w:val="%8)"/>
      <w:lvlJc w:val="left"/>
      <w:pPr>
        <w:tabs>
          <w:tab w:val="left" w:pos="3961"/>
        </w:tabs>
        <w:ind w:left="3961" w:hanging="420"/>
      </w:pPr>
    </w:lvl>
    <w:lvl w:ilvl="8" w:tentative="0">
      <w:start w:val="1"/>
      <w:numFmt w:val="lowerRoman"/>
      <w:lvlText w:val="%9."/>
      <w:lvlJc w:val="right"/>
      <w:pPr>
        <w:tabs>
          <w:tab w:val="left" w:pos="4381"/>
        </w:tabs>
        <w:ind w:left="4381" w:hanging="420"/>
      </w:pPr>
    </w:lvl>
  </w:abstractNum>
  <w:abstractNum w:abstractNumId="21">
    <w:nsid w:val="4A8DA4C5"/>
    <w:multiLevelType w:val="singleLevel"/>
    <w:tmpl w:val="4A8DA4C5"/>
    <w:lvl w:ilvl="0" w:tentative="0">
      <w:start w:val="1"/>
      <w:numFmt w:val="bullet"/>
      <w:lvlText w:val=""/>
      <w:lvlJc w:val="left"/>
      <w:pPr>
        <w:ind w:left="0" w:firstLine="0"/>
      </w:pPr>
      <w:rPr>
        <w:rFonts w:hint="default" w:ascii="Wingdings" w:hAnsi="Wingdings"/>
      </w:rPr>
    </w:lvl>
  </w:abstractNum>
  <w:abstractNum w:abstractNumId="22">
    <w:nsid w:val="4CB32FC8"/>
    <w:multiLevelType w:val="multilevel"/>
    <w:tmpl w:val="4CB32FC8"/>
    <w:lvl w:ilvl="0" w:tentative="0">
      <w:start w:val="1"/>
      <w:numFmt w:val="upperLetter"/>
      <w:pStyle w:val="7"/>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3">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4">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5">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6">
    <w:nsid w:val="5983D379"/>
    <w:multiLevelType w:val="singleLevel"/>
    <w:tmpl w:val="5983D379"/>
    <w:lvl w:ilvl="0" w:tentative="0">
      <w:start w:val="1"/>
      <w:numFmt w:val="decimal"/>
      <w:lvlText w:val="(%1)"/>
      <w:lvlJc w:val="left"/>
      <w:pPr>
        <w:ind w:left="425" w:hanging="425"/>
      </w:pPr>
      <w:rPr>
        <w:rFonts w:hint="default"/>
      </w:rPr>
    </w:lvl>
  </w:abstractNum>
  <w:abstractNum w:abstractNumId="27">
    <w:nsid w:val="5CCE0B2F"/>
    <w:multiLevelType w:val="multilevel"/>
    <w:tmpl w:val="5CCE0B2F"/>
    <w:lvl w:ilvl="0" w:tentative="0">
      <w:start w:val="1"/>
      <w:numFmt w:val="bullet"/>
      <w:lvlText w:val=""/>
      <w:lvlJc w:val="left"/>
      <w:pPr>
        <w:ind w:left="420" w:hanging="420"/>
      </w:pPr>
      <w:rPr>
        <w:rFonts w:hint="default" w:ascii="Wingdings" w:hAnsi="Wingdings"/>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28">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9">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22"/>
  </w:num>
  <w:num w:numId="2">
    <w:abstractNumId w:val="28"/>
  </w:num>
  <w:num w:numId="3">
    <w:abstractNumId w:val="25"/>
  </w:num>
  <w:num w:numId="4">
    <w:abstractNumId w:val="23"/>
  </w:num>
  <w:num w:numId="5">
    <w:abstractNumId w:val="12"/>
  </w:num>
  <w:num w:numId="6">
    <w:abstractNumId w:val="14"/>
  </w:num>
  <w:num w:numId="7">
    <w:abstractNumId w:val="16"/>
  </w:num>
  <w:num w:numId="8">
    <w:abstractNumId w:val="24"/>
  </w:num>
  <w:num w:numId="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9"/>
  </w:num>
  <w:num w:numId="11">
    <w:abstractNumId w:val="2"/>
  </w:num>
  <w:num w:numId="12">
    <w:abstractNumId w:val="13"/>
  </w:num>
  <w:num w:numId="1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7"/>
  </w:num>
  <w:num w:numId="15">
    <w:abstractNumId w:val="5"/>
  </w:num>
  <w:num w:numId="16">
    <w:abstractNumId w:val="0"/>
  </w:num>
  <w:num w:numId="17">
    <w:abstractNumId w:val="3"/>
  </w:num>
  <w:num w:numId="18">
    <w:abstractNumId w:val="26"/>
  </w:num>
  <w:num w:numId="19">
    <w:abstractNumId w:val="29"/>
  </w:num>
  <w:num w:numId="20">
    <w:abstractNumId w:val="17"/>
  </w:num>
  <w:num w:numId="21">
    <w:abstractNumId w:val="9"/>
  </w:num>
  <w:num w:numId="22">
    <w:abstractNumId w:val="8"/>
  </w:num>
  <w:num w:numId="23">
    <w:abstractNumId w:val="4"/>
  </w:num>
  <w:num w:numId="24">
    <w:abstractNumId w:val="1"/>
  </w:num>
  <w:num w:numId="25">
    <w:abstractNumId w:val="6"/>
  </w:num>
  <w:num w:numId="26">
    <w:abstractNumId w:val="11"/>
  </w:num>
  <w:num w:numId="27">
    <w:abstractNumId w:val="10"/>
  </w:num>
  <w:num w:numId="28">
    <w:abstractNumId w:val="21"/>
  </w:num>
  <w:num w:numId="29">
    <w:abstractNumId w:val="18"/>
  </w:num>
  <w:num w:numId="30">
    <w:abstractNumId w:val="15"/>
  </w:num>
  <w:num w:numId="31">
    <w:abstractNumId w:val="20"/>
  </w:num>
  <w:num w:numId="32">
    <w:abstractNumId w:val="27"/>
  </w:num>
  <w:num w:numId="3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172A27"/>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97F1F"/>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27"/>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5B6"/>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216"/>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2E96"/>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CC3DCA"/>
    <w:rsid w:val="02FE76EF"/>
    <w:rsid w:val="03F033B0"/>
    <w:rsid w:val="057C1D39"/>
    <w:rsid w:val="05891259"/>
    <w:rsid w:val="08633479"/>
    <w:rsid w:val="0CB51572"/>
    <w:rsid w:val="0E4D31E3"/>
    <w:rsid w:val="10DC2AA3"/>
    <w:rsid w:val="10FA7C8C"/>
    <w:rsid w:val="130B198F"/>
    <w:rsid w:val="16A918E4"/>
    <w:rsid w:val="17D966D6"/>
    <w:rsid w:val="18F169BD"/>
    <w:rsid w:val="1BC71D3B"/>
    <w:rsid w:val="1C59115B"/>
    <w:rsid w:val="1FB23E60"/>
    <w:rsid w:val="21816606"/>
    <w:rsid w:val="22C5630B"/>
    <w:rsid w:val="23EC0BA6"/>
    <w:rsid w:val="24701A48"/>
    <w:rsid w:val="268B0052"/>
    <w:rsid w:val="27743C90"/>
    <w:rsid w:val="29CA2459"/>
    <w:rsid w:val="2B271A58"/>
    <w:rsid w:val="2B6304A7"/>
    <w:rsid w:val="2CF6734C"/>
    <w:rsid w:val="2D663463"/>
    <w:rsid w:val="2EF96EE4"/>
    <w:rsid w:val="36254FE4"/>
    <w:rsid w:val="372F61E0"/>
    <w:rsid w:val="39322FCA"/>
    <w:rsid w:val="3AB90991"/>
    <w:rsid w:val="3B706131"/>
    <w:rsid w:val="3DA1775E"/>
    <w:rsid w:val="3E6F041E"/>
    <w:rsid w:val="4275481E"/>
    <w:rsid w:val="428B617A"/>
    <w:rsid w:val="433D7BDC"/>
    <w:rsid w:val="437E1813"/>
    <w:rsid w:val="45BD47FC"/>
    <w:rsid w:val="45CC5FB2"/>
    <w:rsid w:val="46B75BA8"/>
    <w:rsid w:val="48C97955"/>
    <w:rsid w:val="49880C8F"/>
    <w:rsid w:val="4A8835F7"/>
    <w:rsid w:val="4B592E71"/>
    <w:rsid w:val="52274B10"/>
    <w:rsid w:val="52B9239A"/>
    <w:rsid w:val="54BD78FD"/>
    <w:rsid w:val="58A86DDE"/>
    <w:rsid w:val="59154AD7"/>
    <w:rsid w:val="5ADF548D"/>
    <w:rsid w:val="5D5C60B4"/>
    <w:rsid w:val="63F04A69"/>
    <w:rsid w:val="66A50B1E"/>
    <w:rsid w:val="67B2063C"/>
    <w:rsid w:val="67C97AC3"/>
    <w:rsid w:val="67E30EC1"/>
    <w:rsid w:val="6A4E3B2B"/>
    <w:rsid w:val="6B481C3B"/>
    <w:rsid w:val="6C1331A3"/>
    <w:rsid w:val="6CA84BC1"/>
    <w:rsid w:val="6CB30B27"/>
    <w:rsid w:val="6D3E4756"/>
    <w:rsid w:val="6FC523EB"/>
    <w:rsid w:val="70460641"/>
    <w:rsid w:val="72895F2E"/>
    <w:rsid w:val="72C02EBE"/>
    <w:rsid w:val="72C507AD"/>
    <w:rsid w:val="72D028D8"/>
    <w:rsid w:val="745D47C3"/>
    <w:rsid w:val="76AC3757"/>
    <w:rsid w:val="7BAC58EB"/>
    <w:rsid w:val="7CB93F8E"/>
    <w:rsid w:val="7CF66B46"/>
    <w:rsid w:val="7DBD2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4">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5">
    <w:name w:val="heading 3"/>
    <w:basedOn w:val="1"/>
    <w:next w:val="1"/>
    <w:link w:val="43"/>
    <w:semiHidden/>
    <w:qFormat/>
    <w:uiPriority w:val="0"/>
    <w:pPr>
      <w:keepNext/>
      <w:keepLines/>
      <w:spacing w:line="416" w:lineRule="auto"/>
      <w:outlineLvl w:val="2"/>
    </w:pPr>
    <w:rPr>
      <w:b/>
      <w:bCs/>
      <w:sz w:val="32"/>
      <w:szCs w:val="32"/>
    </w:rPr>
  </w:style>
  <w:style w:type="paragraph" w:styleId="6">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7">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2">
    <w:name w:val="Plain Text"/>
    <w:basedOn w:val="1"/>
    <w:link w:val="50"/>
    <w:qFormat/>
    <w:uiPriority w:val="0"/>
    <w:rPr>
      <w:rFonts w:ascii="宋体" w:hAnsi="Courier New"/>
    </w:rPr>
  </w:style>
  <w:style w:type="paragraph" w:styleId="8">
    <w:name w:val="E-mail Signature"/>
    <w:basedOn w:val="1"/>
    <w:link w:val="104"/>
    <w:semiHidden/>
    <w:qFormat/>
    <w:uiPriority w:val="99"/>
    <w:pPr>
      <w:spacing w:after="200" w:line="276" w:lineRule="auto"/>
      <w:jc w:val="left"/>
    </w:pPr>
    <w:rPr>
      <w:rFonts w:ascii="Calibri" w:hAnsi="Calibri"/>
      <w:kern w:val="0"/>
      <w:szCs w:val="21"/>
    </w:rPr>
  </w:style>
  <w:style w:type="paragraph" w:styleId="9">
    <w:name w:val="caption"/>
    <w:basedOn w:val="1"/>
    <w:next w:val="1"/>
    <w:semiHidden/>
    <w:qFormat/>
    <w:uiPriority w:val="98"/>
    <w:pPr>
      <w:spacing w:before="152" w:after="160"/>
    </w:pPr>
    <w:rPr>
      <w:rFonts w:ascii="Arial" w:hAnsi="Arial" w:eastAsia="黑体" w:cs="Arial"/>
      <w:sz w:val="20"/>
    </w:rPr>
  </w:style>
  <w:style w:type="paragraph" w:styleId="10">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1">
    <w:name w:val="annotation text"/>
    <w:basedOn w:val="1"/>
    <w:link w:val="45"/>
    <w:qFormat/>
    <w:uiPriority w:val="99"/>
    <w:pPr>
      <w:jc w:val="left"/>
    </w:pPr>
  </w:style>
  <w:style w:type="paragraph" w:styleId="12">
    <w:name w:val="Body Text"/>
    <w:basedOn w:val="1"/>
    <w:link w:val="41"/>
    <w:semiHidden/>
    <w:qFormat/>
    <w:uiPriority w:val="98"/>
    <w:rPr>
      <w:rFonts w:ascii="仿宋_GB2312" w:eastAsia="仿宋_GB2312"/>
      <w:sz w:val="32"/>
    </w:rPr>
  </w:style>
  <w:style w:type="paragraph" w:styleId="13">
    <w:name w:val="Body Text Indent"/>
    <w:basedOn w:val="1"/>
    <w:next w:val="1"/>
    <w:link w:val="48"/>
    <w:semiHidden/>
    <w:qFormat/>
    <w:uiPriority w:val="0"/>
    <w:pPr>
      <w:spacing w:after="120"/>
      <w:ind w:left="420" w:leftChars="200"/>
    </w:pPr>
    <w:rPr>
      <w:rFonts w:ascii="Calibri" w:hAnsi="Calibri"/>
      <w:szCs w:val="22"/>
    </w:rPr>
  </w:style>
  <w:style w:type="paragraph" w:styleId="14">
    <w:name w:val="toc 3"/>
    <w:basedOn w:val="1"/>
    <w:next w:val="1"/>
    <w:semiHidden/>
    <w:qFormat/>
    <w:uiPriority w:val="39"/>
    <w:pPr>
      <w:adjustRightInd w:val="0"/>
      <w:spacing w:line="312" w:lineRule="atLeast"/>
      <w:ind w:left="840" w:leftChars="400"/>
      <w:textAlignment w:val="baseline"/>
    </w:pPr>
    <w:rPr>
      <w:kern w:val="0"/>
      <w:sz w:val="24"/>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1"/>
    <w:next w:val="11"/>
    <w:link w:val="53"/>
    <w:semiHidden/>
    <w:qFormat/>
    <w:uiPriority w:val="98"/>
    <w:rPr>
      <w:b/>
      <w:bCs/>
    </w:rPr>
  </w:style>
  <w:style w:type="paragraph" w:styleId="29">
    <w:name w:val="Body Text First Indent 2"/>
    <w:basedOn w:val="13"/>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Char1"/>
    <w:link w:val="12"/>
    <w:semiHidden/>
    <w:qFormat/>
    <w:uiPriority w:val="98"/>
    <w:rPr>
      <w:rFonts w:ascii="仿宋_GB2312" w:eastAsia="仿宋_GB2312"/>
      <w:kern w:val="2"/>
      <w:sz w:val="32"/>
    </w:rPr>
  </w:style>
  <w:style w:type="character" w:customStyle="1" w:styleId="42">
    <w:name w:val="页脚 Char"/>
    <w:link w:val="18"/>
    <w:semiHidden/>
    <w:qFormat/>
    <w:uiPriority w:val="0"/>
    <w:rPr>
      <w:kern w:val="2"/>
      <w:sz w:val="18"/>
      <w:szCs w:val="18"/>
    </w:rPr>
  </w:style>
  <w:style w:type="character" w:customStyle="1" w:styleId="43">
    <w:name w:val="标题 3 Char"/>
    <w:link w:val="5"/>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Char"/>
    <w:link w:val="11"/>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Char"/>
    <w:link w:val="17"/>
    <w:semiHidden/>
    <w:qFormat/>
    <w:uiPriority w:val="98"/>
    <w:rPr>
      <w:kern w:val="2"/>
      <w:sz w:val="18"/>
      <w:szCs w:val="18"/>
    </w:rPr>
  </w:style>
  <w:style w:type="character" w:customStyle="1" w:styleId="48">
    <w:name w:val="正文文本缩进 Char1"/>
    <w:link w:val="13"/>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Char1"/>
    <w:link w:val="2"/>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Char"/>
    <w:link w:val="19"/>
    <w:semiHidden/>
    <w:qFormat/>
    <w:uiPriority w:val="0"/>
    <w:rPr>
      <w:kern w:val="2"/>
      <w:sz w:val="18"/>
      <w:szCs w:val="18"/>
    </w:rPr>
  </w:style>
  <w:style w:type="character" w:customStyle="1" w:styleId="53">
    <w:name w:val="批注主题 Char"/>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Char"/>
    <w:basedOn w:val="32"/>
    <w:link w:val="3"/>
    <w:semiHidden/>
    <w:qFormat/>
    <w:uiPriority w:val="0"/>
    <w:rPr>
      <w:b/>
      <w:bCs/>
      <w:kern w:val="44"/>
      <w:sz w:val="44"/>
      <w:szCs w:val="44"/>
    </w:rPr>
  </w:style>
  <w:style w:type="paragraph" w:customStyle="1" w:styleId="68">
    <w:name w:val="TOC 标题1"/>
    <w:basedOn w:val="3"/>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Char1"/>
    <w:basedOn w:val="32"/>
    <w:link w:val="4"/>
    <w:semiHidden/>
    <w:qFormat/>
    <w:uiPriority w:val="0"/>
    <w:rPr>
      <w:rFonts w:asciiTheme="majorHAnsi" w:hAnsiTheme="majorHAnsi" w:eastAsiaTheme="majorEastAsia" w:cstheme="majorBidi"/>
      <w:b/>
      <w:bCs/>
      <w:kern w:val="2"/>
      <w:sz w:val="32"/>
      <w:szCs w:val="32"/>
    </w:rPr>
  </w:style>
  <w:style w:type="character" w:customStyle="1" w:styleId="70">
    <w:name w:val="标题 Char1"/>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2"/>
    <w:qFormat/>
    <w:uiPriority w:val="0"/>
    <w:pPr>
      <w:spacing w:line="360" w:lineRule="auto"/>
      <w:jc w:val="center"/>
      <w:outlineLvl w:val="0"/>
    </w:pPr>
    <w:rPr>
      <w:rFonts w:ascii="黑体" w:eastAsia="黑体"/>
      <w:b/>
      <w:bCs/>
      <w:sz w:val="36"/>
      <w:szCs w:val="36"/>
    </w:rPr>
  </w:style>
  <w:style w:type="paragraph" w:customStyle="1" w:styleId="72">
    <w:name w:val="一级标题"/>
    <w:basedOn w:val="2"/>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2"/>
    <w:qFormat/>
    <w:uiPriority w:val="2"/>
    <w:pPr>
      <w:numPr>
        <w:ilvl w:val="0"/>
        <w:numId w:val="3"/>
      </w:numPr>
      <w:spacing w:line="360" w:lineRule="auto"/>
      <w:outlineLvl w:val="2"/>
    </w:pPr>
    <w:rPr>
      <w:b/>
    </w:rPr>
  </w:style>
  <w:style w:type="paragraph" w:customStyle="1" w:styleId="74">
    <w:name w:val="3级标题"/>
    <w:basedOn w:val="2"/>
    <w:link w:val="102"/>
    <w:qFormat/>
    <w:uiPriority w:val="3"/>
    <w:pPr>
      <w:numPr>
        <w:ilvl w:val="0"/>
        <w:numId w:val="4"/>
      </w:numPr>
      <w:spacing w:line="360" w:lineRule="auto"/>
      <w:outlineLvl w:val="3"/>
    </w:pPr>
    <w:rPr>
      <w:b/>
    </w:rPr>
  </w:style>
  <w:style w:type="paragraph" w:customStyle="1" w:styleId="75">
    <w:name w:val="（4）级标题"/>
    <w:basedOn w:val="2"/>
    <w:qFormat/>
    <w:uiPriority w:val="8"/>
    <w:pPr>
      <w:numPr>
        <w:ilvl w:val="0"/>
        <w:numId w:val="5"/>
      </w:numPr>
      <w:spacing w:line="360" w:lineRule="auto"/>
      <w:outlineLvl w:val="4"/>
    </w:pPr>
  </w:style>
  <w:style w:type="paragraph" w:customStyle="1" w:styleId="76">
    <w:name w:val="标书正文"/>
    <w:basedOn w:val="2"/>
    <w:link w:val="97"/>
    <w:qFormat/>
    <w:uiPriority w:val="9"/>
    <w:pPr>
      <w:spacing w:line="360" w:lineRule="auto"/>
      <w:jc w:val="left"/>
    </w:pPr>
  </w:style>
  <w:style w:type="character" w:customStyle="1" w:styleId="77">
    <w:name w:val="标题 4 Char"/>
    <w:basedOn w:val="32"/>
    <w:link w:val="6"/>
    <w:semiHidden/>
    <w:qFormat/>
    <w:uiPriority w:val="0"/>
    <w:rPr>
      <w:rFonts w:ascii="Arial" w:hAnsi="Arial"/>
      <w:b/>
      <w:bCs/>
      <w:kern w:val="2"/>
      <w:sz w:val="21"/>
      <w:szCs w:val="28"/>
    </w:rPr>
  </w:style>
  <w:style w:type="character" w:customStyle="1" w:styleId="78">
    <w:name w:val="标题 5 Char"/>
    <w:basedOn w:val="32"/>
    <w:link w:val="7"/>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Char"/>
    <w:basedOn w:val="32"/>
    <w:link w:val="22"/>
    <w:semiHidden/>
    <w:qFormat/>
    <w:uiPriority w:val="0"/>
    <w:rPr>
      <w:rFonts w:ascii="宋体" w:hAnsi="宋体"/>
      <w:color w:val="FF0000"/>
      <w:kern w:val="2"/>
      <w:sz w:val="24"/>
      <w:szCs w:val="24"/>
    </w:rPr>
  </w:style>
  <w:style w:type="paragraph" w:customStyle="1" w:styleId="84">
    <w:name w:val="_Style 4"/>
    <w:basedOn w:val="3"/>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Char"/>
    <w:basedOn w:val="32"/>
    <w:link w:val="16"/>
    <w:semiHidden/>
    <w:qFormat/>
    <w:uiPriority w:val="0"/>
    <w:rPr>
      <w:sz w:val="24"/>
    </w:rPr>
  </w:style>
  <w:style w:type="character" w:customStyle="1" w:styleId="87">
    <w:name w:val="日期 Char"/>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Char"/>
    <w:basedOn w:val="32"/>
    <w:link w:val="10"/>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不明显强调1"/>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Char"/>
    <w:link w:val="8"/>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Char"/>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paragraph" w:customStyle="1" w:styleId="111">
    <w:name w:val="框架内容"/>
    <w:basedOn w:val="1"/>
    <w:qFormat/>
    <w:uiPriority w:val="0"/>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0" Type="http://schemas.openxmlformats.org/officeDocument/2006/relationships/fontTable" Target="fontTable.xml"/><Relationship Id="rId3" Type="http://schemas.openxmlformats.org/officeDocument/2006/relationships/header" Target="header1.xml"/><Relationship Id="rId29" Type="http://schemas.openxmlformats.org/officeDocument/2006/relationships/customXml" Target="../customXml/item2.xml"/><Relationship Id="rId28" Type="http://schemas.openxmlformats.org/officeDocument/2006/relationships/numbering" Target="numbering.xml"/><Relationship Id="rId27" Type="http://schemas.openxmlformats.org/officeDocument/2006/relationships/customXml" Target="../customXml/item1.xml"/><Relationship Id="rId26" Type="http://schemas.openxmlformats.org/officeDocument/2006/relationships/image" Target="media/image14.png"/><Relationship Id="rId25" Type="http://schemas.openxmlformats.org/officeDocument/2006/relationships/image" Target="media/image13.png"/><Relationship Id="rId24" Type="http://schemas.openxmlformats.org/officeDocument/2006/relationships/image" Target="media/image12.png"/><Relationship Id="rId23" Type="http://schemas.openxmlformats.org/officeDocument/2006/relationships/image" Target="media/image11.png"/><Relationship Id="rId22" Type="http://schemas.openxmlformats.org/officeDocument/2006/relationships/image" Target="media/image10.png"/><Relationship Id="rId21" Type="http://schemas.openxmlformats.org/officeDocument/2006/relationships/image" Target="media/image9.png"/><Relationship Id="rId20" Type="http://schemas.openxmlformats.org/officeDocument/2006/relationships/image" Target="media/image8.png"/><Relationship Id="rId2" Type="http://schemas.openxmlformats.org/officeDocument/2006/relationships/settings" Target="settings.xml"/><Relationship Id="rId19" Type="http://schemas.openxmlformats.org/officeDocument/2006/relationships/image" Target="media/image7.png"/><Relationship Id="rId18" Type="http://schemas.openxmlformats.org/officeDocument/2006/relationships/image" Target="media/image6.png"/><Relationship Id="rId17" Type="http://schemas.openxmlformats.org/officeDocument/2006/relationships/image" Target="media/image5.png"/><Relationship Id="rId16" Type="http://schemas.openxmlformats.org/officeDocument/2006/relationships/image" Target="media/image4.png"/><Relationship Id="rId15" Type="http://schemas.openxmlformats.org/officeDocument/2006/relationships/image" Target="media/image3.png"/><Relationship Id="rId14" Type="http://schemas.openxmlformats.org/officeDocument/2006/relationships/image" Target="media/image2.emf"/><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footer" Target="footer6.xml"/><Relationship Id="rId10" Type="http://schemas.openxmlformats.org/officeDocument/2006/relationships/header" Target="head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548602A-F8FD-4B47-AF40-CF27496DE146}">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40</Pages>
  <Words>10880</Words>
  <Characters>11607</Characters>
  <Lines>702</Lines>
  <Paragraphs>776</Paragraphs>
  <TotalTime>0</TotalTime>
  <ScaleCrop>false</ScaleCrop>
  <LinksUpToDate>false</LinksUpToDate>
  <CharactersWithSpaces>11719</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晓寒轻</cp:lastModifiedBy>
  <cp:lastPrinted>2020-06-28T02:28:00Z</cp:lastPrinted>
  <dcterms:modified xsi:type="dcterms:W3CDTF">2025-10-21T08:19:18Z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C9077B8EDE1B4678AA83441DA3E1D2AF_13</vt:lpwstr>
  </property>
  <property fmtid="{D5CDD505-2E9C-101B-9397-08002B2CF9AE}" pid="4" name="KSOTemplateDocerSaveRecord">
    <vt:lpwstr>eyJoZGlkIjoiNGVmYjYwMTVkYTcwNzlmYzkyYzZmMzIwZTI3ZGZlNjgiLCJ1c2VySWQiOiIxMDYzNzE1ODkzIn0=</vt:lpwstr>
  </property>
</Properties>
</file>