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9AD74">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44DC1E9E">
      <w:pPr>
        <w:ind w:right="280"/>
        <w:jc w:val="center"/>
        <w:rPr>
          <w:rFonts w:ascii="宋体" w:hAnsi="宋体"/>
          <w:sz w:val="48"/>
          <w:szCs w:val="48"/>
        </w:rPr>
      </w:pPr>
    </w:p>
    <w:p w14:paraId="54D12D06">
      <w:pPr>
        <w:ind w:right="280"/>
        <w:jc w:val="center"/>
        <w:rPr>
          <w:rFonts w:ascii="宋体" w:hAnsi="宋体"/>
          <w:sz w:val="48"/>
          <w:szCs w:val="48"/>
        </w:rPr>
      </w:pPr>
    </w:p>
    <w:p w14:paraId="3AEB6540">
      <w:pPr>
        <w:ind w:right="280"/>
        <w:jc w:val="center"/>
        <w:rPr>
          <w:rFonts w:ascii="宋体" w:hAnsi="宋体"/>
          <w:sz w:val="48"/>
          <w:szCs w:val="48"/>
        </w:rPr>
      </w:pPr>
    </w:p>
    <w:p w14:paraId="65714235">
      <w:pPr>
        <w:ind w:right="280"/>
        <w:jc w:val="center"/>
        <w:rPr>
          <w:rFonts w:ascii="宋体" w:hAnsi="宋体"/>
          <w:sz w:val="48"/>
          <w:szCs w:val="48"/>
        </w:rPr>
      </w:pPr>
    </w:p>
    <w:p w14:paraId="60426BFF">
      <w:pPr>
        <w:ind w:right="280"/>
        <w:jc w:val="center"/>
        <w:rPr>
          <w:rFonts w:ascii="楷体_GB2312" w:hAnsi="宋体" w:eastAsia="楷体_GB2312"/>
          <w:sz w:val="52"/>
          <w:szCs w:val="52"/>
        </w:rPr>
      </w:pPr>
    </w:p>
    <w:p w14:paraId="62FDFCD1">
      <w:pPr>
        <w:ind w:right="280"/>
        <w:jc w:val="center"/>
        <w:rPr>
          <w:rFonts w:ascii="楷体_GB2312" w:hAnsi="宋体" w:eastAsia="楷体_GB2312"/>
          <w:sz w:val="52"/>
          <w:szCs w:val="52"/>
        </w:rPr>
      </w:pPr>
      <w:r>
        <w:rPr>
          <w:rFonts w:hint="eastAsia" w:ascii="楷体_GB2312" w:hAnsi="宋体" w:eastAsia="楷体_GB2312"/>
          <w:sz w:val="52"/>
          <w:szCs w:val="52"/>
          <w:highlight w:val="yellow"/>
        </w:rPr>
        <w:t>缸盖制芯线工艺布局优化改造技改项目</w:t>
      </w:r>
    </w:p>
    <w:p w14:paraId="31D96826">
      <w:pPr>
        <w:ind w:right="280"/>
        <w:jc w:val="center"/>
        <w:rPr>
          <w:sz w:val="28"/>
          <w:szCs w:val="28"/>
        </w:rPr>
      </w:pPr>
    </w:p>
    <w:p w14:paraId="66CE55C2">
      <w:pPr>
        <w:ind w:right="280"/>
        <w:jc w:val="center"/>
        <w:rPr>
          <w:sz w:val="28"/>
          <w:szCs w:val="28"/>
        </w:rPr>
      </w:pPr>
    </w:p>
    <w:p w14:paraId="1D35A34D">
      <w:pPr>
        <w:jc w:val="center"/>
        <w:rPr>
          <w:rFonts w:ascii="宋体" w:hAnsi="宋体" w:cs="宋体"/>
          <w:sz w:val="72"/>
          <w:szCs w:val="72"/>
        </w:rPr>
      </w:pPr>
      <w:r>
        <w:rPr>
          <w:rFonts w:hint="eastAsia" w:ascii="宋体" w:hAnsi="宋体" w:cs="宋体"/>
          <w:sz w:val="72"/>
          <w:szCs w:val="72"/>
        </w:rPr>
        <w:t>招标文件</w:t>
      </w:r>
    </w:p>
    <w:p w14:paraId="49873F0B">
      <w:pPr>
        <w:jc w:val="center"/>
        <w:rPr>
          <w:rFonts w:ascii="宋体" w:hAnsi="宋体"/>
          <w:sz w:val="48"/>
          <w:szCs w:val="48"/>
        </w:rPr>
      </w:pPr>
    </w:p>
    <w:p w14:paraId="778F179C">
      <w:pPr>
        <w:jc w:val="center"/>
        <w:rPr>
          <w:rFonts w:ascii="宋体" w:hAnsi="宋体"/>
          <w:sz w:val="48"/>
          <w:szCs w:val="48"/>
        </w:rPr>
      </w:pPr>
    </w:p>
    <w:p w14:paraId="74E7AC9B">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FSCZB2025100099</w:t>
      </w:r>
    </w:p>
    <w:p w14:paraId="4AB82AEB">
      <w:pPr>
        <w:jc w:val="center"/>
        <w:rPr>
          <w:rFonts w:ascii="宋体" w:hAnsi="宋体"/>
          <w:sz w:val="48"/>
          <w:szCs w:val="48"/>
        </w:rPr>
      </w:pPr>
    </w:p>
    <w:p w14:paraId="6876D25F">
      <w:pPr>
        <w:jc w:val="center"/>
        <w:rPr>
          <w:rFonts w:ascii="宋体" w:hAnsi="宋体"/>
          <w:sz w:val="48"/>
          <w:szCs w:val="48"/>
        </w:rPr>
      </w:pPr>
    </w:p>
    <w:p w14:paraId="32E7FBEB">
      <w:pPr>
        <w:jc w:val="center"/>
        <w:rPr>
          <w:rFonts w:ascii="宋体" w:hAnsi="宋体"/>
          <w:sz w:val="28"/>
          <w:szCs w:val="28"/>
        </w:rPr>
      </w:pPr>
    </w:p>
    <w:p w14:paraId="75C60C60">
      <w:pPr>
        <w:jc w:val="center"/>
        <w:rPr>
          <w:rFonts w:ascii="宋体" w:hAnsi="宋体"/>
          <w:sz w:val="28"/>
          <w:szCs w:val="28"/>
        </w:rPr>
      </w:pPr>
    </w:p>
    <w:p w14:paraId="389AA17F">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rPr>
        <w:t>济南动力</w:t>
      </w:r>
      <w:r>
        <w:rPr>
          <w:rFonts w:hint="eastAsia" w:ascii="宋体" w:hAnsi="宋体"/>
          <w:sz w:val="28"/>
          <w:szCs w:val="28"/>
        </w:rPr>
        <w:t>有限公司</w:t>
      </w:r>
    </w:p>
    <w:p w14:paraId="40F20C8B">
      <w:pPr>
        <w:jc w:val="center"/>
        <w:rPr>
          <w:rFonts w:ascii="宋体" w:hAnsi="宋体"/>
          <w:sz w:val="28"/>
          <w:szCs w:val="28"/>
        </w:rPr>
      </w:pPr>
    </w:p>
    <w:p w14:paraId="46FFAAE8">
      <w:pPr>
        <w:jc w:val="center"/>
        <w:rPr>
          <w:rFonts w:ascii="宋体" w:hAnsi="宋体"/>
          <w:sz w:val="28"/>
          <w:szCs w:val="28"/>
          <w:u w:val="single"/>
        </w:rPr>
      </w:pPr>
      <w:r>
        <w:rPr>
          <w:rFonts w:hint="eastAsia" w:ascii="宋体" w:hAnsi="宋体"/>
          <w:sz w:val="28"/>
          <w:szCs w:val="28"/>
          <w:u w:val="single"/>
        </w:rPr>
        <w:t>2025年10月</w:t>
      </w:r>
    </w:p>
    <w:p w14:paraId="648EE5A7">
      <w:pPr>
        <w:spacing w:line="480" w:lineRule="auto"/>
        <w:jc w:val="center"/>
        <w:rPr>
          <w:rFonts w:ascii="宋体" w:hAnsi="宋体"/>
          <w:b/>
          <w:bCs/>
          <w:sz w:val="48"/>
          <w:szCs w:val="48"/>
        </w:rPr>
      </w:pPr>
    </w:p>
    <w:p w14:paraId="6D70F32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2E29FA0A">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2D318A77">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fldChar w:fldCharType="end"/>
          </w:r>
        </w:p>
        <w:p w14:paraId="3EF86F9C">
          <w:pPr>
            <w:pStyle w:val="20"/>
            <w:tabs>
              <w:tab w:val="right" w:leader="middleDot" w:pos="9070"/>
              <w:tab w:val="clear" w:pos="8729"/>
            </w:tabs>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fldChar w:fldCharType="end"/>
          </w:r>
        </w:p>
        <w:p w14:paraId="2EB84ADF">
          <w:pPr>
            <w:pStyle w:val="20"/>
            <w:tabs>
              <w:tab w:val="right" w:leader="middleDot" w:pos="9070"/>
              <w:tab w:val="clear" w:pos="8729"/>
            </w:tabs>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- 8 -</w:t>
          </w:r>
          <w:r>
            <w:fldChar w:fldCharType="end"/>
          </w:r>
          <w:r>
            <w:fldChar w:fldCharType="end"/>
          </w:r>
        </w:p>
        <w:p w14:paraId="1473B07B">
          <w:pPr>
            <w:pStyle w:val="20"/>
            <w:tabs>
              <w:tab w:val="right" w:leader="middleDot" w:pos="9070"/>
              <w:tab w:val="clear" w:pos="8729"/>
            </w:tabs>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fldChar w:fldCharType="end"/>
          </w:r>
        </w:p>
        <w:p w14:paraId="7B6CF7F5">
          <w:pPr>
            <w:pStyle w:val="20"/>
            <w:tabs>
              <w:tab w:val="right" w:leader="middleDot" w:pos="9070"/>
              <w:tab w:val="clear" w:pos="8729"/>
            </w:tabs>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- 9 -</w:t>
          </w:r>
          <w:r>
            <w:fldChar w:fldCharType="end"/>
          </w:r>
          <w:r>
            <w:fldChar w:fldCharType="end"/>
          </w:r>
        </w:p>
        <w:p w14:paraId="3DBAE112">
          <w:pPr>
            <w:pStyle w:val="20"/>
          </w:pPr>
          <w:r>
            <w:rPr>
              <w:rFonts w:hint="eastAsia" w:ascii="Calibri" w:hAnsi="Calibri"/>
              <w:bCs/>
              <w:kern w:val="44"/>
              <w:szCs w:val="44"/>
            </w:rPr>
            <w:fldChar w:fldCharType="end"/>
          </w:r>
        </w:p>
      </w:sdtContent>
    </w:sdt>
    <w:p w14:paraId="277CCCF3">
      <w:pPr>
        <w:pStyle w:val="2"/>
        <w:tabs>
          <w:tab w:val="left" w:pos="2940"/>
        </w:tabs>
        <w:spacing w:line="360" w:lineRule="auto"/>
      </w:pPr>
      <w:r>
        <w:tab/>
      </w:r>
    </w:p>
    <w:p w14:paraId="4B2E0053">
      <w:pPr>
        <w:pStyle w:val="2"/>
        <w:spacing w:line="360" w:lineRule="auto"/>
        <w:jc w:val="center"/>
      </w:pPr>
    </w:p>
    <w:p w14:paraId="5C0A0BAC">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1512E87">
      <w:pPr>
        <w:pStyle w:val="71"/>
      </w:pPr>
      <w:bookmarkStart w:id="0" w:name="_Toc47976587"/>
      <w:bookmarkStart w:id="1" w:name="_Toc7104"/>
      <w:r>
        <w:rPr>
          <w:rFonts w:hint="eastAsia"/>
        </w:rPr>
        <w:t>招标公告</w:t>
      </w:r>
      <w:bookmarkEnd w:id="0"/>
      <w:bookmarkEnd w:id="1"/>
    </w:p>
    <w:p w14:paraId="2B171B30">
      <w:pPr>
        <w:pStyle w:val="71"/>
        <w:rPr>
          <w:sz w:val="28"/>
        </w:rPr>
      </w:pPr>
      <w:bookmarkStart w:id="2" w:name="_Toc32474"/>
      <w:r>
        <w:rPr>
          <w:rFonts w:hint="eastAsia"/>
          <w:sz w:val="28"/>
        </w:rPr>
        <w:t>缸盖制芯线工艺布局优化改造技改项目招标公告</w:t>
      </w:r>
      <w:bookmarkEnd w:id="2"/>
    </w:p>
    <w:p w14:paraId="42D6BE84">
      <w:pPr>
        <w:pStyle w:val="71"/>
      </w:pPr>
    </w:p>
    <w:p w14:paraId="31DBEE65">
      <w:pPr>
        <w:pStyle w:val="72"/>
      </w:pPr>
      <w:bookmarkStart w:id="3" w:name="_Toc47976588"/>
      <w:r>
        <w:rPr>
          <w:rFonts w:hint="eastAsia"/>
        </w:rPr>
        <w:t>项目名称及项目编号</w:t>
      </w:r>
      <w:bookmarkEnd w:id="3"/>
    </w:p>
    <w:p w14:paraId="18AECFE8">
      <w:pPr>
        <w:pStyle w:val="73"/>
      </w:pPr>
      <w:r>
        <w:rPr>
          <w:rFonts w:hint="eastAsia"/>
        </w:rPr>
        <w:t>项目名称：</w:t>
      </w:r>
      <w:r>
        <w:rPr>
          <w:rFonts w:hint="eastAsia"/>
          <w:highlight w:val="yellow"/>
        </w:rPr>
        <w:t>缸盖制芯线工艺布局优化改造技改项目</w:t>
      </w:r>
    </w:p>
    <w:p w14:paraId="58AAF1E9">
      <w:pPr>
        <w:pStyle w:val="73"/>
      </w:pPr>
      <w:r>
        <w:rPr>
          <w:rFonts w:hint="eastAsia"/>
        </w:rPr>
        <w:t>项目编号：</w:t>
      </w:r>
      <w:r>
        <w:rPr>
          <w:rFonts w:hint="eastAsia"/>
          <w:highlight w:val="yellow"/>
        </w:rPr>
        <w:t xml:space="preserve"> FSCZB2025100099</w:t>
      </w:r>
    </w:p>
    <w:p w14:paraId="1E62F0AD">
      <w:pPr>
        <w:pStyle w:val="72"/>
      </w:pPr>
      <w:bookmarkStart w:id="4" w:name="_Toc47976589"/>
      <w:r>
        <w:rPr>
          <w:rFonts w:hint="eastAsia"/>
        </w:rPr>
        <w:t>项目概况及招标形式</w:t>
      </w:r>
      <w:bookmarkEnd w:id="4"/>
    </w:p>
    <w:p w14:paraId="7AFCF180">
      <w:pPr>
        <w:pStyle w:val="73"/>
        <w:numPr>
          <w:ilvl w:val="0"/>
          <w:numId w:val="9"/>
        </w:numPr>
      </w:pPr>
      <w:r>
        <w:rPr>
          <w:rFonts w:hint="eastAsia"/>
        </w:rPr>
        <w:t>招标内容：见技术标书</w:t>
      </w:r>
    </w:p>
    <w:p w14:paraId="7BD68BCB">
      <w:pPr>
        <w:pStyle w:val="73"/>
      </w:pPr>
      <w:r>
        <w:rPr>
          <w:rFonts w:hint="eastAsia"/>
        </w:rPr>
        <w:t>招标形式：</w:t>
      </w:r>
      <w:r>
        <w:rPr>
          <w:rFonts w:hint="eastAsia"/>
          <w:highlight w:val="yellow"/>
        </w:rPr>
        <w:t>公开招标</w:t>
      </w:r>
      <w:r>
        <w:rPr>
          <w:rStyle w:val="97"/>
          <w:rFonts w:hint="eastAsia"/>
          <w:b w:val="0"/>
          <w:highlight w:val="yellow"/>
        </w:rPr>
        <w:t>。</w:t>
      </w:r>
    </w:p>
    <w:p w14:paraId="2E182C1F">
      <w:pPr>
        <w:pStyle w:val="72"/>
        <w:rPr>
          <w:highlight w:val="yellow"/>
        </w:rPr>
      </w:pPr>
      <w:bookmarkStart w:id="5" w:name="_Toc47976590"/>
      <w:r>
        <w:rPr>
          <w:rFonts w:hint="eastAsia"/>
          <w:highlight w:val="yellow"/>
        </w:rPr>
        <w:t>投标人资格要求</w:t>
      </w:r>
      <w:bookmarkEnd w:id="5"/>
    </w:p>
    <w:p w14:paraId="6B9E0A29">
      <w:pPr>
        <w:pStyle w:val="73"/>
        <w:numPr>
          <w:ilvl w:val="0"/>
          <w:numId w:val="10"/>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27688438">
      <w:pPr>
        <w:pStyle w:val="73"/>
        <w:numPr>
          <w:ilvl w:val="0"/>
          <w:numId w:val="10"/>
        </w:numPr>
        <w:ind w:left="0" w:firstLine="0"/>
        <w:rPr>
          <w:b w:val="0"/>
          <w:bCs/>
        </w:rPr>
      </w:pPr>
      <w:r>
        <w:rPr>
          <w:rFonts w:hint="eastAsia"/>
          <w:b w:val="0"/>
          <w:bCs/>
        </w:rPr>
        <w:t>拟标投人必须是在中华人民共和国境内注册的独立法人机构，具有独立承担民事责任能力；注册资金不少于人民币</w:t>
      </w:r>
      <w:r>
        <w:rPr>
          <w:b w:val="0"/>
          <w:bCs/>
          <w:u w:val="single"/>
        </w:rPr>
        <w:t>10</w:t>
      </w:r>
      <w:r>
        <w:rPr>
          <w:rFonts w:hint="eastAsia"/>
          <w:b w:val="0"/>
          <w:bCs/>
          <w:u w:val="single"/>
        </w:rPr>
        <w:t>00</w:t>
      </w:r>
      <w:r>
        <w:rPr>
          <w:rFonts w:hint="eastAsia"/>
          <w:b w:val="0"/>
          <w:bCs/>
        </w:rPr>
        <w:t>万元（或等值其他货币）；公司成立三年以上（以营业执照成立日期到开标当日满三年为准），且经营范围满足招标人需求；并在人员、设备、资金等方面具有承担本项目的能力；</w:t>
      </w:r>
    </w:p>
    <w:p w14:paraId="4F9DDD4B">
      <w:pPr>
        <w:pStyle w:val="73"/>
        <w:numPr>
          <w:ilvl w:val="0"/>
          <w:numId w:val="10"/>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6E32BD0E">
      <w:pPr>
        <w:pStyle w:val="73"/>
        <w:numPr>
          <w:ilvl w:val="0"/>
          <w:numId w:val="10"/>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1D340437">
      <w:pPr>
        <w:pStyle w:val="73"/>
        <w:numPr>
          <w:ilvl w:val="0"/>
          <w:numId w:val="10"/>
        </w:numPr>
        <w:ind w:left="0" w:firstLine="0"/>
        <w:rPr>
          <w:b w:val="0"/>
          <w:bCs/>
        </w:rPr>
      </w:pPr>
      <w:r>
        <w:rPr>
          <w:rFonts w:hint="eastAsia"/>
          <w:b w:val="0"/>
          <w:bCs/>
        </w:rPr>
        <w:t>无招标违规、谎报年度报告信息、提供虚假资质资料等行为或其他行政处罚记录；</w:t>
      </w:r>
    </w:p>
    <w:p w14:paraId="6C6F8B8A">
      <w:pPr>
        <w:pStyle w:val="73"/>
        <w:numPr>
          <w:ilvl w:val="0"/>
          <w:numId w:val="10"/>
        </w:numPr>
        <w:ind w:left="0" w:firstLine="0"/>
        <w:rPr>
          <w:b w:val="0"/>
          <w:bCs/>
        </w:rPr>
      </w:pPr>
      <w:r>
        <w:rPr>
          <w:rFonts w:hint="eastAsia"/>
          <w:b w:val="0"/>
          <w:bCs/>
        </w:rPr>
        <w:t>近三年内在经营活动中无与本项目有关的违法及重大违规情况；</w:t>
      </w:r>
    </w:p>
    <w:p w14:paraId="6FA512FC">
      <w:pPr>
        <w:pStyle w:val="73"/>
        <w:numPr>
          <w:ilvl w:val="0"/>
          <w:numId w:val="10"/>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3F6C89FD">
      <w:pPr>
        <w:pStyle w:val="73"/>
        <w:numPr>
          <w:ilvl w:val="0"/>
          <w:numId w:val="10"/>
        </w:numPr>
        <w:ind w:left="0" w:firstLine="0"/>
        <w:rPr>
          <w:b w:val="0"/>
          <w:bCs/>
        </w:rPr>
      </w:pPr>
      <w:r>
        <w:rPr>
          <w:rFonts w:hint="eastAsia"/>
          <w:b w:val="0"/>
          <w:bCs/>
        </w:rPr>
        <w:t>公司经营范围满足招标项目需求；</w:t>
      </w:r>
    </w:p>
    <w:p w14:paraId="0911825F">
      <w:pPr>
        <w:pStyle w:val="73"/>
        <w:numPr>
          <w:ilvl w:val="0"/>
          <w:numId w:val="10"/>
        </w:numPr>
        <w:ind w:left="0" w:firstLine="0"/>
        <w:rPr>
          <w:b w:val="0"/>
          <w:bCs/>
        </w:rPr>
      </w:pPr>
      <w:r>
        <w:rPr>
          <w:rFonts w:hint="eastAsia"/>
          <w:b w:val="0"/>
          <w:bCs/>
        </w:rPr>
        <w:t>投标人须具有履行招标文件所有设备、专业技术等要求的能力；</w:t>
      </w:r>
    </w:p>
    <w:p w14:paraId="2B686D9A">
      <w:pPr>
        <w:pStyle w:val="73"/>
        <w:numPr>
          <w:ilvl w:val="0"/>
          <w:numId w:val="10"/>
        </w:numPr>
        <w:ind w:left="0" w:firstLine="0"/>
        <w:rPr>
          <w:b w:val="0"/>
          <w:bCs/>
        </w:rPr>
      </w:pPr>
      <w:r>
        <w:rPr>
          <w:rFonts w:hint="eastAsia"/>
          <w:b w:val="0"/>
          <w:bCs/>
        </w:rPr>
        <w:t>投标人须有依法缴纳税收和社会保障资金的良好记录；</w:t>
      </w:r>
    </w:p>
    <w:p w14:paraId="3E5CBB9B">
      <w:pPr>
        <w:pStyle w:val="73"/>
        <w:numPr>
          <w:ilvl w:val="0"/>
          <w:numId w:val="10"/>
        </w:numPr>
        <w:ind w:left="0" w:firstLine="0"/>
        <w:rPr>
          <w:b w:val="0"/>
          <w:bCs/>
        </w:rPr>
      </w:pPr>
      <w:r>
        <w:rPr>
          <w:rFonts w:hint="eastAsia"/>
          <w:b w:val="0"/>
          <w:bCs/>
        </w:rPr>
        <w:t>具有本次招标货物的供货、安装、售后服务等的相应资质；</w:t>
      </w:r>
    </w:p>
    <w:p w14:paraId="5628F371">
      <w:pPr>
        <w:pStyle w:val="73"/>
        <w:numPr>
          <w:ilvl w:val="0"/>
          <w:numId w:val="10"/>
        </w:numPr>
        <w:ind w:left="0" w:firstLine="0"/>
        <w:rPr>
          <w:b w:val="0"/>
          <w:bCs/>
        </w:rPr>
      </w:pPr>
      <w:r>
        <w:rPr>
          <w:rFonts w:hint="eastAsia"/>
          <w:b w:val="0"/>
          <w:bCs/>
        </w:rPr>
        <w:t>投标人须负责提供合理的便于运输的包装物，并承担相关费用；</w:t>
      </w:r>
    </w:p>
    <w:p w14:paraId="05888F80">
      <w:pPr>
        <w:pStyle w:val="73"/>
        <w:numPr>
          <w:ilvl w:val="0"/>
          <w:numId w:val="10"/>
        </w:numPr>
        <w:ind w:left="0" w:firstLine="0"/>
        <w:rPr>
          <w:b w:val="0"/>
          <w:bCs/>
        </w:rPr>
      </w:pPr>
      <w:r>
        <w:rPr>
          <w:rFonts w:hint="eastAsia"/>
          <w:b w:val="0"/>
          <w:bCs/>
        </w:rPr>
        <w:t>投标人须认可招标人的工作指令，包括节、假日能正常开展工作的要求。</w:t>
      </w:r>
    </w:p>
    <w:p w14:paraId="5245E027">
      <w:pPr>
        <w:pStyle w:val="73"/>
        <w:numPr>
          <w:ilvl w:val="0"/>
          <w:numId w:val="10"/>
        </w:numPr>
        <w:ind w:left="0" w:firstLine="0"/>
        <w:rPr>
          <w:b w:val="0"/>
          <w:bCs/>
        </w:rPr>
      </w:pPr>
      <w:r>
        <w:rPr>
          <w:rFonts w:hint="eastAsia"/>
          <w:b w:val="0"/>
          <w:bCs/>
        </w:rPr>
        <w:t>拟投标人的直接或间接股东、法定代表人、董事、监事、高管非重汽员工及其亲属；</w:t>
      </w:r>
    </w:p>
    <w:p w14:paraId="7A9ACDB7">
      <w:pPr>
        <w:pStyle w:val="73"/>
        <w:numPr>
          <w:ilvl w:val="0"/>
          <w:numId w:val="10"/>
        </w:numPr>
        <w:ind w:left="0" w:firstLine="0"/>
        <w:rPr>
          <w:highlight w:val="yellow"/>
        </w:rPr>
      </w:pPr>
      <w:r>
        <w:rPr>
          <w:rFonts w:hint="eastAsia"/>
          <w:b w:val="0"/>
          <w:bCs/>
        </w:rPr>
        <w:t>投标人必须是最终投标、签订合同的单位，不得以任何理由将已中标项目以任何形式转包或者分包给其他单位；</w:t>
      </w:r>
    </w:p>
    <w:p w14:paraId="6FE82AE0">
      <w:pPr>
        <w:pStyle w:val="73"/>
        <w:numPr>
          <w:ilvl w:val="0"/>
          <w:numId w:val="10"/>
        </w:numPr>
        <w:ind w:left="0" w:firstLine="0"/>
        <w:rPr>
          <w:highlight w:val="yellow"/>
        </w:rPr>
      </w:pPr>
      <w:r>
        <w:rPr>
          <w:rFonts w:hint="eastAsia"/>
          <w:b w:val="0"/>
          <w:bCs/>
        </w:rPr>
        <w:t>本次招标项目不接受联合体投标；</w:t>
      </w:r>
    </w:p>
    <w:p w14:paraId="7F1D567E">
      <w:pPr>
        <w:pStyle w:val="72"/>
        <w:rPr>
          <w:highlight w:val="yellow"/>
        </w:rPr>
      </w:pPr>
      <w:bookmarkStart w:id="6" w:name="_Toc47976591"/>
      <w:r>
        <w:rPr>
          <w:rFonts w:hint="eastAsia"/>
          <w:highlight w:val="yellow"/>
        </w:rPr>
        <w:t>报名及招标文件的获取</w:t>
      </w:r>
      <w:bookmarkEnd w:id="6"/>
    </w:p>
    <w:p w14:paraId="0E06EF19">
      <w:pPr>
        <w:pStyle w:val="2"/>
        <w:numPr>
          <w:ilvl w:val="0"/>
          <w:numId w:val="11"/>
        </w:numPr>
        <w:spacing w:line="360" w:lineRule="auto"/>
        <w:ind w:firstLine="422" w:firstLineChars="200"/>
        <w:rPr>
          <w:rFonts w:hAnsi="宋体" w:cs="宋体"/>
          <w:szCs w:val="21"/>
          <w:highlight w:val="yellow"/>
        </w:rPr>
      </w:pPr>
      <w:r>
        <w:rPr>
          <w:rFonts w:hint="eastAsia" w:hAnsi="宋体" w:cs="宋体"/>
          <w:b/>
          <w:bCs/>
          <w:szCs w:val="21"/>
        </w:rPr>
        <w:t>报名截止时间：2025年10月28日下午17点</w:t>
      </w:r>
    </w:p>
    <w:p w14:paraId="6BBCD822">
      <w:pPr>
        <w:pStyle w:val="2"/>
        <w:numPr>
          <w:ilvl w:val="0"/>
          <w:numId w:val="11"/>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08432A11">
      <w:pPr>
        <w:pStyle w:val="72"/>
        <w:numPr>
          <w:ilvl w:val="0"/>
          <w:numId w:val="0"/>
        </w:numPr>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532279F7">
      <w:pPr>
        <w:pStyle w:val="72"/>
        <w:rPr>
          <w:highlight w:val="yellow"/>
        </w:rPr>
      </w:pPr>
      <w:bookmarkStart w:id="7" w:name="_Toc47976592"/>
      <w:r>
        <w:rPr>
          <w:rFonts w:hint="eastAsia"/>
          <w:highlight w:val="yellow"/>
        </w:rPr>
        <w:t>投标文件的递交</w:t>
      </w:r>
      <w:bookmarkEnd w:id="7"/>
    </w:p>
    <w:p w14:paraId="5078995B">
      <w:pPr>
        <w:pStyle w:val="72"/>
        <w:numPr>
          <w:ilvl w:val="0"/>
          <w:numId w:val="0"/>
        </w:numPr>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EDBDA2E">
      <w:pPr>
        <w:pStyle w:val="72"/>
        <w:rPr>
          <w:highlight w:val="yellow"/>
        </w:rPr>
      </w:pPr>
      <w:r>
        <w:rPr>
          <w:rFonts w:hint="eastAsia"/>
          <w:highlight w:val="yellow"/>
        </w:rPr>
        <w:t>开标时间和地点</w:t>
      </w:r>
    </w:p>
    <w:p w14:paraId="0330FFDA">
      <w:pPr>
        <w:pStyle w:val="72"/>
        <w:numPr>
          <w:ilvl w:val="0"/>
          <w:numId w:val="12"/>
        </w:numPr>
        <w:ind w:left="840"/>
        <w:rPr>
          <w:highlight w:val="yellow"/>
        </w:rPr>
      </w:pPr>
      <w:r>
        <w:rPr>
          <w:rFonts w:hint="eastAsia" w:ascii="宋体" w:hAnsi="宋体" w:eastAsia="宋体" w:cs="宋体"/>
          <w:sz w:val="21"/>
          <w:szCs w:val="21"/>
          <w:highlight w:val="yellow"/>
        </w:rPr>
        <w:t>时间：2025年11月19日9:00:00</w:t>
      </w:r>
    </w:p>
    <w:p w14:paraId="139F9509">
      <w:pPr>
        <w:pStyle w:val="72"/>
        <w:numPr>
          <w:ilvl w:val="0"/>
          <w:numId w:val="12"/>
        </w:numPr>
        <w:ind w:left="840"/>
        <w:rPr>
          <w:highlight w:val="yellow"/>
        </w:rPr>
      </w:pPr>
      <w:r>
        <w:rPr>
          <w:rFonts w:hint="eastAsia" w:ascii="宋体" w:hAnsi="宋体" w:eastAsia="宋体" w:cs="宋体"/>
          <w:sz w:val="21"/>
          <w:szCs w:val="21"/>
          <w:highlight w:val="yellow"/>
        </w:rPr>
        <w:t>地点：济南市历城区华奥路777号重汽科技大厦</w:t>
      </w:r>
    </w:p>
    <w:p w14:paraId="457BADA9">
      <w:pPr>
        <w:pStyle w:val="72"/>
      </w:pPr>
      <w:bookmarkStart w:id="8" w:name="_Toc47976593"/>
      <w:r>
        <w:rPr>
          <w:rFonts w:hint="eastAsia"/>
        </w:rPr>
        <w:t>招标公告发布媒介</w:t>
      </w:r>
      <w:bookmarkEnd w:id="8"/>
    </w:p>
    <w:p w14:paraId="46F6901B">
      <w:pPr>
        <w:pStyle w:val="73"/>
        <w:numPr>
          <w:ilvl w:val="0"/>
          <w:numId w:val="0"/>
        </w:numPr>
        <w:ind w:left="1130" w:hanging="420"/>
      </w:pPr>
      <w:r>
        <w:rPr>
          <w:rFonts w:hint="eastAsia"/>
        </w:rPr>
        <w:t xml:space="preserve">本次招标公告同时在 </w:t>
      </w:r>
      <w:r>
        <w:rPr>
          <w:rFonts w:hint="eastAsia"/>
          <w:highlight w:val="yellow"/>
        </w:rPr>
        <w:t>中国重型汽车集团有限公司官网、山东省阳光采购平台</w:t>
      </w:r>
      <w:r>
        <w:rPr>
          <w:rFonts w:hint="eastAsia"/>
        </w:rPr>
        <w:t>上发布。</w:t>
      </w:r>
    </w:p>
    <w:p w14:paraId="731F7293">
      <w:pPr>
        <w:pStyle w:val="72"/>
        <w:rPr>
          <w:highlight w:val="yellow"/>
        </w:rPr>
      </w:pPr>
      <w:bookmarkStart w:id="9" w:name="_Toc47976594"/>
      <w:r>
        <w:rPr>
          <w:rFonts w:hint="eastAsia"/>
          <w:highlight w:val="yellow"/>
        </w:rPr>
        <w:t>联系方式</w:t>
      </w:r>
      <w:bookmarkEnd w:id="9"/>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297A6E13">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吴长国</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电话：13588891716</w:t>
      </w:r>
    </w:p>
    <w:p w14:paraId="40F45A0D">
      <w:pPr>
        <w:pStyle w:val="72"/>
        <w:numPr>
          <w:ilvl w:val="0"/>
          <w:numId w:val="0"/>
        </w:numPr>
        <w:ind w:firstLine="422" w:firstLineChars="200"/>
      </w:pPr>
      <w:r>
        <w:rPr>
          <w:rFonts w:hint="eastAsia" w:ascii="宋体" w:hAnsi="宋体" w:eastAsia="宋体" w:cs="宋体"/>
          <w:sz w:val="21"/>
          <w:szCs w:val="21"/>
        </w:rPr>
        <w:t>邮箱：</w:t>
      </w:r>
      <w:r>
        <w:rPr>
          <w:rFonts w:hint="eastAsia" w:hAnsi="宋体" w:cs="宋体"/>
          <w:sz w:val="21"/>
          <w:szCs w:val="21"/>
        </w:rPr>
        <w:t>13588891716@126.com</w:t>
      </w:r>
    </w:p>
    <w:p w14:paraId="1A66BC2B">
      <w:pPr>
        <w:pStyle w:val="76"/>
      </w:pPr>
    </w:p>
    <w:p w14:paraId="348F73D8">
      <w:pPr>
        <w:pStyle w:val="76"/>
      </w:pPr>
    </w:p>
    <w:p w14:paraId="720FD2EE">
      <w:pPr>
        <w:pStyle w:val="76"/>
        <w:jc w:val="both"/>
        <w:rPr>
          <w:highlight w:val="cyan"/>
          <w:u w:val="single"/>
        </w:rPr>
      </w:pPr>
    </w:p>
    <w:p w14:paraId="47B9B668">
      <w:pPr>
        <w:pStyle w:val="76"/>
        <w:jc w:val="right"/>
        <w:rPr>
          <w:highlight w:val="cyan"/>
          <w:u w:val="single"/>
        </w:rPr>
      </w:pPr>
    </w:p>
    <w:p w14:paraId="0754C049">
      <w:pPr>
        <w:pStyle w:val="76"/>
        <w:jc w:val="right"/>
        <w:rPr>
          <w:highlight w:val="cyan"/>
          <w:u w:val="single"/>
        </w:rPr>
      </w:pPr>
    </w:p>
    <w:p w14:paraId="2360017F">
      <w:pPr>
        <w:pStyle w:val="76"/>
        <w:ind w:firstLine="6510" w:firstLineChars="3100"/>
        <w:jc w:val="both"/>
      </w:pPr>
      <w:r>
        <w:rPr>
          <w:rFonts w:hint="eastAsia"/>
          <w:u w:val="single"/>
        </w:rPr>
        <w:t>2025</w:t>
      </w:r>
      <w:r>
        <w:rPr>
          <w:rFonts w:hint="eastAsia"/>
        </w:rPr>
        <w:t>年10月21日</w:t>
      </w:r>
    </w:p>
    <w:p w14:paraId="502FC846">
      <w:pPr>
        <w:pStyle w:val="76"/>
      </w:pPr>
    </w:p>
    <w:p w14:paraId="28B582EE">
      <w:pPr>
        <w:pStyle w:val="71"/>
      </w:pPr>
      <w:bookmarkStart w:id="10" w:name="_Toc47976595"/>
      <w:bookmarkStart w:id="11" w:name="_Toc7753"/>
      <w:r>
        <w:rPr>
          <w:rFonts w:hint="eastAsia"/>
        </w:rPr>
        <w:t>第一部分  投标人须知</w:t>
      </w:r>
      <w:bookmarkEnd w:id="10"/>
      <w:bookmarkEnd w:id="11"/>
    </w:p>
    <w:p w14:paraId="5476AAF2">
      <w:pPr>
        <w:pStyle w:val="72"/>
        <w:numPr>
          <w:ilvl w:val="0"/>
          <w:numId w:val="13"/>
        </w:numPr>
        <w:ind w:left="420"/>
        <w:jc w:val="left"/>
      </w:pPr>
      <w:bookmarkStart w:id="12" w:name="_Toc47976596"/>
      <w:r>
        <w:rPr>
          <w:rFonts w:hint="eastAsia"/>
        </w:rPr>
        <w:t>项目介绍</w:t>
      </w:r>
      <w:bookmarkEnd w:id="12"/>
    </w:p>
    <w:p w14:paraId="2D92F9CA">
      <w:pPr>
        <w:pStyle w:val="76"/>
        <w:numPr>
          <w:ilvl w:val="0"/>
          <w:numId w:val="14"/>
        </w:numPr>
      </w:pPr>
      <w:r>
        <w:rPr>
          <w:rFonts w:hint="eastAsia"/>
        </w:rPr>
        <w:t>项目名称：</w:t>
      </w:r>
      <w:r>
        <w:rPr>
          <w:rFonts w:hint="eastAsia"/>
          <w:highlight w:val="yellow"/>
        </w:rPr>
        <w:t>缸盖制芯线工艺布局优化改造技改项目</w:t>
      </w:r>
    </w:p>
    <w:p w14:paraId="272F4879">
      <w:pPr>
        <w:pStyle w:val="76"/>
        <w:numPr>
          <w:ilvl w:val="0"/>
          <w:numId w:val="14"/>
        </w:numPr>
      </w:pPr>
      <w:r>
        <w:rPr>
          <w:rFonts w:hint="eastAsia"/>
        </w:rPr>
        <w:t>项目编号：</w:t>
      </w:r>
      <w:r>
        <w:rPr>
          <w:rFonts w:hint="eastAsia"/>
          <w:highlight w:val="yellow"/>
        </w:rPr>
        <w:t>FSCZB2025100099</w:t>
      </w:r>
    </w:p>
    <w:p w14:paraId="0A7AFC40">
      <w:pPr>
        <w:pStyle w:val="76"/>
        <w:numPr>
          <w:ilvl w:val="0"/>
          <w:numId w:val="14"/>
        </w:numPr>
      </w:pPr>
      <w:r>
        <w:rPr>
          <w:rFonts w:hint="eastAsia"/>
        </w:rPr>
        <w:t>招标形式：</w:t>
      </w:r>
      <w:bookmarkStart w:id="13" w:name="_Toc47112482"/>
      <w:r>
        <w:rPr>
          <w:rFonts w:hint="eastAsia"/>
          <w:highlight w:val="yellow"/>
        </w:rPr>
        <w:t>公开招标</w:t>
      </w:r>
    </w:p>
    <w:p w14:paraId="4671EAF1">
      <w:pPr>
        <w:pStyle w:val="76"/>
        <w:numPr>
          <w:ilvl w:val="0"/>
          <w:numId w:val="14"/>
        </w:numPr>
      </w:pPr>
      <w:r>
        <w:rPr>
          <w:rFonts w:hint="eastAsia"/>
        </w:rPr>
        <w:t>项目概况：现有缸盖表干炉于2010年投入使用，担负MC07缸盖芯及部分615缸盖芯烘干，该设备存在烘干区长、炉膛高、燃气消耗及热量损失大、设备劣化严重维修费用高等问题， 615缸盖砂芯采用人工搬运及下芯，人员劳动强度高，易造成砂芯磕碰。本项目通过对缸盖制芯线整线工艺布局进行优化调整，充分利用现有设备资源，在解决上述问题的同时，以降低能耗、提升自动化率。</w:t>
      </w:r>
    </w:p>
    <w:p w14:paraId="50A8239A">
      <w:pPr>
        <w:pStyle w:val="76"/>
        <w:numPr>
          <w:ilvl w:val="0"/>
          <w:numId w:val="14"/>
        </w:numPr>
      </w:pPr>
      <w:r>
        <w:rPr>
          <w:rFonts w:hint="eastAsia"/>
        </w:rPr>
        <w:t>招标内容具体要求详见《技术标书》。</w:t>
      </w:r>
    </w:p>
    <w:p w14:paraId="4F67DE2B">
      <w:pPr>
        <w:pStyle w:val="76"/>
        <w:numPr>
          <w:ilvl w:val="0"/>
          <w:numId w:val="14"/>
        </w:numPr>
      </w:pPr>
      <w:r>
        <w:rPr>
          <w:rFonts w:hint="eastAsia"/>
        </w:rPr>
        <w:t>报价：</w:t>
      </w:r>
      <w:r>
        <w:rPr>
          <w:rFonts w:hint="eastAsia"/>
          <w:b/>
          <w:bCs/>
          <w:color w:val="FF0000"/>
          <w:highlight w:val="yellow"/>
        </w:rPr>
        <w:t>报价应包含币种、不含税金额、税率及价税合计金额</w:t>
      </w:r>
    </w:p>
    <w:p w14:paraId="5B0F4DE0">
      <w:pPr>
        <w:pStyle w:val="76"/>
        <w:numPr>
          <w:ilvl w:val="0"/>
          <w:numId w:val="14"/>
        </w:numPr>
      </w:pPr>
      <w:r>
        <w:rPr>
          <w:rFonts w:hint="eastAsia"/>
        </w:rPr>
        <w:t>招标人信息：</w:t>
      </w:r>
    </w:p>
    <w:p w14:paraId="306AA2B7">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4E030FA8">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3BA35AA6">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EFE9BFF">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79747B0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4ACE1E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吴长国</w:t>
      </w:r>
    </w:p>
    <w:p w14:paraId="4201677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电话：13588891716</w:t>
      </w:r>
    </w:p>
    <w:p w14:paraId="5BB1FCF6">
      <w:pPr>
        <w:pStyle w:val="72"/>
        <w:numPr>
          <w:ilvl w:val="0"/>
          <w:numId w:val="0"/>
        </w:numPr>
        <w:ind w:firstLine="422" w:firstLineChars="200"/>
      </w:pPr>
      <w:r>
        <w:rPr>
          <w:rFonts w:hint="eastAsia" w:ascii="宋体" w:hAnsi="宋体" w:eastAsia="宋体" w:cs="宋体"/>
          <w:sz w:val="21"/>
          <w:szCs w:val="21"/>
        </w:rPr>
        <w:t>邮箱：</w:t>
      </w:r>
      <w:r>
        <w:rPr>
          <w:rFonts w:hint="eastAsia" w:hAnsi="宋体" w:cs="宋体"/>
          <w:sz w:val="21"/>
          <w:szCs w:val="21"/>
        </w:rPr>
        <w:t>13588891716@126.com</w:t>
      </w:r>
    </w:p>
    <w:bookmarkEnd w:id="13"/>
    <w:p w14:paraId="7685F194">
      <w:pPr>
        <w:pStyle w:val="72"/>
      </w:pPr>
      <w:bookmarkStart w:id="14" w:name="_Toc47976598"/>
      <w:r>
        <w:rPr>
          <w:rFonts w:hint="eastAsia"/>
        </w:rPr>
        <w:t>合格的投标人。</w:t>
      </w:r>
      <w:bookmarkEnd w:id="14"/>
    </w:p>
    <w:p w14:paraId="1342F8BC">
      <w:pPr>
        <w:pStyle w:val="73"/>
        <w:numPr>
          <w:ilvl w:val="0"/>
          <w:numId w:val="10"/>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035A1C6D">
      <w:pPr>
        <w:pStyle w:val="73"/>
        <w:numPr>
          <w:ilvl w:val="0"/>
          <w:numId w:val="10"/>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highlight w:val="yellow"/>
          <w:u w:val="single"/>
        </w:rPr>
        <w:t xml:space="preserve"> 1000  </w:t>
      </w:r>
      <w:r>
        <w:rPr>
          <w:rFonts w:hint="eastAsia"/>
          <w:b w:val="0"/>
          <w:bCs/>
        </w:rPr>
        <w:t>万人民币（或等值其他货币）；公司成立</w:t>
      </w:r>
      <w:r>
        <w:rPr>
          <w:rFonts w:hint="eastAsia"/>
          <w:b w:val="0"/>
          <w:bCs/>
          <w:highlight w:val="yellow"/>
          <w:u w:val="single"/>
        </w:rPr>
        <w:t xml:space="preserve">  3  </w:t>
      </w:r>
      <w:r>
        <w:rPr>
          <w:rFonts w:hint="eastAsia"/>
          <w:b w:val="0"/>
          <w:bCs/>
        </w:rPr>
        <w:t>年以上（以营业执照成立日期到开标当日满</w:t>
      </w:r>
      <w:r>
        <w:rPr>
          <w:rFonts w:hint="eastAsia"/>
          <w:b w:val="0"/>
          <w:bCs/>
          <w:highlight w:val="yellow"/>
          <w:u w:val="single"/>
        </w:rPr>
        <w:t xml:space="preserve"> 3 </w:t>
      </w:r>
      <w:r>
        <w:rPr>
          <w:rFonts w:hint="eastAsia"/>
          <w:b w:val="0"/>
          <w:bCs/>
        </w:rPr>
        <w:t>年为准），且经营范围满足招标人需求；并在人员、设备、资金等方面具有承担本项目的能力；</w:t>
      </w:r>
    </w:p>
    <w:p w14:paraId="73F60951">
      <w:pPr>
        <w:pStyle w:val="73"/>
        <w:numPr>
          <w:ilvl w:val="0"/>
          <w:numId w:val="10"/>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76B3D88F">
      <w:pPr>
        <w:pStyle w:val="73"/>
        <w:numPr>
          <w:ilvl w:val="0"/>
          <w:numId w:val="10"/>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52E3CD75">
      <w:pPr>
        <w:pStyle w:val="73"/>
        <w:numPr>
          <w:ilvl w:val="0"/>
          <w:numId w:val="10"/>
        </w:numPr>
        <w:ind w:left="0" w:firstLine="0"/>
        <w:rPr>
          <w:b w:val="0"/>
          <w:bCs/>
        </w:rPr>
      </w:pPr>
      <w:r>
        <w:rPr>
          <w:rFonts w:hint="eastAsia"/>
          <w:b w:val="0"/>
          <w:bCs/>
        </w:rPr>
        <w:t>无招标违规、谎报年度报告信息、提供虚假资质资料等行为或其他行政处罚记录；</w:t>
      </w:r>
    </w:p>
    <w:p w14:paraId="0E89A1EC">
      <w:pPr>
        <w:pStyle w:val="73"/>
        <w:numPr>
          <w:ilvl w:val="0"/>
          <w:numId w:val="10"/>
        </w:numPr>
        <w:ind w:left="0" w:firstLine="0"/>
        <w:rPr>
          <w:b w:val="0"/>
          <w:bCs/>
        </w:rPr>
      </w:pPr>
      <w:r>
        <w:rPr>
          <w:rFonts w:hint="eastAsia"/>
          <w:b w:val="0"/>
          <w:bCs/>
        </w:rPr>
        <w:t>近三年内在经营活动中无与本项目有关的违法及重大违规情况；</w:t>
      </w:r>
    </w:p>
    <w:p w14:paraId="4E6640AC">
      <w:pPr>
        <w:pStyle w:val="73"/>
        <w:numPr>
          <w:ilvl w:val="0"/>
          <w:numId w:val="10"/>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6A9A62D2">
      <w:pPr>
        <w:pStyle w:val="73"/>
        <w:numPr>
          <w:ilvl w:val="0"/>
          <w:numId w:val="10"/>
        </w:numPr>
        <w:ind w:left="0" w:firstLine="0"/>
        <w:rPr>
          <w:b w:val="0"/>
          <w:bCs/>
        </w:rPr>
      </w:pPr>
      <w:r>
        <w:rPr>
          <w:rFonts w:hint="eastAsia"/>
          <w:b w:val="0"/>
          <w:bCs/>
        </w:rPr>
        <w:t>公司经营范围满足招标项目需求；</w:t>
      </w:r>
    </w:p>
    <w:p w14:paraId="20295DB8">
      <w:pPr>
        <w:pStyle w:val="73"/>
        <w:numPr>
          <w:ilvl w:val="0"/>
          <w:numId w:val="10"/>
        </w:numPr>
        <w:ind w:left="0" w:firstLine="0"/>
        <w:rPr>
          <w:b w:val="0"/>
          <w:bCs/>
        </w:rPr>
      </w:pPr>
      <w:r>
        <w:rPr>
          <w:rFonts w:hint="eastAsia"/>
          <w:b w:val="0"/>
          <w:bCs/>
        </w:rPr>
        <w:t>投标人须具有履行招标文件所有设备、专业技术等要求的能力；</w:t>
      </w:r>
    </w:p>
    <w:p w14:paraId="2DEE533F">
      <w:pPr>
        <w:pStyle w:val="73"/>
        <w:numPr>
          <w:ilvl w:val="0"/>
          <w:numId w:val="10"/>
        </w:numPr>
        <w:ind w:left="0" w:firstLine="0"/>
        <w:rPr>
          <w:b w:val="0"/>
          <w:bCs/>
        </w:rPr>
      </w:pPr>
      <w:r>
        <w:rPr>
          <w:rFonts w:hint="eastAsia"/>
          <w:b w:val="0"/>
          <w:bCs/>
        </w:rPr>
        <w:t>投标人须有依法缴纳税收和社会保障资金的良好记录；</w:t>
      </w:r>
    </w:p>
    <w:p w14:paraId="46D1F003">
      <w:pPr>
        <w:pStyle w:val="73"/>
        <w:numPr>
          <w:ilvl w:val="0"/>
          <w:numId w:val="10"/>
        </w:numPr>
        <w:ind w:left="0" w:firstLine="0"/>
        <w:rPr>
          <w:b w:val="0"/>
          <w:bCs/>
        </w:rPr>
      </w:pPr>
      <w:r>
        <w:rPr>
          <w:rFonts w:hint="eastAsia"/>
          <w:b w:val="0"/>
          <w:bCs/>
        </w:rPr>
        <w:t>具有本次招标货物的供货、安装、售后服务等的相应资质；</w:t>
      </w:r>
    </w:p>
    <w:p w14:paraId="3B8926E1">
      <w:pPr>
        <w:pStyle w:val="73"/>
        <w:numPr>
          <w:ilvl w:val="0"/>
          <w:numId w:val="10"/>
        </w:numPr>
        <w:ind w:left="0" w:firstLine="0"/>
        <w:rPr>
          <w:b w:val="0"/>
          <w:bCs/>
        </w:rPr>
      </w:pPr>
      <w:r>
        <w:rPr>
          <w:rFonts w:hint="eastAsia"/>
          <w:b w:val="0"/>
          <w:bCs/>
        </w:rPr>
        <w:t>投标人须负责提供合理的便于运输的包装物，并承担相关费用；</w:t>
      </w:r>
    </w:p>
    <w:p w14:paraId="27070596">
      <w:pPr>
        <w:pStyle w:val="73"/>
        <w:numPr>
          <w:ilvl w:val="0"/>
          <w:numId w:val="10"/>
        </w:numPr>
        <w:ind w:left="0" w:firstLine="0"/>
        <w:rPr>
          <w:b w:val="0"/>
          <w:bCs/>
        </w:rPr>
      </w:pPr>
      <w:r>
        <w:rPr>
          <w:rFonts w:hint="eastAsia"/>
          <w:b w:val="0"/>
          <w:bCs/>
        </w:rPr>
        <w:t>投标人须认可招标人的工作指令，包括节、假日能正常开展工作的要求。</w:t>
      </w:r>
    </w:p>
    <w:p w14:paraId="16EFE4C6">
      <w:pPr>
        <w:pStyle w:val="73"/>
        <w:numPr>
          <w:ilvl w:val="0"/>
          <w:numId w:val="10"/>
        </w:numPr>
        <w:ind w:left="0" w:firstLine="0"/>
        <w:rPr>
          <w:b w:val="0"/>
          <w:bCs/>
        </w:rPr>
      </w:pPr>
      <w:r>
        <w:rPr>
          <w:rFonts w:hint="eastAsia"/>
          <w:b w:val="0"/>
          <w:bCs/>
        </w:rPr>
        <w:t>拟投标人的直接或间接股东、法定代表人、董事、监事、高管非重汽员工及其亲属；</w:t>
      </w:r>
    </w:p>
    <w:p w14:paraId="11C58603">
      <w:pPr>
        <w:pStyle w:val="73"/>
        <w:numPr>
          <w:ilvl w:val="0"/>
          <w:numId w:val="10"/>
        </w:numPr>
        <w:ind w:left="0" w:firstLine="0"/>
        <w:rPr>
          <w:b w:val="0"/>
          <w:bCs/>
        </w:rPr>
      </w:pPr>
      <w:r>
        <w:rPr>
          <w:rFonts w:hint="eastAsia"/>
          <w:b w:val="0"/>
          <w:bCs/>
        </w:rPr>
        <w:t>投标人必须是最终投标、签订合同的单位，不得以任何理由将已中标项目以任何形式转包或者分包给其他单位；</w:t>
      </w:r>
    </w:p>
    <w:p w14:paraId="3F499FBA">
      <w:pPr>
        <w:pStyle w:val="73"/>
        <w:numPr>
          <w:ilvl w:val="0"/>
          <w:numId w:val="10"/>
        </w:numPr>
        <w:ind w:left="0" w:firstLine="0"/>
        <w:rPr>
          <w:color w:val="FF0000"/>
        </w:rPr>
      </w:pPr>
      <w:r>
        <w:rPr>
          <w:rFonts w:hint="eastAsia"/>
          <w:b w:val="0"/>
          <w:bCs/>
        </w:rPr>
        <w:t>本次招标项目</w:t>
      </w:r>
      <w:r>
        <w:rPr>
          <w:rFonts w:hint="eastAsia"/>
          <w:b w:val="0"/>
          <w:bCs/>
          <w:highlight w:val="yellow"/>
        </w:rPr>
        <w:t>不接受</w:t>
      </w:r>
      <w:r>
        <w:rPr>
          <w:rFonts w:hint="eastAsia"/>
          <w:b w:val="0"/>
          <w:bCs/>
        </w:rPr>
        <w:t>联合体投标；</w:t>
      </w:r>
    </w:p>
    <w:p w14:paraId="332B99BA">
      <w:pPr>
        <w:pStyle w:val="73"/>
        <w:numPr>
          <w:ilvl w:val="0"/>
          <w:numId w:val="10"/>
        </w:numPr>
        <w:ind w:left="0" w:firstLine="0"/>
        <w:rPr>
          <w:b w:val="0"/>
          <w:bCs/>
        </w:rPr>
      </w:pPr>
      <w:r>
        <w:rPr>
          <w:rFonts w:hint="eastAsia"/>
          <w:b w:val="0"/>
          <w:bCs/>
        </w:rPr>
        <w:t>法律、行政法规规定的其他条件；</w:t>
      </w:r>
    </w:p>
    <w:p w14:paraId="76DAC21B">
      <w:pPr>
        <w:pStyle w:val="72"/>
      </w:pPr>
      <w:r>
        <w:rPr>
          <w:rFonts w:hint="eastAsia"/>
        </w:rPr>
        <w:t>招标文件的领取、答疑、应标及投标报名</w:t>
      </w:r>
    </w:p>
    <w:p w14:paraId="13377097">
      <w:pPr>
        <w:pStyle w:val="76"/>
        <w:numPr>
          <w:ilvl w:val="0"/>
          <w:numId w:val="15"/>
        </w:numPr>
        <w:jc w:val="both"/>
      </w:pPr>
      <w:r>
        <w:rPr>
          <w:rFonts w:hint="eastAsia"/>
        </w:rPr>
        <w:t>发标时间：</w:t>
      </w:r>
      <w:r>
        <w:rPr>
          <w:rFonts w:hint="eastAsia"/>
          <w:highlight w:val="yellow"/>
        </w:rPr>
        <w:t>2025年10月21日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领取截止时间：2025年10月28日</w:t>
      </w:r>
    </w:p>
    <w:p w14:paraId="5C0DE0CA">
      <w:pPr>
        <w:pStyle w:val="76"/>
        <w:numPr>
          <w:ilvl w:val="0"/>
          <w:numId w:val="15"/>
        </w:numPr>
        <w:jc w:val="both"/>
      </w:pPr>
      <w:r>
        <w:rPr>
          <w:rFonts w:hint="eastAsia"/>
        </w:rPr>
        <w:t>答疑时间：</w:t>
      </w:r>
      <w:r>
        <w:rPr>
          <w:rFonts w:hint="eastAsia"/>
          <w:highlight w:val="yellow"/>
        </w:rPr>
        <w:t>2025年10月28日</w:t>
      </w:r>
      <w:r>
        <w:rPr>
          <w:rFonts w:hint="eastAsia" w:hAnsi="宋体" w:cs="宋体"/>
          <w:bCs/>
          <w:szCs w:val="21"/>
          <w:highlight w:val="yellow"/>
        </w:rPr>
        <w:t>12:00:00</w:t>
      </w:r>
      <w:r>
        <w:rPr>
          <w:rFonts w:hint="eastAsia"/>
          <w:highlight w:val="yellow"/>
        </w:rPr>
        <w:t>前</w:t>
      </w:r>
    </w:p>
    <w:p w14:paraId="59B659CC">
      <w:pPr>
        <w:pStyle w:val="76"/>
        <w:numPr>
          <w:ilvl w:val="0"/>
          <w:numId w:val="15"/>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56EDEB41">
      <w:pPr>
        <w:pStyle w:val="76"/>
        <w:numPr>
          <w:ilvl w:val="0"/>
          <w:numId w:val="15"/>
        </w:numPr>
        <w:jc w:val="both"/>
      </w:pPr>
      <w:r>
        <w:rPr>
          <w:rFonts w:hint="eastAsia"/>
        </w:rPr>
        <w:t>领取答疑、澄清和修改文件时间：</w:t>
      </w:r>
      <w:r>
        <w:rPr>
          <w:rFonts w:hint="eastAsia"/>
          <w:highlight w:val="yellow"/>
        </w:rPr>
        <w:t>2025年10月28日</w:t>
      </w:r>
      <w:r>
        <w:rPr>
          <w:rFonts w:hint="eastAsia" w:hAnsi="宋体" w:cs="宋体"/>
          <w:bCs/>
          <w:szCs w:val="21"/>
          <w:highlight w:val="yellow"/>
        </w:rPr>
        <w:t>17:00:00</w:t>
      </w:r>
      <w:r>
        <w:rPr>
          <w:rFonts w:hint="eastAsia"/>
          <w:highlight w:val="yellow"/>
        </w:rPr>
        <w:t>前：</w:t>
      </w:r>
    </w:p>
    <w:p w14:paraId="079A5769">
      <w:pPr>
        <w:pStyle w:val="76"/>
        <w:numPr>
          <w:ilvl w:val="0"/>
          <w:numId w:val="15"/>
        </w:numPr>
        <w:ind w:left="0" w:firstLine="0"/>
        <w:jc w:val="both"/>
      </w:pPr>
      <w:r>
        <w:rPr>
          <w:rFonts w:hint="eastAsia"/>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2BE651EE">
      <w:pPr>
        <w:pStyle w:val="76"/>
        <w:numPr>
          <w:ilvl w:val="0"/>
          <w:numId w:val="15"/>
        </w:numPr>
        <w:jc w:val="both"/>
        <w:rPr>
          <w:highlight w:val="yellow"/>
        </w:rPr>
      </w:pPr>
      <w:r>
        <w:rPr>
          <w:rFonts w:hint="eastAsia"/>
          <w:highlight w:val="yellow"/>
        </w:rPr>
        <w:t>应标截止时间：</w:t>
      </w:r>
      <w:r>
        <w:rPr>
          <w:rFonts w:hint="eastAsia" w:hAnsi="宋体" w:cs="宋体"/>
          <w:sz w:val="24"/>
          <w:szCs w:val="24"/>
          <w:highlight w:val="yellow"/>
        </w:rPr>
        <w:t>2025年10月28日</w:t>
      </w:r>
      <w:r>
        <w:rPr>
          <w:rFonts w:hint="eastAsia" w:hAnsi="宋体" w:cs="宋体"/>
          <w:bCs/>
          <w:sz w:val="24"/>
          <w:szCs w:val="24"/>
          <w:highlight w:val="yellow"/>
        </w:rPr>
        <w:t>17:00:00</w:t>
      </w:r>
      <w:r>
        <w:rPr>
          <w:rFonts w:hint="eastAsia" w:cs="宋体"/>
          <w:bCs/>
          <w:highlight w:val="yellow"/>
        </w:rPr>
        <w:t>前</w:t>
      </w:r>
    </w:p>
    <w:p w14:paraId="7E263438">
      <w:pPr>
        <w:pStyle w:val="76"/>
        <w:numPr>
          <w:ilvl w:val="0"/>
          <w:numId w:val="15"/>
        </w:numPr>
        <w:jc w:val="both"/>
        <w:rPr>
          <w:b/>
          <w:bCs/>
          <w:highlight w:val="yellow"/>
        </w:rPr>
      </w:pPr>
      <w:r>
        <w:rPr>
          <w:rFonts w:hAnsi="宋体" w:cs="宋体"/>
          <w:b/>
          <w:bCs/>
          <w:sz w:val="24"/>
          <w:szCs w:val="24"/>
        </w:rPr>
        <w:t>强烈建议投标人在应标成功后联系吴老师，13588891716，派人前往项目实施地进行现场踏勘和交流，以便准确了解项目技术及施工改造等要求。</w:t>
      </w:r>
    </w:p>
    <w:p w14:paraId="03051C95">
      <w:pPr>
        <w:pStyle w:val="72"/>
        <w:rPr>
          <w:rFonts w:ascii="宋体" w:eastAsia="宋体"/>
        </w:rPr>
      </w:pPr>
      <w:r>
        <w:rPr>
          <w:rFonts w:hint="eastAsia"/>
        </w:rPr>
        <w:t>投标文件编制</w:t>
      </w:r>
    </w:p>
    <w:p w14:paraId="6D350EFC">
      <w:pPr>
        <w:pStyle w:val="73"/>
        <w:numPr>
          <w:ilvl w:val="0"/>
          <w:numId w:val="16"/>
        </w:numPr>
        <w:ind w:firstLine="0"/>
        <w:rPr>
          <w:b w:val="0"/>
        </w:rPr>
      </w:pPr>
      <w:r>
        <w:rPr>
          <w:rFonts w:hint="eastAsia"/>
          <w:b w:val="0"/>
        </w:rPr>
        <w:t>投标文件的组成</w:t>
      </w:r>
    </w:p>
    <w:p w14:paraId="5CA5707C">
      <w:pPr>
        <w:pStyle w:val="73"/>
        <w:numPr>
          <w:ilvl w:val="0"/>
          <w:numId w:val="0"/>
        </w:numPr>
        <w:rPr>
          <w:b w:val="0"/>
          <w:bCs/>
        </w:rPr>
      </w:pPr>
      <w:r>
        <w:rPr>
          <w:rFonts w:hint="eastAsia"/>
          <w:b w:val="0"/>
          <w:bCs/>
        </w:rPr>
        <w:t>投标人编写的投标文件由《投标文件（资质标）》、《投标文件（技术标）》(若有）、《投标文件（商务标）》（开标一览表）文件组成，共计</w:t>
      </w:r>
      <w:r>
        <w:rPr>
          <w:rFonts w:hint="eastAsia"/>
          <w:b w:val="0"/>
          <w:bCs/>
          <w:highlight w:val="yellow"/>
          <w:u w:val="single"/>
        </w:rPr>
        <w:t xml:space="preserve"> 3 </w:t>
      </w:r>
      <w:r>
        <w:rPr>
          <w:rFonts w:hint="eastAsia"/>
          <w:b w:val="0"/>
          <w:bCs/>
        </w:rPr>
        <w:t>个文件。</w:t>
      </w:r>
    </w:p>
    <w:p w14:paraId="123E2757">
      <w:pPr>
        <w:pStyle w:val="74"/>
        <w:numPr>
          <w:ilvl w:val="0"/>
          <w:numId w:val="17"/>
        </w:numPr>
        <w:rPr>
          <w:b w:val="0"/>
          <w:bCs/>
        </w:rPr>
      </w:pPr>
      <w:r>
        <w:rPr>
          <w:rFonts w:hint="eastAsia"/>
          <w:b w:val="0"/>
          <w:bCs/>
        </w:rPr>
        <w:t>资质文件：</w:t>
      </w:r>
    </w:p>
    <w:p w14:paraId="6112C4BA">
      <w:pPr>
        <w:pStyle w:val="75"/>
        <w:numPr>
          <w:ilvl w:val="0"/>
          <w:numId w:val="18"/>
        </w:numPr>
        <w:rPr>
          <w:bCs/>
        </w:rPr>
      </w:pPr>
      <w:r>
        <w:rPr>
          <w:rFonts w:hint="eastAsia"/>
          <w:bCs/>
        </w:rPr>
        <w:t>法定代表人身份证明；</w:t>
      </w:r>
    </w:p>
    <w:p w14:paraId="36EB9134">
      <w:pPr>
        <w:pStyle w:val="75"/>
        <w:numPr>
          <w:ilvl w:val="0"/>
          <w:numId w:val="18"/>
        </w:numPr>
        <w:rPr>
          <w:bCs/>
        </w:rPr>
      </w:pPr>
      <w:r>
        <w:rPr>
          <w:rFonts w:hint="eastAsia"/>
          <w:bCs/>
        </w:rPr>
        <w:t>法定代表人授权委托书（授权人需带身份证原件）；</w:t>
      </w:r>
    </w:p>
    <w:p w14:paraId="618E0765">
      <w:pPr>
        <w:pStyle w:val="75"/>
        <w:numPr>
          <w:ilvl w:val="0"/>
          <w:numId w:val="18"/>
        </w:numPr>
        <w:rPr>
          <w:bCs/>
        </w:rPr>
      </w:pPr>
      <w:r>
        <w:rPr>
          <w:rFonts w:hint="eastAsia"/>
          <w:bCs/>
        </w:rPr>
        <w:t>营业执照副本原件或复印件并加盖公章；</w:t>
      </w:r>
    </w:p>
    <w:p w14:paraId="0EBF296D">
      <w:pPr>
        <w:pStyle w:val="75"/>
        <w:numPr>
          <w:ilvl w:val="0"/>
          <w:numId w:val="18"/>
        </w:numPr>
        <w:ind w:left="0" w:firstLine="0"/>
        <w:rPr>
          <w:bCs/>
        </w:rPr>
      </w:pPr>
      <w:r>
        <w:rPr>
          <w:rFonts w:hint="eastAsia"/>
          <w:bCs/>
        </w:rPr>
        <w:t>投标人应具有相应生产证明，若非原厂商需提供原厂商授权书（原件或加盖投标单位公章的彩色打印件）；</w:t>
      </w:r>
    </w:p>
    <w:p w14:paraId="51F8CF28">
      <w:pPr>
        <w:pStyle w:val="75"/>
        <w:numPr>
          <w:ilvl w:val="0"/>
          <w:numId w:val="18"/>
        </w:numPr>
        <w:rPr>
          <w:bCs/>
        </w:rPr>
      </w:pPr>
      <w:r>
        <w:rPr>
          <w:rFonts w:hint="eastAsia"/>
          <w:bCs/>
        </w:rPr>
        <w:t>证明投标人满足投标资料表中列出的业绩要求的文件：企业近5年来成功实施类似项目业绩证明，须提供用户清单、采购合同复印件；</w:t>
      </w:r>
    </w:p>
    <w:p w14:paraId="214A1722">
      <w:pPr>
        <w:pStyle w:val="75"/>
        <w:numPr>
          <w:ilvl w:val="0"/>
          <w:numId w:val="18"/>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02A8B52">
      <w:pPr>
        <w:pStyle w:val="75"/>
        <w:numPr>
          <w:ilvl w:val="0"/>
          <w:numId w:val="18"/>
        </w:numPr>
        <w:rPr>
          <w:bCs/>
        </w:rPr>
      </w:pPr>
      <w:r>
        <w:rPr>
          <w:rFonts w:hint="eastAsia"/>
          <w:bCs/>
        </w:rPr>
        <w:t>企业最近半年完税证明、信用证明材料（征信报告）；</w:t>
      </w:r>
    </w:p>
    <w:p w14:paraId="648144C0">
      <w:pPr>
        <w:pStyle w:val="75"/>
        <w:numPr>
          <w:ilvl w:val="0"/>
          <w:numId w:val="18"/>
        </w:numPr>
        <w:rPr>
          <w:bCs/>
        </w:rPr>
      </w:pPr>
      <w:r>
        <w:rPr>
          <w:rFonts w:hint="eastAsia"/>
          <w:bCs/>
        </w:rPr>
        <w:t>年度纳税信用评价信息（可从电子税务局查询截图，需加盖公章）；</w:t>
      </w:r>
    </w:p>
    <w:p w14:paraId="1CBB1998">
      <w:pPr>
        <w:pStyle w:val="75"/>
        <w:numPr>
          <w:ilvl w:val="0"/>
          <w:numId w:val="18"/>
        </w:numPr>
        <w:rPr>
          <w:bCs/>
        </w:rPr>
      </w:pPr>
      <w:r>
        <w:rPr>
          <w:rFonts w:hint="eastAsia"/>
          <w:bCs/>
        </w:rPr>
        <w:t>企业对外担保说明（写明贵单位对外有无对外担保和质押业务，需加盖公章）。</w:t>
      </w:r>
    </w:p>
    <w:p w14:paraId="0CD3FECD">
      <w:pPr>
        <w:pStyle w:val="75"/>
        <w:numPr>
          <w:ilvl w:val="0"/>
          <w:numId w:val="18"/>
        </w:numPr>
        <w:rPr>
          <w:bCs/>
        </w:rPr>
      </w:pPr>
      <w:r>
        <w:rPr>
          <w:rFonts w:hint="eastAsia"/>
          <w:bCs/>
        </w:rPr>
        <w:t>信用中国截图或国家企业信用信息公示系统截图；</w:t>
      </w:r>
    </w:p>
    <w:p w14:paraId="0DB2401A">
      <w:pPr>
        <w:pStyle w:val="75"/>
        <w:numPr>
          <w:ilvl w:val="0"/>
          <w:numId w:val="18"/>
        </w:numPr>
        <w:rPr>
          <w:bCs/>
        </w:rPr>
      </w:pPr>
      <w:r>
        <w:rPr>
          <w:rFonts w:hint="eastAsia"/>
          <w:bCs/>
        </w:rPr>
        <w:t>招标文件中要求的其它资格证明文件。</w:t>
      </w:r>
    </w:p>
    <w:p w14:paraId="4E8581C1">
      <w:pPr>
        <w:pStyle w:val="75"/>
        <w:numPr>
          <w:ilvl w:val="0"/>
          <w:numId w:val="18"/>
        </w:numPr>
        <w:rPr>
          <w:bCs/>
        </w:rPr>
      </w:pPr>
      <w:r>
        <w:rPr>
          <w:rFonts w:hint="eastAsia"/>
          <w:bCs/>
        </w:rPr>
        <w:t>投标保证金缴纳凭证，同时正文描述付款账号、户名、开户行名称、开户行行号、保证金金额。</w:t>
      </w:r>
    </w:p>
    <w:p w14:paraId="6213A98B">
      <w:pPr>
        <w:pStyle w:val="75"/>
        <w:numPr>
          <w:ilvl w:val="0"/>
          <w:numId w:val="18"/>
        </w:numPr>
        <w:rPr>
          <w:bCs/>
        </w:rPr>
      </w:pPr>
      <w:r>
        <w:rPr>
          <w:rFonts w:hint="eastAsia"/>
          <w:bCs/>
        </w:rPr>
        <w:t>保密承诺函（见附件，需盖章）；</w:t>
      </w:r>
    </w:p>
    <w:p w14:paraId="5733588F">
      <w:pPr>
        <w:pStyle w:val="75"/>
        <w:numPr>
          <w:ilvl w:val="0"/>
          <w:numId w:val="19"/>
        </w:numPr>
        <w:ind w:left="10" w:firstLine="0"/>
        <w:rPr>
          <w:bCs/>
        </w:rPr>
      </w:pPr>
      <w:r>
        <w:rPr>
          <w:rFonts w:hint="eastAsia"/>
          <w:bCs/>
        </w:rPr>
        <w:t>对于投标人资质审核不通过的，招标人有权拒绝其投标。</w:t>
      </w:r>
    </w:p>
    <w:p w14:paraId="5880ECB5">
      <w:pPr>
        <w:pStyle w:val="74"/>
        <w:numPr>
          <w:ilvl w:val="0"/>
          <w:numId w:val="17"/>
        </w:numPr>
        <w:rPr>
          <w:b w:val="0"/>
          <w:bCs/>
          <w:highlight w:val="yellow"/>
        </w:rPr>
      </w:pPr>
      <w:r>
        <w:rPr>
          <w:rFonts w:hint="eastAsia"/>
          <w:b w:val="0"/>
          <w:bCs/>
          <w:highlight w:val="yellow"/>
        </w:rPr>
        <w:t>技术标：</w:t>
      </w:r>
    </w:p>
    <w:p w14:paraId="49EC1483">
      <w:pPr>
        <w:pStyle w:val="75"/>
        <w:numPr>
          <w:ilvl w:val="0"/>
          <w:numId w:val="20"/>
        </w:numPr>
        <w:rPr>
          <w:bCs/>
          <w:highlight w:val="yellow"/>
        </w:rPr>
      </w:pPr>
      <w:r>
        <w:rPr>
          <w:rFonts w:hint="eastAsia"/>
          <w:bCs/>
          <w:highlight w:val="yellow"/>
        </w:rPr>
        <w:t>技术配置对比表。</w:t>
      </w:r>
    </w:p>
    <w:p w14:paraId="6F93EAAF">
      <w:pPr>
        <w:pStyle w:val="75"/>
        <w:numPr>
          <w:ilvl w:val="0"/>
          <w:numId w:val="20"/>
        </w:numPr>
        <w:rPr>
          <w:bCs/>
          <w:highlight w:val="yellow"/>
        </w:rPr>
      </w:pPr>
      <w:r>
        <w:rPr>
          <w:rFonts w:hint="eastAsia"/>
          <w:bCs/>
          <w:highlight w:val="yellow"/>
        </w:rPr>
        <w:t>投标设备配置明细表；</w:t>
      </w:r>
    </w:p>
    <w:p w14:paraId="69461AFE">
      <w:pPr>
        <w:pStyle w:val="75"/>
        <w:numPr>
          <w:ilvl w:val="0"/>
          <w:numId w:val="20"/>
        </w:numPr>
        <w:rPr>
          <w:bCs/>
          <w:highlight w:val="yellow"/>
        </w:rPr>
      </w:pPr>
      <w:r>
        <w:rPr>
          <w:rFonts w:hint="eastAsia"/>
          <w:bCs/>
          <w:highlight w:val="yellow"/>
        </w:rPr>
        <w:t>技术规格偏离表；</w:t>
      </w:r>
    </w:p>
    <w:p w14:paraId="606905CF">
      <w:pPr>
        <w:pStyle w:val="75"/>
        <w:numPr>
          <w:ilvl w:val="0"/>
          <w:numId w:val="20"/>
        </w:numPr>
        <w:rPr>
          <w:bCs/>
          <w:highlight w:val="yellow"/>
        </w:rPr>
      </w:pPr>
      <w:r>
        <w:rPr>
          <w:rFonts w:hint="eastAsia"/>
          <w:bCs/>
          <w:highlight w:val="yellow"/>
        </w:rPr>
        <w:t>技术性能、参数的描述；</w:t>
      </w:r>
      <w:r>
        <w:rPr>
          <w:bCs/>
          <w:highlight w:val="yellow"/>
        </w:rPr>
        <w:t xml:space="preserve"> </w:t>
      </w:r>
    </w:p>
    <w:p w14:paraId="0E03F56A">
      <w:pPr>
        <w:pStyle w:val="75"/>
        <w:numPr>
          <w:ilvl w:val="0"/>
          <w:numId w:val="20"/>
        </w:numPr>
        <w:rPr>
          <w:bCs/>
          <w:highlight w:val="yellow"/>
        </w:rPr>
      </w:pPr>
      <w:r>
        <w:rPr>
          <w:rFonts w:hint="eastAsia"/>
          <w:bCs/>
          <w:highlight w:val="yellow"/>
        </w:rPr>
        <w:t>备品备件工具材料明细表；</w:t>
      </w:r>
      <w:r>
        <w:rPr>
          <w:bCs/>
          <w:highlight w:val="yellow"/>
        </w:rPr>
        <w:t xml:space="preserve"> </w:t>
      </w:r>
    </w:p>
    <w:p w14:paraId="4EF5BC04">
      <w:pPr>
        <w:pStyle w:val="74"/>
        <w:numPr>
          <w:ilvl w:val="0"/>
          <w:numId w:val="17"/>
        </w:numPr>
        <w:rPr>
          <w:b w:val="0"/>
          <w:bCs/>
        </w:rPr>
      </w:pPr>
      <w:r>
        <w:rPr>
          <w:rFonts w:hint="eastAsia"/>
          <w:b w:val="0"/>
          <w:bCs/>
        </w:rPr>
        <w:t>商务标：</w:t>
      </w:r>
    </w:p>
    <w:p w14:paraId="2BF33B52">
      <w:pPr>
        <w:pStyle w:val="75"/>
        <w:numPr>
          <w:ilvl w:val="0"/>
          <w:numId w:val="21"/>
        </w:numPr>
        <w:rPr>
          <w:bCs/>
          <w:highlight w:val="yellow"/>
        </w:rPr>
      </w:pPr>
      <w:r>
        <w:rPr>
          <w:rFonts w:hint="eastAsia"/>
          <w:bCs/>
          <w:highlight w:val="yellow"/>
        </w:rPr>
        <w:t>开标一览表</w:t>
      </w:r>
    </w:p>
    <w:p w14:paraId="267100E4">
      <w:pPr>
        <w:pStyle w:val="75"/>
        <w:numPr>
          <w:ilvl w:val="0"/>
          <w:numId w:val="21"/>
        </w:numPr>
        <w:rPr>
          <w:bCs/>
          <w:highlight w:val="yellow"/>
        </w:rPr>
      </w:pPr>
      <w:r>
        <w:rPr>
          <w:rFonts w:hint="eastAsia"/>
          <w:bCs/>
          <w:highlight w:val="yellow"/>
        </w:rPr>
        <w:t>投标函（格式见附件）;</w:t>
      </w:r>
    </w:p>
    <w:p w14:paraId="415DFEE4">
      <w:pPr>
        <w:pStyle w:val="75"/>
        <w:numPr>
          <w:ilvl w:val="0"/>
          <w:numId w:val="21"/>
        </w:numPr>
        <w:rPr>
          <w:bCs/>
          <w:highlight w:val="yellow"/>
        </w:rPr>
      </w:pPr>
      <w:r>
        <w:rPr>
          <w:rFonts w:hint="eastAsia"/>
          <w:bCs/>
          <w:highlight w:val="yellow"/>
        </w:rPr>
        <w:t>商务条款偏离表；</w:t>
      </w:r>
    </w:p>
    <w:p w14:paraId="2750AA81">
      <w:pPr>
        <w:pStyle w:val="75"/>
        <w:numPr>
          <w:ilvl w:val="0"/>
          <w:numId w:val="21"/>
        </w:numPr>
        <w:rPr>
          <w:bCs/>
          <w:highlight w:val="yellow"/>
        </w:rPr>
      </w:pPr>
      <w:r>
        <w:rPr>
          <w:rFonts w:hint="eastAsia"/>
          <w:bCs/>
          <w:highlight w:val="yellow"/>
        </w:rPr>
        <w:t>投标货物分项报价表；</w:t>
      </w:r>
    </w:p>
    <w:p w14:paraId="4186F98A">
      <w:pPr>
        <w:pStyle w:val="75"/>
        <w:numPr>
          <w:ilvl w:val="0"/>
          <w:numId w:val="21"/>
        </w:numPr>
        <w:rPr>
          <w:bCs/>
        </w:rPr>
      </w:pPr>
      <w:r>
        <w:rPr>
          <w:rFonts w:hint="eastAsia"/>
          <w:bCs/>
          <w:highlight w:val="yellow"/>
        </w:rPr>
        <w:t>备配件目录价格及折扣报价表</w:t>
      </w:r>
    </w:p>
    <w:p w14:paraId="04DD90B1">
      <w:pPr>
        <w:pStyle w:val="75"/>
        <w:numPr>
          <w:ilvl w:val="0"/>
          <w:numId w:val="19"/>
        </w:numPr>
        <w:ind w:left="10" w:firstLine="0"/>
        <w:rPr>
          <w:bCs/>
        </w:rPr>
      </w:pPr>
      <w:r>
        <w:rPr>
          <w:rFonts w:hint="eastAsia"/>
          <w:bCs/>
        </w:rPr>
        <w:t>商务报价注意内容：最高投标限价（招标控制价）：人民币</w:t>
      </w:r>
      <w:r>
        <w:rPr>
          <w:rFonts w:hint="eastAsia"/>
          <w:bCs/>
          <w:highlight w:val="yellow"/>
          <w:u w:val="single"/>
        </w:rPr>
        <w:t xml:space="preserve"> 81.36 </w:t>
      </w:r>
      <w:r>
        <w:rPr>
          <w:rFonts w:hint="eastAsia"/>
          <w:bCs/>
        </w:rPr>
        <w:t>万元（含</w:t>
      </w:r>
      <w:r>
        <w:rPr>
          <w:rFonts w:hint="eastAsia"/>
          <w:bCs/>
          <w:highlight w:val="yellow"/>
          <w:u w:val="single"/>
        </w:rPr>
        <w:t xml:space="preserve"> 13  </w:t>
      </w:r>
      <w:r>
        <w:rPr>
          <w:rFonts w:hint="eastAsia"/>
          <w:bCs/>
        </w:rPr>
        <w:t>%增值税），超过投标限价无法投标。</w:t>
      </w:r>
    </w:p>
    <w:p w14:paraId="733DFC5C">
      <w:pPr>
        <w:pStyle w:val="73"/>
        <w:numPr>
          <w:ilvl w:val="0"/>
          <w:numId w:val="16"/>
        </w:numPr>
        <w:ind w:firstLine="0"/>
        <w:rPr>
          <w:b w:val="0"/>
        </w:rPr>
      </w:pPr>
      <w:r>
        <w:rPr>
          <w:rFonts w:hint="eastAsia"/>
          <w:b w:val="0"/>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联系人及联系方式：郭朝琛/15275666282</w:t>
      </w:r>
    </w:p>
    <w:p w14:paraId="40D3A77E">
      <w:pPr>
        <w:pStyle w:val="75"/>
        <w:numPr>
          <w:ilvl w:val="0"/>
          <w:numId w:val="22"/>
        </w:numPr>
        <w:rPr>
          <w:bCs/>
          <w:highlight w:val="yellow"/>
        </w:rPr>
      </w:pPr>
      <w:r>
        <w:rPr>
          <w:rFonts w:hint="eastAsia"/>
          <w:bCs/>
        </w:rPr>
        <w:t>投标文件递交截止时间：</w:t>
      </w:r>
      <w:r>
        <w:rPr>
          <w:rFonts w:hint="eastAsia"/>
          <w:bCs/>
          <w:highlight w:val="yellow"/>
        </w:rPr>
        <w:t>2025年11月19日9:00:00</w:t>
      </w:r>
    </w:p>
    <w:p w14:paraId="408D984A">
      <w:pPr>
        <w:pStyle w:val="72"/>
      </w:pPr>
      <w:bookmarkStart w:id="15" w:name="_Toc47976601"/>
      <w:r>
        <w:rPr>
          <w:rFonts w:hint="eastAsia"/>
        </w:rPr>
        <w:t>投标保证金收取、缴纳有效期及罚没</w:t>
      </w:r>
    </w:p>
    <w:p w14:paraId="4A52C213">
      <w:pPr>
        <w:pStyle w:val="72"/>
        <w:numPr>
          <w:ilvl w:val="0"/>
          <w:numId w:val="23"/>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14:paraId="494CEFD8">
      <w:pPr>
        <w:pStyle w:val="72"/>
        <w:numPr>
          <w:ilvl w:val="0"/>
          <w:numId w:val="24"/>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投标保证金的缴纳形式：</w:t>
      </w:r>
      <w:r>
        <w:rPr>
          <w:rFonts w:hint="eastAsia" w:ascii="宋体" w:hAnsi="宋体" w:eastAsia="宋体" w:cs="宋体"/>
          <w:b w:val="0"/>
          <w:bCs w:val="0"/>
          <w:sz w:val="21"/>
          <w:szCs w:val="21"/>
          <w:u w:val="single"/>
        </w:rPr>
        <w:t>提交银行投标保函或从银行基本账户转账</w:t>
      </w:r>
    </w:p>
    <w:p w14:paraId="66FFAE8E">
      <w:pPr>
        <w:pStyle w:val="72"/>
        <w:numPr>
          <w:ilvl w:val="0"/>
          <w:numId w:val="24"/>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highlight w:val="yellow"/>
          <w:u w:val="single"/>
        </w:rPr>
        <w:t xml:space="preserve"> 10000 </w:t>
      </w:r>
      <w:r>
        <w:rPr>
          <w:rFonts w:hint="eastAsia" w:ascii="宋体" w:hAnsi="宋体" w:eastAsia="宋体" w:cs="宋体"/>
          <w:b w:val="0"/>
          <w:bCs w:val="0"/>
          <w:sz w:val="21"/>
          <w:szCs w:val="21"/>
        </w:rPr>
        <w:t>元</w:t>
      </w:r>
    </w:p>
    <w:p w14:paraId="6ECA75D6">
      <w:pPr>
        <w:pStyle w:val="72"/>
        <w:numPr>
          <w:ilvl w:val="0"/>
          <w:numId w:val="24"/>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  中国重汽集团济南动力有限公司</w:t>
      </w:r>
    </w:p>
    <w:p w14:paraId="6CFF2E22">
      <w:pPr>
        <w:pStyle w:val="72"/>
        <w:numPr>
          <w:ilvl w:val="0"/>
          <w:numId w:val="0"/>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rPr>
        <w:t>中国建设银行股份有限公司济南天桥支行</w:t>
      </w:r>
    </w:p>
    <w:p w14:paraId="0882662F">
      <w:pPr>
        <w:pStyle w:val="72"/>
        <w:numPr>
          <w:ilvl w:val="0"/>
          <w:numId w:val="0"/>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rPr>
        <w:t>37001616508050150300</w:t>
      </w:r>
    </w:p>
    <w:p w14:paraId="18C39BC0">
      <w:pPr>
        <w:pStyle w:val="72"/>
        <w:numPr>
          <w:ilvl w:val="0"/>
          <w:numId w:val="0"/>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rPr>
        <w:t>105451000362</w:t>
      </w:r>
    </w:p>
    <w:p w14:paraId="5F4E867C">
      <w:pPr>
        <w:pStyle w:val="75"/>
        <w:numPr>
          <w:ilvl w:val="0"/>
          <w:numId w:val="19"/>
        </w:numPr>
        <w:ind w:left="10" w:firstLine="0"/>
        <w:rPr>
          <w:bCs/>
        </w:rPr>
      </w:pPr>
      <w:r>
        <w:rPr>
          <w:rFonts w:hint="eastAsia"/>
          <w:bCs/>
        </w:rPr>
        <w:t>转账附言：公司名称+项目名称+投标保证金。</w:t>
      </w:r>
    </w:p>
    <w:p w14:paraId="7DBEF5C2">
      <w:pPr>
        <w:pStyle w:val="72"/>
        <w:numPr>
          <w:ilvl w:val="0"/>
          <w:numId w:val="0"/>
        </w:numPr>
        <w:ind w:left="425" w:hanging="425"/>
        <w:rPr>
          <w:rFonts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保证金缴纳截止时间：</w:t>
      </w:r>
      <w:r>
        <w:rPr>
          <w:rFonts w:hint="eastAsia" w:ascii="宋体" w:hAnsi="宋体" w:eastAsia="宋体" w:cs="宋体"/>
          <w:b w:val="0"/>
          <w:bCs w:val="0"/>
          <w:sz w:val="21"/>
          <w:szCs w:val="21"/>
          <w:highlight w:val="yellow"/>
        </w:rPr>
        <w:t>2025年11月19日9：00前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230CAD95">
      <w:pPr>
        <w:pStyle w:val="72"/>
        <w:numPr>
          <w:ilvl w:val="0"/>
          <w:numId w:val="23"/>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286C4E5E">
      <w:pPr>
        <w:pStyle w:val="72"/>
        <w:numPr>
          <w:ilvl w:val="0"/>
          <w:numId w:val="23"/>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56C224C4">
      <w:pPr>
        <w:pStyle w:val="72"/>
        <w:numPr>
          <w:ilvl w:val="0"/>
          <w:numId w:val="23"/>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工作日内予以原路返还（无息）；对于中标方，投标保证金将在签订合同后</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个工作日内原路返还（无息）。</w:t>
      </w:r>
    </w:p>
    <w:p w14:paraId="10EFF3B8">
      <w:pPr>
        <w:pStyle w:val="72"/>
        <w:numPr>
          <w:ilvl w:val="0"/>
          <w:numId w:val="23"/>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15"/>
    <w:p w14:paraId="79E8B64C">
      <w:pPr>
        <w:pStyle w:val="72"/>
      </w:pPr>
      <w:r>
        <w:rPr>
          <w:rFonts w:hint="eastAsia"/>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开标时间：2025年11月19日9:00:00</w:t>
      </w:r>
    </w:p>
    <w:p w14:paraId="79DD4D7D">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开标地点：济南市历城区华奥路777号重汽科技大厦</w:t>
      </w:r>
    </w:p>
    <w:p w14:paraId="09E66380">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开标方式：</w:t>
      </w:r>
    </w:p>
    <w:p w14:paraId="4D9C18C0">
      <w:pPr>
        <w:pStyle w:val="72"/>
        <w:numPr>
          <w:ilvl w:val="0"/>
          <w:numId w:val="26"/>
        </w:numPr>
        <w:ind w:left="11" w:firstLine="0"/>
        <w:rPr>
          <w:rFonts w:ascii="宋体" w:hAnsi="宋体" w:eastAsia="宋体" w:cs="宋体"/>
          <w:color w:val="000000"/>
          <w:sz w:val="21"/>
          <w:szCs w:val="21"/>
        </w:rPr>
      </w:pPr>
      <w:r>
        <w:rPr>
          <w:rFonts w:hint="eastAsia" w:ascii="宋体" w:eastAsia="宋体"/>
          <w:b w:val="0"/>
          <w:sz w:val="21"/>
        </w:rPr>
        <w:t>线上招标：</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招标人创建视频链接，并在报名结束后统一通知。</w:t>
      </w:r>
    </w:p>
    <w:p w14:paraId="1EE18E7F">
      <w:pPr>
        <w:pStyle w:val="72"/>
        <w:numPr>
          <w:ilvl w:val="0"/>
          <w:numId w:val="25"/>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14:paraId="1AC42564">
      <w:pPr>
        <w:pStyle w:val="72"/>
        <w:numPr>
          <w:ilvl w:val="0"/>
          <w:numId w:val="27"/>
        </w:numPr>
        <w:ind w:left="0"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评标方法</w:t>
      </w:r>
    </w:p>
    <w:p w14:paraId="17513206">
      <w:pPr>
        <w:pStyle w:val="75"/>
        <w:numPr>
          <w:ilvl w:val="0"/>
          <w:numId w:val="19"/>
        </w:numPr>
        <w:ind w:left="10" w:firstLine="0"/>
        <w:rPr>
          <w:bCs/>
        </w:rPr>
      </w:pPr>
      <w:r>
        <w:rPr>
          <w:rFonts w:hint="eastAsia"/>
          <w:bCs/>
        </w:rPr>
        <w:t>评标方法（合理最低价中标）</w:t>
      </w:r>
    </w:p>
    <w:p w14:paraId="150386A0">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本次招标采用技术标入围后，原则上合理最低价中标。本着公平、公正、公开的原则，在通过技术标综合评审后入围的前提下，选择合理最低价确定中标人，对未中标单位不做任何解释。</w:t>
      </w:r>
    </w:p>
    <w:p w14:paraId="216CE650">
      <w:pPr>
        <w:pStyle w:val="72"/>
        <w:numPr>
          <w:ilvl w:val="0"/>
          <w:numId w:val="27"/>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评标流程</w:t>
      </w:r>
    </w:p>
    <w:p w14:paraId="35AEAF91">
      <w:pPr>
        <w:numPr>
          <w:ilvl w:val="0"/>
          <w:numId w:val="28"/>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按照第一部分第四条投标文件编制资格证明文件中的1.1-1.11准备资料，上传完毕后，等待审核</w:t>
      </w:r>
      <w:r>
        <w:rPr>
          <w:rFonts w:hint="eastAsia" w:ascii="宋体" w:hAnsi="宋体" w:cs="宋体"/>
          <w:b/>
          <w:color w:val="000000"/>
          <w:szCs w:val="21"/>
        </w:rPr>
        <w:t>；</w:t>
      </w:r>
    </w:p>
    <w:p w14:paraId="68A7441E">
      <w:pPr>
        <w:numPr>
          <w:ilvl w:val="0"/>
          <w:numId w:val="28"/>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3F47BAF4">
      <w:pPr>
        <w:numPr>
          <w:ilvl w:val="0"/>
          <w:numId w:val="28"/>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40185FBC">
      <w:pPr>
        <w:numPr>
          <w:ilvl w:val="0"/>
          <w:numId w:val="28"/>
        </w:numPr>
        <w:spacing w:line="360" w:lineRule="auto"/>
        <w:rPr>
          <w:rFonts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3A3F3BD3">
      <w:pPr>
        <w:numPr>
          <w:ilvl w:val="0"/>
          <w:numId w:val="28"/>
        </w:numPr>
        <w:spacing w:line="360" w:lineRule="auto"/>
        <w:rPr>
          <w:rFonts w:ascii="宋体" w:hAnsi="宋体" w:cs="宋体"/>
          <w:b/>
          <w:bCs/>
          <w:color w:val="000000"/>
          <w:szCs w:val="21"/>
        </w:rPr>
      </w:pPr>
      <w:r>
        <w:rPr>
          <w:rFonts w:hint="eastAsia" w:ascii="宋体" w:hAnsi="宋体" w:cs="宋体"/>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0D50C307">
      <w:pPr>
        <w:numPr>
          <w:ilvl w:val="0"/>
          <w:numId w:val="28"/>
        </w:numPr>
        <w:spacing w:line="360" w:lineRule="auto"/>
        <w:rPr>
          <w:rFonts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14:paraId="58E3BBC8">
      <w:pPr>
        <w:pStyle w:val="75"/>
        <w:numPr>
          <w:ilvl w:val="0"/>
          <w:numId w:val="19"/>
        </w:numPr>
        <w:ind w:left="10" w:firstLine="0"/>
        <w:rPr>
          <w:b/>
        </w:rPr>
      </w:pPr>
      <w:r>
        <w:rPr>
          <w:rFonts w:hint="eastAsia"/>
          <w:b/>
        </w:rPr>
        <w:t>注意：投标人均需要自带笔记本电脑在重汽e采通进行自主投标和提交澄清函；投标和提交澄清函均有时间限制，超时未提交的按无效处理。</w:t>
      </w:r>
    </w:p>
    <w:p w14:paraId="4F08676C">
      <w:pPr>
        <w:pStyle w:val="72"/>
        <w:numPr>
          <w:ilvl w:val="0"/>
          <w:numId w:val="27"/>
        </w:numPr>
        <w:ind w:left="0"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评分标准</w:t>
      </w:r>
    </w:p>
    <w:p w14:paraId="75EC9081">
      <w:pPr>
        <w:pStyle w:val="72"/>
        <w:numPr>
          <w:ilvl w:val="0"/>
          <w:numId w:val="0"/>
        </w:numPr>
        <w:rPr>
          <w:rFonts w:ascii="宋体" w:hAnsi="宋体" w:eastAsia="宋体" w:cs="宋体"/>
          <w:b w:val="0"/>
          <w:bCs w:val="0"/>
          <w:sz w:val="24"/>
          <w:szCs w:val="24"/>
        </w:rPr>
      </w:pPr>
      <w:r>
        <w:drawing>
          <wp:inline distT="0" distB="0" distL="114300" distR="114300">
            <wp:extent cx="5750560" cy="340614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5750560" cy="3406140"/>
                    </a:xfrm>
                    <a:prstGeom prst="rect">
                      <a:avLst/>
                    </a:prstGeom>
                    <a:noFill/>
                    <a:ln>
                      <a:noFill/>
                    </a:ln>
                  </pic:spPr>
                </pic:pic>
              </a:graphicData>
            </a:graphic>
          </wp:inline>
        </w:drawing>
      </w:r>
    </w:p>
    <w:p w14:paraId="24AC919C">
      <w:pPr>
        <w:pStyle w:val="72"/>
      </w:pPr>
      <w:r>
        <w:rPr>
          <w:rFonts w:hint="eastAsia"/>
        </w:rPr>
        <w:t>定标</w:t>
      </w:r>
    </w:p>
    <w:p w14:paraId="0FA9F2E7">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highlight w:val="yellow"/>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51E40E4">
      <w:pPr>
        <w:pStyle w:val="72"/>
      </w:pPr>
      <w:r>
        <w:rPr>
          <w:rFonts w:hint="eastAsia"/>
        </w:rPr>
        <w:t>废标及终止招标</w:t>
      </w:r>
    </w:p>
    <w:p w14:paraId="48228752">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E97FD28">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0288C46C">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093B2620">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21808CBD">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4B2C671F">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44880F10">
      <w:pPr>
        <w:pStyle w:val="2"/>
        <w:spacing w:line="360" w:lineRule="auto"/>
        <w:ind w:left="425" w:hanging="425"/>
        <w:rPr>
          <w:rFonts w:hAnsi="宋体" w:cs="宋体"/>
          <w:szCs w:val="21"/>
        </w:rPr>
      </w:pPr>
      <w:r>
        <w:rPr>
          <w:rFonts w:hAnsi="宋体" w:cs="宋体"/>
          <w:szCs w:val="21"/>
        </w:rPr>
        <w:t>(6)</w:t>
      </w:r>
      <w:r>
        <w:rPr>
          <w:rFonts w:hint="eastAsia" w:hAnsi="宋体" w:cs="宋体"/>
          <w:color w:val="000000"/>
          <w:szCs w:val="21"/>
        </w:rPr>
        <w:t>投标人被举报、检举，并经招标人查实无误的；</w:t>
      </w:r>
    </w:p>
    <w:p w14:paraId="56DAF5C3">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28A27AAF">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66C93168">
      <w:pPr>
        <w:rPr>
          <w:rFonts w:ascii="宋体" w:hAnsi="宋体" w:cs="宋体"/>
          <w:szCs w:val="21"/>
        </w:rPr>
      </w:pPr>
      <w:r>
        <w:rPr>
          <w:rFonts w:ascii="宋体" w:hAnsi="宋体" w:cs="宋体"/>
          <w:szCs w:val="21"/>
        </w:rPr>
        <w:t>(9)</w:t>
      </w:r>
      <w:r>
        <w:rPr>
          <w:rFonts w:hint="eastAsia" w:ascii="宋体" w:hAnsi="宋体" w:cs="宋体"/>
          <w:szCs w:val="21"/>
        </w:rPr>
        <w:t>有效投标不足三家；</w:t>
      </w:r>
    </w:p>
    <w:p w14:paraId="4D930D1F">
      <w:pPr>
        <w:spacing w:line="360" w:lineRule="auto"/>
        <w:ind w:left="425" w:right="2" w:hanging="425"/>
        <w:rPr>
          <w:rFonts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47633E0F">
      <w:pPr>
        <w:spacing w:line="360" w:lineRule="auto"/>
        <w:ind w:left="425" w:right="2" w:hanging="425"/>
        <w:rPr>
          <w:rFonts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5CCF5A54">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325EAAA4">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55A03DCB">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4F791498">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78A1443D">
      <w:pPr>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highlight w:val="yellow"/>
        </w:rPr>
        <w:t>符合条件的投标人或者对招标文件做实质响应的投标人不足三家的；</w:t>
      </w:r>
    </w:p>
    <w:p w14:paraId="5A4E0BA7">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219C0233">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06B00B6F">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6" w:name="OLE_LINK29"/>
      <w:bookmarkStart w:id="17" w:name="OLE_LINK25"/>
      <w:bookmarkStart w:id="18" w:name="OLE_LINK28"/>
      <w:bookmarkStart w:id="19" w:name="OLE_LINK26"/>
      <w:bookmarkStart w:id="20" w:name="OLE_LINK27"/>
      <w:r>
        <w:rPr>
          <w:rFonts w:hint="eastAsia" w:ascii="宋体" w:hAnsi="宋体" w:cs="宋体"/>
          <w:bCs/>
          <w:szCs w:val="21"/>
        </w:rPr>
        <w:t>；</w:t>
      </w:r>
      <w:bookmarkEnd w:id="16"/>
      <w:bookmarkEnd w:id="17"/>
      <w:bookmarkEnd w:id="18"/>
      <w:bookmarkEnd w:id="19"/>
      <w:bookmarkEnd w:id="20"/>
    </w:p>
    <w:p w14:paraId="77BE0110">
      <w:pPr>
        <w:pStyle w:val="2"/>
        <w:spacing w:line="360" w:lineRule="auto"/>
        <w:ind w:left="425" w:hanging="425"/>
        <w:rPr>
          <w:rFonts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455B030A">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2091B14">
      <w:pPr>
        <w:pStyle w:val="72"/>
      </w:pPr>
      <w:r>
        <w:rPr>
          <w:rFonts w:hint="eastAsia"/>
        </w:rPr>
        <w:t>合同签订</w:t>
      </w:r>
    </w:p>
    <w:p w14:paraId="0797A0EF">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3C526D3F">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238BB3D6">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49C7832B">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286D0CF8">
      <w:pPr>
        <w:spacing w:line="360" w:lineRule="auto"/>
        <w:rPr>
          <w:rFonts w:hint="eastAsia" w:ascii="宋体" w:hAnsi="宋体" w:cs="宋体"/>
          <w:b/>
          <w:szCs w:val="21"/>
        </w:rPr>
      </w:pPr>
      <w:r>
        <w:rPr>
          <w:rFonts w:hint="eastAsia" w:ascii="宋体" w:hAnsi="宋体" w:cs="宋体"/>
          <w:b/>
          <w:szCs w:val="21"/>
        </w:rPr>
        <w:t>5.合同以双方最终签署的版本为准。</w:t>
      </w:r>
    </w:p>
    <w:p w14:paraId="03317BCB">
      <w:pPr>
        <w:pStyle w:val="2"/>
        <w:rPr>
          <w:rFonts w:hint="default" w:eastAsia="宋体"/>
          <w:sz w:val="21"/>
          <w:szCs w:val="21"/>
          <w:lang w:val="en-US" w:eastAsia="zh-CN"/>
        </w:rPr>
      </w:pPr>
      <w:r>
        <w:rPr>
          <w:rFonts w:hint="eastAsia" w:hAnsi="宋体" w:cs="宋体"/>
          <w:b/>
          <w:szCs w:val="21"/>
          <w:lang w:val="en-US" w:eastAsia="zh-CN"/>
        </w:rPr>
        <w:t>6.</w:t>
      </w:r>
      <w:r>
        <w:rPr>
          <w:rFonts w:ascii="宋体" w:hAnsi="宋体" w:eastAsia="宋体" w:cs="宋体"/>
          <w:sz w:val="21"/>
          <w:szCs w:val="21"/>
        </w:rPr>
        <w:t>招标人有权指定招标人的关联单位作为合同签订人，与中标人签署相关合同，且具体权利义务以中标人与招标人的关联公司最终签署的合同</w:t>
      </w:r>
      <w:bookmarkStart w:id="43" w:name="_GoBack"/>
      <w:bookmarkEnd w:id="43"/>
      <w:r>
        <w:rPr>
          <w:rFonts w:ascii="宋体" w:hAnsi="宋体" w:eastAsia="宋体" w:cs="宋体"/>
          <w:sz w:val="21"/>
          <w:szCs w:val="21"/>
        </w:rPr>
        <w:t>为准</w:t>
      </w:r>
    </w:p>
    <w:p w14:paraId="1E22D9D4">
      <w:pPr>
        <w:pStyle w:val="72"/>
      </w:pPr>
      <w:r>
        <w:rPr>
          <w:rFonts w:hint="eastAsia"/>
        </w:rPr>
        <w:t>交货及付款</w:t>
      </w:r>
    </w:p>
    <w:p w14:paraId="58AD2FF4">
      <w:pPr>
        <w:pStyle w:val="72"/>
        <w:numPr>
          <w:ilvl w:val="0"/>
          <w:numId w:val="29"/>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付款方式：</w:t>
      </w:r>
    </w:p>
    <w:p w14:paraId="622ED0A6">
      <w:pPr>
        <w:pStyle w:val="72"/>
        <w:numPr>
          <w:ilvl w:val="0"/>
          <w:numId w:val="0"/>
        </w:numPr>
        <w:ind w:left="59"/>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半年期商业汇票（包括银行承兑汇票和商业承兑汇票）；</w:t>
      </w:r>
    </w:p>
    <w:p w14:paraId="3160031D">
      <w:pPr>
        <w:pStyle w:val="72"/>
        <w:numPr>
          <w:ilvl w:val="0"/>
          <w:numId w:val="0"/>
        </w:numPr>
        <w:ind w:left="59"/>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2.付款节点：</w:t>
      </w:r>
    </w:p>
    <w:p w14:paraId="04635AE2">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1、货物完成交付后次月内支付合同金额60%；</w:t>
      </w:r>
    </w:p>
    <w:p w14:paraId="16F97A1A">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2、货物完成安装调试并通过终验收后次月内支付合同金额30%；</w:t>
      </w:r>
    </w:p>
    <w:p w14:paraId="60BE2BE0">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3、合同金额10%的尾款作为项目的质保金，该笔款项在货物完成终验收后第13个月内支付；</w:t>
      </w:r>
    </w:p>
    <w:p w14:paraId="0C99DFF3">
      <w:pPr>
        <w:pStyle w:val="72"/>
      </w:pPr>
      <w:r>
        <w:rPr>
          <w:rFonts w:hint="eastAsia"/>
        </w:rPr>
        <w:t>本次招标最终解释权归中国重汽集团</w:t>
      </w:r>
      <w:r>
        <w:rPr>
          <w:rFonts w:hint="eastAsia"/>
          <w:u w:val="single"/>
        </w:rPr>
        <w:t>济南动力</w:t>
      </w:r>
      <w:r>
        <w:rPr>
          <w:rFonts w:hint="eastAsia"/>
        </w:rPr>
        <w:t>有限公司。</w:t>
      </w:r>
    </w:p>
    <w:p w14:paraId="137AC3D2">
      <w:pPr>
        <w:pStyle w:val="76"/>
      </w:pPr>
    </w:p>
    <w:p w14:paraId="0EC3C9E0">
      <w:bookmarkStart w:id="21" w:name="_Toc47976607"/>
      <w:r>
        <w:rPr>
          <w:rFonts w:hint="eastAsia"/>
        </w:rPr>
        <w:br w:type="page"/>
      </w:r>
    </w:p>
    <w:p w14:paraId="479BB538">
      <w:pPr>
        <w:pStyle w:val="71"/>
      </w:pPr>
      <w:bookmarkStart w:id="22" w:name="_Toc1910"/>
      <w:r>
        <w:rPr>
          <w:rFonts w:hint="eastAsia"/>
        </w:rPr>
        <w:t>第二部分　</w:t>
      </w:r>
      <w:bookmarkEnd w:id="21"/>
      <w:r>
        <w:rPr>
          <w:rFonts w:hint="eastAsia"/>
        </w:rPr>
        <w:t>技术标书</w:t>
      </w:r>
      <w:bookmarkEnd w:id="22"/>
    </w:p>
    <w:p w14:paraId="6BC5B4B6">
      <w:pPr>
        <w:pStyle w:val="2"/>
        <w:jc w:val="center"/>
        <w:rPr>
          <w:rFonts w:ascii="Calibri"/>
          <w:b/>
          <w:bCs/>
          <w:color w:val="000000"/>
          <w:spacing w:val="-8"/>
          <w:sz w:val="52"/>
          <w:szCs w:val="52"/>
        </w:rPr>
      </w:pPr>
      <w:bookmarkStart w:id="23" w:name="_Toc169605877"/>
      <w:r>
        <w:rPr>
          <w:rFonts w:hint="eastAsia" w:ascii="Calibri"/>
          <w:b/>
          <w:bCs/>
          <w:color w:val="000000"/>
          <w:spacing w:val="-8"/>
          <w:sz w:val="52"/>
          <w:szCs w:val="52"/>
        </w:rPr>
        <w:t>中国重汽集团杭州发动机有限公司</w:t>
      </w:r>
    </w:p>
    <w:p w14:paraId="59059740">
      <w:pPr>
        <w:pStyle w:val="2"/>
        <w:jc w:val="center"/>
        <w:rPr>
          <w:rFonts w:ascii="Calibri"/>
          <w:b/>
          <w:bCs/>
          <w:color w:val="000000"/>
          <w:spacing w:val="-8"/>
          <w:sz w:val="52"/>
          <w:szCs w:val="52"/>
        </w:rPr>
      </w:pPr>
      <w:r>
        <w:rPr>
          <w:rFonts w:hint="eastAsia" w:ascii="Calibri"/>
          <w:b/>
          <w:bCs/>
          <w:color w:val="000000"/>
          <w:spacing w:val="-8"/>
          <w:sz w:val="52"/>
          <w:szCs w:val="52"/>
        </w:rPr>
        <w:t xml:space="preserve">缸盖制芯线工艺布局优化改造技改项目 </w:t>
      </w:r>
    </w:p>
    <w:p w14:paraId="42023FD5">
      <w:pPr>
        <w:pStyle w:val="2"/>
        <w:jc w:val="center"/>
        <w:rPr>
          <w:rFonts w:ascii="Calibri"/>
          <w:b/>
          <w:bCs/>
          <w:color w:val="000000"/>
          <w:spacing w:val="-8"/>
          <w:sz w:val="52"/>
          <w:szCs w:val="52"/>
        </w:rPr>
      </w:pPr>
    </w:p>
    <w:p w14:paraId="4C9B1A3C">
      <w:pPr>
        <w:jc w:val="center"/>
        <w:rPr>
          <w:rFonts w:ascii="黑体" w:hAnsi="宋体" w:eastAsia="黑体"/>
          <w:color w:val="000000"/>
          <w:sz w:val="72"/>
          <w:szCs w:val="72"/>
        </w:rPr>
      </w:pPr>
      <w:r>
        <w:rPr>
          <w:rFonts w:hint="eastAsia" w:ascii="黑体" w:hAnsi="宋体"/>
          <w:color w:val="000000"/>
          <w:sz w:val="72"/>
          <w:szCs w:val="72"/>
        </w:rPr>
        <w:t>技</w:t>
      </w:r>
    </w:p>
    <w:p w14:paraId="199F4821">
      <w:pPr>
        <w:jc w:val="center"/>
        <w:rPr>
          <w:rFonts w:ascii="黑体" w:hAnsi="宋体" w:eastAsia="黑体"/>
          <w:color w:val="000000"/>
          <w:sz w:val="72"/>
          <w:szCs w:val="72"/>
        </w:rPr>
      </w:pPr>
      <w:r>
        <w:rPr>
          <w:rFonts w:hint="eastAsia" w:ascii="黑体" w:hAnsi="宋体"/>
          <w:color w:val="000000"/>
          <w:sz w:val="72"/>
          <w:szCs w:val="72"/>
        </w:rPr>
        <w:t>术</w:t>
      </w:r>
    </w:p>
    <w:p w14:paraId="3A4EF03B">
      <w:pPr>
        <w:jc w:val="center"/>
        <w:rPr>
          <w:rFonts w:ascii="黑体" w:hAnsi="宋体" w:eastAsia="黑体"/>
          <w:color w:val="000000"/>
          <w:sz w:val="72"/>
          <w:szCs w:val="72"/>
        </w:rPr>
      </w:pPr>
      <w:r>
        <w:rPr>
          <w:rFonts w:hint="eastAsia" w:ascii="黑体" w:hAnsi="宋体"/>
          <w:color w:val="000000"/>
          <w:sz w:val="72"/>
          <w:szCs w:val="72"/>
        </w:rPr>
        <w:t>标</w:t>
      </w:r>
    </w:p>
    <w:p w14:paraId="4B68E078">
      <w:pPr>
        <w:jc w:val="center"/>
        <w:rPr>
          <w:rFonts w:ascii="黑体" w:hAnsi="宋体" w:eastAsia="黑体"/>
          <w:color w:val="000000"/>
          <w:sz w:val="72"/>
          <w:szCs w:val="72"/>
        </w:rPr>
      </w:pPr>
      <w:r>
        <w:rPr>
          <w:rFonts w:hint="eastAsia" w:ascii="黑体" w:hAnsi="宋体"/>
          <w:color w:val="000000"/>
          <w:sz w:val="72"/>
          <w:szCs w:val="72"/>
        </w:rPr>
        <w:t>书</w:t>
      </w:r>
    </w:p>
    <w:p w14:paraId="38EBA9FA">
      <w:pPr>
        <w:spacing w:line="860" w:lineRule="exact"/>
        <w:ind w:firstLine="1928" w:firstLineChars="600"/>
        <w:rPr>
          <w:rFonts w:ascii="华文仿宋" w:hAnsi="华文仿宋"/>
          <w:b/>
          <w:bCs/>
          <w:sz w:val="32"/>
          <w:szCs w:val="28"/>
        </w:rPr>
      </w:pPr>
      <w:r>
        <w:rPr>
          <w:rFonts w:hint="eastAsia" w:ascii="华文仿宋" w:hAnsi="华文仿宋"/>
          <w:b/>
          <w:bCs/>
          <w:sz w:val="32"/>
          <w:szCs w:val="28"/>
        </w:rPr>
        <w:t>编制：毛 昌 国</w:t>
      </w:r>
    </w:p>
    <w:p w14:paraId="6E01B49A">
      <w:pPr>
        <w:spacing w:line="860" w:lineRule="exact"/>
        <w:ind w:left="1890" w:leftChars="900"/>
        <w:rPr>
          <w:rFonts w:ascii="华文仿宋" w:hAnsi="华文仿宋"/>
          <w:sz w:val="32"/>
          <w:szCs w:val="28"/>
        </w:rPr>
      </w:pPr>
      <w:r>
        <w:rPr>
          <w:rFonts w:hint="eastAsia" w:ascii="华文仿宋" w:hAnsi="华文仿宋"/>
          <w:b/>
          <w:bCs/>
          <w:sz w:val="32"/>
          <w:szCs w:val="28"/>
        </w:rPr>
        <w:t>校对：宋建武</w:t>
      </w:r>
    </w:p>
    <w:p w14:paraId="103FD956">
      <w:pPr>
        <w:spacing w:line="860" w:lineRule="exact"/>
        <w:ind w:left="1890" w:leftChars="900"/>
        <w:rPr>
          <w:rFonts w:ascii="华文仿宋" w:hAnsi="华文仿宋"/>
          <w:b/>
          <w:bCs/>
          <w:sz w:val="32"/>
          <w:szCs w:val="28"/>
        </w:rPr>
      </w:pPr>
      <w:r>
        <w:rPr>
          <w:rFonts w:hint="eastAsia" w:ascii="华文仿宋" w:hAnsi="华文仿宋"/>
          <w:b/>
          <w:bCs/>
          <w:sz w:val="32"/>
          <w:szCs w:val="28"/>
        </w:rPr>
        <w:t>会签：何程</w:t>
      </w:r>
    </w:p>
    <w:p w14:paraId="0F1678F4">
      <w:pPr>
        <w:spacing w:line="860" w:lineRule="exact"/>
        <w:ind w:left="1890" w:leftChars="900"/>
        <w:rPr>
          <w:rFonts w:ascii="华文仿宋" w:hAnsi="华文仿宋"/>
          <w:b/>
          <w:bCs/>
          <w:sz w:val="32"/>
          <w:szCs w:val="28"/>
        </w:rPr>
      </w:pPr>
      <w:r>
        <w:rPr>
          <w:rFonts w:hint="eastAsia" w:ascii="华文仿宋" w:hAnsi="华文仿宋"/>
          <w:b/>
          <w:bCs/>
          <w:sz w:val="32"/>
          <w:szCs w:val="28"/>
        </w:rPr>
        <w:t>审核：钟晓渝</w:t>
      </w:r>
    </w:p>
    <w:p w14:paraId="70FDA39B">
      <w:pPr>
        <w:spacing w:line="860" w:lineRule="exact"/>
        <w:ind w:left="1890" w:leftChars="900"/>
        <w:rPr>
          <w:rFonts w:ascii="华文仿宋" w:hAnsi="华文仿宋"/>
          <w:b/>
          <w:bCs/>
          <w:sz w:val="32"/>
          <w:szCs w:val="28"/>
        </w:rPr>
      </w:pPr>
      <w:r>
        <w:rPr>
          <w:rFonts w:hint="eastAsia" w:ascii="华文仿宋" w:hAnsi="华文仿宋"/>
          <w:b/>
          <w:bCs/>
          <w:sz w:val="32"/>
          <w:szCs w:val="28"/>
        </w:rPr>
        <w:t>批准：姜爱良</w:t>
      </w:r>
    </w:p>
    <w:p w14:paraId="2A347482">
      <w:pPr>
        <w:pStyle w:val="2"/>
        <w:rPr>
          <w:rFonts w:ascii="华文仿宋" w:hAnsi="华文仿宋" w:eastAsia="华文仿宋"/>
          <w:b/>
          <w:bCs/>
          <w:sz w:val="32"/>
          <w:szCs w:val="28"/>
        </w:rPr>
      </w:pPr>
    </w:p>
    <w:p w14:paraId="48EF1DD7">
      <w:pPr>
        <w:pStyle w:val="2"/>
        <w:rPr>
          <w:b/>
          <w:bCs/>
        </w:rPr>
      </w:pPr>
    </w:p>
    <w:p w14:paraId="2F8BBC00">
      <w:pPr>
        <w:jc w:val="center"/>
        <w:rPr>
          <w:rFonts w:ascii="宋体" w:hAnsi="Calibri"/>
          <w:color w:val="000000"/>
          <w:sz w:val="28"/>
          <w:szCs w:val="28"/>
        </w:rPr>
      </w:pPr>
      <w:r>
        <w:rPr>
          <w:rFonts w:hint="eastAsia" w:ascii="宋体" w:hAnsi="宋体"/>
          <w:color w:val="000000"/>
          <w:sz w:val="28"/>
          <w:szCs w:val="28"/>
        </w:rPr>
        <w:t>招</w:t>
      </w:r>
      <w:r>
        <w:rPr>
          <w:rFonts w:ascii="宋体" w:hAnsi="宋体"/>
          <w:color w:val="000000"/>
          <w:sz w:val="28"/>
          <w:szCs w:val="28"/>
        </w:rPr>
        <w:t xml:space="preserve"> </w:t>
      </w:r>
      <w:r>
        <w:rPr>
          <w:rFonts w:hint="eastAsia" w:ascii="宋体" w:hAnsi="宋体"/>
          <w:color w:val="000000"/>
          <w:sz w:val="28"/>
          <w:szCs w:val="28"/>
        </w:rPr>
        <w:t>标</w:t>
      </w:r>
      <w:r>
        <w:rPr>
          <w:rFonts w:ascii="宋体" w:hAnsi="宋体"/>
          <w:color w:val="000000"/>
          <w:sz w:val="28"/>
          <w:szCs w:val="28"/>
        </w:rPr>
        <w:t xml:space="preserve"> </w:t>
      </w:r>
      <w:r>
        <w:rPr>
          <w:rFonts w:hint="eastAsia" w:ascii="宋体" w:hAnsi="宋体"/>
          <w:color w:val="000000"/>
          <w:sz w:val="28"/>
          <w:szCs w:val="28"/>
        </w:rPr>
        <w:t>人：中国重汽集团杭州发动机有限公司</w:t>
      </w:r>
    </w:p>
    <w:p w14:paraId="424AA222">
      <w:pPr>
        <w:jc w:val="center"/>
        <w:rPr>
          <w:rFonts w:ascii="Calibri" w:hAnsi="Calibri"/>
          <w:b/>
          <w:bCs/>
          <w:kern w:val="44"/>
          <w:sz w:val="36"/>
          <w:szCs w:val="44"/>
        </w:rPr>
      </w:pPr>
      <w:r>
        <w:rPr>
          <w:rFonts w:ascii="Calibri" w:hAnsi="Calibri"/>
          <w:color w:val="000000"/>
          <w:sz w:val="28"/>
          <w:szCs w:val="28"/>
        </w:rPr>
        <w:t>202</w:t>
      </w:r>
      <w:r>
        <w:rPr>
          <w:rFonts w:hint="eastAsia" w:ascii="Calibri" w:hAnsi="Calibri"/>
          <w:color w:val="000000"/>
          <w:sz w:val="28"/>
          <w:szCs w:val="28"/>
        </w:rPr>
        <w:t>5</w:t>
      </w:r>
      <w:r>
        <w:rPr>
          <w:rFonts w:hint="eastAsia" w:ascii="宋体" w:hAnsi="宋体"/>
          <w:color w:val="000000"/>
          <w:sz w:val="28"/>
          <w:szCs w:val="28"/>
        </w:rPr>
        <w:t>年</w:t>
      </w:r>
      <w:r>
        <w:rPr>
          <w:rFonts w:hint="eastAsia" w:ascii="Calibri" w:hAnsi="Calibri"/>
          <w:color w:val="000000"/>
          <w:sz w:val="28"/>
          <w:szCs w:val="28"/>
        </w:rPr>
        <w:t>0</w:t>
      </w:r>
      <w:r>
        <w:rPr>
          <w:rFonts w:ascii="Calibri" w:hAnsi="Calibri"/>
          <w:color w:val="000000"/>
          <w:sz w:val="28"/>
          <w:szCs w:val="28"/>
        </w:rPr>
        <w:t>9</w:t>
      </w:r>
      <w:r>
        <w:rPr>
          <w:rFonts w:hint="eastAsia" w:ascii="Calibri" w:hAnsi="Calibri"/>
          <w:color w:val="000000"/>
          <w:sz w:val="28"/>
          <w:szCs w:val="28"/>
        </w:rPr>
        <w:t>月</w:t>
      </w:r>
    </w:p>
    <w:p w14:paraId="6B47F02B">
      <w:pPr>
        <w:spacing w:line="360" w:lineRule="auto"/>
        <w:rPr>
          <w:rFonts w:ascii="宋体" w:hAnsi="宋体"/>
          <w:b/>
          <w:sz w:val="36"/>
          <w:szCs w:val="36"/>
        </w:rPr>
        <w:sectPr>
          <w:headerReference r:id="rId7" w:type="default"/>
          <w:footerReference r:id="rId8" w:type="default"/>
          <w:pgSz w:w="11907" w:h="16840"/>
          <w:pgMar w:top="1304" w:right="1418" w:bottom="1304" w:left="1418" w:header="724" w:footer="851" w:gutter="0"/>
          <w:pgNumType w:fmt="numberInDash"/>
          <w:cols w:space="720" w:num="1"/>
          <w:docGrid w:linePitch="290" w:charSpace="-3931"/>
        </w:sectPr>
      </w:pPr>
    </w:p>
    <w:p w14:paraId="18BEA426"/>
    <w:p w14:paraId="1ED7FE64">
      <w:pPr>
        <w:spacing w:line="360" w:lineRule="auto"/>
        <w:rPr>
          <w:rFonts w:hAnsi="Calibri"/>
          <w:sz w:val="24"/>
          <w:szCs w:val="24"/>
        </w:rPr>
      </w:pPr>
      <w:r>
        <w:rPr>
          <w:rFonts w:hint="eastAsia"/>
          <w:sz w:val="24"/>
          <w:szCs w:val="24"/>
        </w:rPr>
        <w:t>第一章</w:t>
      </w:r>
      <w:r>
        <w:rPr>
          <w:sz w:val="24"/>
          <w:szCs w:val="24"/>
        </w:rPr>
        <w:t xml:space="preserve">  </w:t>
      </w:r>
      <w:r>
        <w:rPr>
          <w:rFonts w:hint="eastAsia"/>
          <w:sz w:val="24"/>
          <w:szCs w:val="24"/>
        </w:rPr>
        <w:t>采购货物概况</w:t>
      </w:r>
    </w:p>
    <w:p w14:paraId="3470A01A">
      <w:pPr>
        <w:spacing w:line="360" w:lineRule="auto"/>
        <w:rPr>
          <w:rFonts w:eastAsia="黑体"/>
          <w:sz w:val="24"/>
          <w:szCs w:val="24"/>
        </w:rPr>
      </w:pPr>
      <w:r>
        <w:rPr>
          <w:rFonts w:hint="eastAsia"/>
          <w:sz w:val="24"/>
          <w:szCs w:val="24"/>
        </w:rPr>
        <w:t>第一节  使用环境</w:t>
      </w:r>
    </w:p>
    <w:p w14:paraId="7299261A">
      <w:pPr>
        <w:spacing w:line="360" w:lineRule="auto"/>
        <w:rPr>
          <w:sz w:val="24"/>
          <w:szCs w:val="24"/>
        </w:rPr>
      </w:pPr>
      <w:r>
        <w:rPr>
          <w:rFonts w:hint="eastAsia"/>
          <w:sz w:val="24"/>
          <w:szCs w:val="24"/>
        </w:rPr>
        <w:t>一、项目名称：</w:t>
      </w:r>
      <w:r>
        <w:rPr>
          <w:rFonts w:hint="eastAsia"/>
          <w:sz w:val="24"/>
          <w:szCs w:val="24"/>
          <w:u w:val="single"/>
        </w:rPr>
        <w:t>缸盖制芯线工艺布局优化改造技改项目</w:t>
      </w:r>
    </w:p>
    <w:p w14:paraId="6273A75E">
      <w:pPr>
        <w:spacing w:line="360" w:lineRule="auto"/>
        <w:rPr>
          <w:rFonts w:ascii="宋体"/>
          <w:sz w:val="24"/>
          <w:szCs w:val="24"/>
        </w:rPr>
      </w:pPr>
      <w:r>
        <w:rPr>
          <w:rFonts w:hint="eastAsia"/>
          <w:sz w:val="24"/>
          <w:szCs w:val="24"/>
        </w:rPr>
        <w:t>二、建设地点：</w:t>
      </w:r>
      <w:r>
        <w:rPr>
          <w:rFonts w:hint="eastAsia" w:ascii="宋体" w:hAnsi="宋体"/>
          <w:sz w:val="24"/>
          <w:szCs w:val="24"/>
          <w:u w:val="single"/>
        </w:rPr>
        <w:t>杭州市萧山经济技术开发区红泰六路699号</w:t>
      </w:r>
      <w:r>
        <w:rPr>
          <w:rFonts w:hint="eastAsia"/>
          <w:sz w:val="24"/>
          <w:szCs w:val="24"/>
        </w:rPr>
        <w:t xml:space="preserve"> </w:t>
      </w:r>
    </w:p>
    <w:p w14:paraId="6898BF5E">
      <w:pPr>
        <w:spacing w:line="360" w:lineRule="auto"/>
        <w:rPr>
          <w:sz w:val="24"/>
          <w:szCs w:val="24"/>
          <w:u w:val="single"/>
        </w:rPr>
      </w:pPr>
      <w:r>
        <w:rPr>
          <w:rFonts w:hint="eastAsia"/>
          <w:sz w:val="24"/>
          <w:szCs w:val="24"/>
        </w:rPr>
        <w:t>三、使用地点：</w:t>
      </w:r>
      <w:r>
        <w:rPr>
          <w:rFonts w:hint="eastAsia"/>
          <w:sz w:val="24"/>
          <w:szCs w:val="24"/>
          <w:u w:val="single"/>
        </w:rPr>
        <w:t>中国重汽集团杭州发动机有限公司</w:t>
      </w:r>
    </w:p>
    <w:p w14:paraId="1FED6DB7">
      <w:pPr>
        <w:spacing w:line="360" w:lineRule="auto"/>
        <w:rPr>
          <w:rFonts w:ascii="宋体" w:hAnsi="宋体"/>
          <w:sz w:val="24"/>
          <w:szCs w:val="24"/>
        </w:rPr>
      </w:pPr>
      <w:r>
        <w:rPr>
          <w:rFonts w:hint="eastAsia" w:ascii="黑体"/>
          <w:sz w:val="24"/>
          <w:szCs w:val="24"/>
        </w:rPr>
        <w:t>四、工作制度：</w:t>
      </w:r>
      <w:r>
        <w:rPr>
          <w:rFonts w:hint="eastAsia"/>
          <w:sz w:val="24"/>
          <w:szCs w:val="24"/>
        </w:rPr>
        <w:t>全年工作</w:t>
      </w:r>
      <w:r>
        <w:rPr>
          <w:rFonts w:hint="eastAsia" w:ascii="仿宋" w:hAnsi="仿宋" w:eastAsia="仿宋" w:cs="仿宋"/>
          <w:sz w:val="28"/>
          <w:szCs w:val="28"/>
        </w:rPr>
        <w:t>≥</w:t>
      </w:r>
      <w:r>
        <w:rPr>
          <w:rFonts w:hint="eastAsia" w:ascii="宋体" w:hAnsi="宋体"/>
          <w:sz w:val="24"/>
          <w:szCs w:val="24"/>
        </w:rPr>
        <w:t>250天</w:t>
      </w:r>
    </w:p>
    <w:p w14:paraId="14B13F8A">
      <w:pPr>
        <w:spacing w:line="360" w:lineRule="auto"/>
        <w:rPr>
          <w:color w:val="FF0000"/>
          <w:sz w:val="24"/>
          <w:szCs w:val="24"/>
        </w:rPr>
      </w:pPr>
      <w:r>
        <w:rPr>
          <w:rFonts w:hint="eastAsia"/>
          <w:sz w:val="24"/>
          <w:szCs w:val="24"/>
        </w:rPr>
        <w:t>五、使用地点区域自然环境：</w:t>
      </w:r>
      <w:r>
        <w:rPr>
          <w:color w:val="FF0000"/>
          <w:sz w:val="24"/>
          <w:szCs w:val="24"/>
        </w:rPr>
        <w:t xml:space="preserve"> </w:t>
      </w:r>
    </w:p>
    <w:p w14:paraId="6A56D060">
      <w:pPr>
        <w:pStyle w:val="62"/>
        <w:spacing w:line="360" w:lineRule="auto"/>
        <w:ind w:firstLine="480"/>
        <w:rPr>
          <w:rFonts w:ascii="宋体"/>
          <w:sz w:val="24"/>
          <w:szCs w:val="24"/>
        </w:rPr>
      </w:pPr>
      <w:r>
        <w:rPr>
          <w:sz w:val="24"/>
          <w:szCs w:val="24"/>
        </w:rPr>
        <w:t>1、海拨高度：1000m以下</w:t>
      </w:r>
      <w:r>
        <w:rPr>
          <w:rFonts w:hint="eastAsia"/>
          <w:sz w:val="24"/>
          <w:szCs w:val="24"/>
        </w:rPr>
        <w:t>。</w:t>
      </w:r>
      <w:r>
        <w:rPr>
          <w:sz w:val="24"/>
          <w:szCs w:val="24"/>
        </w:rPr>
        <w:br w:type="textWrapping"/>
      </w:r>
      <w:r>
        <w:rPr>
          <w:sz w:val="24"/>
          <w:szCs w:val="24"/>
        </w:rPr>
        <w:t>2、环境温度：室外极端最低温度-19.7℃、极端最高温度42℃，昼夜最大温差25℃；室内温度5～45℃。</w:t>
      </w:r>
      <w:r>
        <w:rPr>
          <w:sz w:val="24"/>
          <w:szCs w:val="24"/>
        </w:rPr>
        <w:br w:type="textWrapping"/>
      </w:r>
      <w:r>
        <w:rPr>
          <w:sz w:val="24"/>
          <w:szCs w:val="24"/>
        </w:rPr>
        <w:t>3、相对湿度：年平均59%，最大95%、最小15%。</w:t>
      </w:r>
      <w:r>
        <w:rPr>
          <w:sz w:val="24"/>
          <w:szCs w:val="24"/>
        </w:rPr>
        <w:br w:type="textWrapping"/>
      </w:r>
      <w:r>
        <w:rPr>
          <w:sz w:val="24"/>
          <w:szCs w:val="24"/>
        </w:rPr>
        <w:t>4、降雨量：日最大降雨量300mm、时最大降雨量100mm。</w:t>
      </w:r>
      <w:r>
        <w:rPr>
          <w:sz w:val="24"/>
          <w:szCs w:val="24"/>
        </w:rPr>
        <w:br w:type="textWrapping"/>
      </w:r>
      <w:r>
        <w:rPr>
          <w:sz w:val="24"/>
          <w:szCs w:val="24"/>
        </w:rPr>
        <w:t xml:space="preserve">5、最大风速：33.3m/s。 </w:t>
      </w:r>
      <w:r>
        <w:rPr>
          <w:sz w:val="24"/>
          <w:szCs w:val="24"/>
        </w:rPr>
        <w:br w:type="textWrapping"/>
      </w:r>
      <w:r>
        <w:rPr>
          <w:rFonts w:hint="eastAsia"/>
          <w:sz w:val="24"/>
          <w:szCs w:val="24"/>
        </w:rPr>
        <w:t>六、能源环境：</w:t>
      </w:r>
    </w:p>
    <w:p w14:paraId="0F9EE03C">
      <w:pPr>
        <w:spacing w:line="360" w:lineRule="auto"/>
        <w:rPr>
          <w:sz w:val="24"/>
          <w:szCs w:val="24"/>
        </w:rPr>
      </w:pPr>
      <w:r>
        <w:rPr>
          <w:rFonts w:hint="eastAsia"/>
          <w:sz w:val="24"/>
          <w:szCs w:val="24"/>
        </w:rPr>
        <w:t>1、电力：</w:t>
      </w:r>
      <w:r>
        <w:rPr>
          <w:sz w:val="24"/>
          <w:szCs w:val="24"/>
        </w:rPr>
        <w:t>中国制式，供电电压380V±15%/220V±15%，供电频率50Hz±2%，三相五线。</w:t>
      </w:r>
    </w:p>
    <w:p w14:paraId="7D606FF2">
      <w:pPr>
        <w:spacing w:line="360" w:lineRule="auto"/>
        <w:rPr>
          <w:sz w:val="24"/>
          <w:szCs w:val="24"/>
        </w:rPr>
      </w:pPr>
      <w:bookmarkStart w:id="24" w:name="_Toc27088"/>
      <w:bookmarkStart w:id="25" w:name="_Toc19068"/>
      <w:bookmarkStart w:id="26" w:name="_Toc13018"/>
      <w:bookmarkStart w:id="27" w:name="_Toc9838"/>
      <w:bookmarkStart w:id="28" w:name="_Toc137705867"/>
      <w:r>
        <w:rPr>
          <w:sz w:val="24"/>
          <w:szCs w:val="24"/>
        </w:rPr>
        <w:t>2</w:t>
      </w:r>
      <w:r>
        <w:rPr>
          <w:rFonts w:hint="eastAsia"/>
          <w:sz w:val="24"/>
          <w:szCs w:val="24"/>
        </w:rPr>
        <w:t>、压缩空气： 5～7bar。</w:t>
      </w:r>
    </w:p>
    <w:p w14:paraId="425B4C8F">
      <w:pPr>
        <w:spacing w:line="360" w:lineRule="auto"/>
        <w:rPr>
          <w:rFonts w:eastAsia="黑体"/>
          <w:sz w:val="24"/>
          <w:szCs w:val="24"/>
        </w:rPr>
      </w:pPr>
      <w:r>
        <w:rPr>
          <w:rFonts w:hint="eastAsia"/>
          <w:sz w:val="24"/>
          <w:szCs w:val="24"/>
        </w:rPr>
        <w:t>第二节  采购货物概况</w:t>
      </w:r>
      <w:bookmarkEnd w:id="24"/>
      <w:bookmarkEnd w:id="25"/>
      <w:bookmarkEnd w:id="26"/>
      <w:bookmarkEnd w:id="27"/>
      <w:bookmarkEnd w:id="28"/>
    </w:p>
    <w:p w14:paraId="237CE5BB">
      <w:pPr>
        <w:spacing w:line="360" w:lineRule="auto"/>
        <w:rPr>
          <w:sz w:val="24"/>
          <w:szCs w:val="24"/>
        </w:rPr>
      </w:pPr>
      <w:r>
        <w:rPr>
          <w:rFonts w:hint="eastAsia"/>
          <w:sz w:val="24"/>
          <w:szCs w:val="24"/>
        </w:rPr>
        <w:t>一、货物名称：</w:t>
      </w:r>
      <w:r>
        <w:rPr>
          <w:rFonts w:hint="eastAsia"/>
          <w:sz w:val="24"/>
          <w:szCs w:val="24"/>
          <w:u w:val="single"/>
        </w:rPr>
        <w:t>缸盖制芯线工艺布局优化改造</w:t>
      </w:r>
      <w:r>
        <w:rPr>
          <w:rFonts w:hint="eastAsia"/>
          <w:sz w:val="24"/>
          <w:szCs w:val="24"/>
        </w:rPr>
        <w:t>（详见下表）</w:t>
      </w:r>
    </w:p>
    <w:p w14:paraId="3095F254">
      <w:pPr>
        <w:spacing w:line="360" w:lineRule="auto"/>
        <w:rPr>
          <w:rFonts w:ascii="宋体" w:hAnsi="宋体" w:cs="宋体"/>
          <w:sz w:val="24"/>
          <w:szCs w:val="24"/>
        </w:rPr>
      </w:pPr>
      <w:r>
        <w:rPr>
          <w:rFonts w:hint="eastAsia"/>
          <w:sz w:val="24"/>
          <w:szCs w:val="24"/>
        </w:rPr>
        <w:t>二、货物数量：</w:t>
      </w:r>
      <w:r>
        <w:rPr>
          <w:rFonts w:hint="eastAsia" w:ascii="宋体" w:hAnsi="宋体" w:cs="宋体"/>
          <w:sz w:val="24"/>
          <w:szCs w:val="24"/>
        </w:rPr>
        <w:t xml:space="preserve"> 1台套 （详见下表）</w:t>
      </w:r>
    </w:p>
    <w:p w14:paraId="7F4FF27A">
      <w:pPr>
        <w:spacing w:line="360" w:lineRule="auto"/>
        <w:rPr>
          <w:rFonts w:ascii="宋体" w:hAnsi="宋体" w:cs="宋体"/>
          <w:sz w:val="24"/>
          <w:szCs w:val="24"/>
        </w:rPr>
      </w:pPr>
      <w:r>
        <w:rPr>
          <w:rFonts w:hint="eastAsia"/>
          <w:sz w:val="24"/>
          <w:szCs w:val="24"/>
        </w:rPr>
        <w:t>三、分投分中：</w:t>
      </w:r>
      <w:r>
        <w:rPr>
          <w:rFonts w:hint="eastAsia" w:ascii="宋体" w:hAnsi="宋体" w:cs="宋体"/>
          <w:sz w:val="24"/>
          <w:szCs w:val="24"/>
        </w:rPr>
        <w:t>不允许。</w:t>
      </w:r>
    </w:p>
    <w:p w14:paraId="69949C05">
      <w:pPr>
        <w:pStyle w:val="2"/>
        <w:spacing w:line="360" w:lineRule="auto"/>
        <w:rPr>
          <w:sz w:val="24"/>
          <w:szCs w:val="24"/>
        </w:rPr>
      </w:pPr>
      <w:r>
        <w:rPr>
          <w:rFonts w:hint="eastAsia"/>
          <w:sz w:val="24"/>
          <w:szCs w:val="24"/>
        </w:rPr>
        <w:t>四、采购货物主要构成一览表</w:t>
      </w:r>
    </w:p>
    <w:tbl>
      <w:tblPr>
        <w:tblStyle w:val="30"/>
        <w:tblW w:w="9602" w:type="dxa"/>
        <w:tblInd w:w="0" w:type="dxa"/>
        <w:tblLayout w:type="autofit"/>
        <w:tblCellMar>
          <w:top w:w="0" w:type="dxa"/>
          <w:left w:w="108" w:type="dxa"/>
          <w:bottom w:w="0" w:type="dxa"/>
          <w:right w:w="108" w:type="dxa"/>
        </w:tblCellMar>
      </w:tblPr>
      <w:tblGrid>
        <w:gridCol w:w="846"/>
        <w:gridCol w:w="1701"/>
        <w:gridCol w:w="4536"/>
        <w:gridCol w:w="850"/>
        <w:gridCol w:w="1669"/>
      </w:tblGrid>
      <w:tr w14:paraId="57B47883">
        <w:tblPrEx>
          <w:tblCellMar>
            <w:top w:w="0" w:type="dxa"/>
            <w:left w:w="108" w:type="dxa"/>
            <w:bottom w:w="0" w:type="dxa"/>
            <w:right w:w="108" w:type="dxa"/>
          </w:tblCellMar>
        </w:tblPrEx>
        <w:trPr>
          <w:trHeight w:val="27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C43B5F">
            <w:pPr>
              <w:widowControl/>
              <w:jc w:val="center"/>
              <w:rPr>
                <w:rFonts w:ascii="宋体" w:hAnsi="宋体" w:cs="宋体"/>
                <w:color w:val="000000"/>
                <w:kern w:val="0"/>
                <w:sz w:val="20"/>
              </w:rPr>
            </w:pPr>
            <w:r>
              <w:rPr>
                <w:rFonts w:hint="eastAsia" w:ascii="宋体" w:hAnsi="宋体" w:cs="宋体"/>
                <w:color w:val="000000"/>
                <w:kern w:val="0"/>
                <w:sz w:val="20"/>
              </w:rPr>
              <w:t>序号</w:t>
            </w:r>
          </w:p>
        </w:tc>
        <w:tc>
          <w:tcPr>
            <w:tcW w:w="1701" w:type="dxa"/>
            <w:tcBorders>
              <w:top w:val="single" w:color="auto" w:sz="4" w:space="0"/>
              <w:left w:val="nil"/>
              <w:bottom w:val="single" w:color="auto" w:sz="4" w:space="0"/>
              <w:right w:val="single" w:color="auto" w:sz="4" w:space="0"/>
            </w:tcBorders>
            <w:shd w:val="clear" w:color="auto" w:fill="auto"/>
            <w:vAlign w:val="center"/>
          </w:tcPr>
          <w:p w14:paraId="07460927">
            <w:pPr>
              <w:widowControl/>
              <w:jc w:val="center"/>
              <w:rPr>
                <w:rFonts w:ascii="宋体" w:hAnsi="宋体" w:cs="宋体"/>
                <w:color w:val="000000"/>
                <w:kern w:val="0"/>
                <w:sz w:val="20"/>
              </w:rPr>
            </w:pPr>
            <w:r>
              <w:rPr>
                <w:rFonts w:hint="eastAsia" w:ascii="宋体" w:hAnsi="宋体" w:cs="宋体"/>
                <w:color w:val="000000"/>
                <w:kern w:val="0"/>
                <w:sz w:val="20"/>
              </w:rPr>
              <w:t>项目内容</w:t>
            </w:r>
          </w:p>
        </w:tc>
        <w:tc>
          <w:tcPr>
            <w:tcW w:w="4536" w:type="dxa"/>
            <w:tcBorders>
              <w:top w:val="single" w:color="auto" w:sz="4" w:space="0"/>
              <w:left w:val="nil"/>
              <w:bottom w:val="single" w:color="auto" w:sz="4" w:space="0"/>
              <w:right w:val="single" w:color="auto" w:sz="4" w:space="0"/>
            </w:tcBorders>
            <w:shd w:val="clear" w:color="auto" w:fill="auto"/>
            <w:vAlign w:val="center"/>
          </w:tcPr>
          <w:p w14:paraId="7B97E94E">
            <w:pPr>
              <w:widowControl/>
              <w:jc w:val="center"/>
              <w:rPr>
                <w:rFonts w:ascii="宋体" w:hAnsi="宋体" w:cs="宋体"/>
                <w:color w:val="000000"/>
                <w:kern w:val="0"/>
                <w:sz w:val="20"/>
              </w:rPr>
            </w:pPr>
            <w:r>
              <w:rPr>
                <w:rFonts w:hint="eastAsia" w:ascii="宋体" w:hAnsi="宋体" w:cs="宋体"/>
                <w:color w:val="000000"/>
                <w:kern w:val="0"/>
                <w:sz w:val="20"/>
              </w:rPr>
              <w:t>规格型号</w:t>
            </w:r>
          </w:p>
        </w:tc>
        <w:tc>
          <w:tcPr>
            <w:tcW w:w="850" w:type="dxa"/>
            <w:tcBorders>
              <w:top w:val="single" w:color="auto" w:sz="4" w:space="0"/>
              <w:left w:val="nil"/>
              <w:bottom w:val="single" w:color="auto" w:sz="4" w:space="0"/>
              <w:right w:val="single" w:color="auto" w:sz="4" w:space="0"/>
            </w:tcBorders>
            <w:shd w:val="clear" w:color="auto" w:fill="auto"/>
            <w:noWrap/>
            <w:vAlign w:val="center"/>
          </w:tcPr>
          <w:p w14:paraId="51852525">
            <w:pPr>
              <w:widowControl/>
              <w:jc w:val="center"/>
              <w:rPr>
                <w:rFonts w:ascii="宋体" w:hAnsi="宋体" w:cs="宋体"/>
                <w:color w:val="000000"/>
                <w:kern w:val="0"/>
                <w:sz w:val="20"/>
              </w:rPr>
            </w:pPr>
            <w:r>
              <w:rPr>
                <w:rFonts w:hint="eastAsia" w:ascii="宋体" w:hAnsi="宋体" w:cs="宋体"/>
                <w:color w:val="000000"/>
                <w:kern w:val="0"/>
                <w:sz w:val="20"/>
              </w:rPr>
              <w:t>数量</w:t>
            </w:r>
          </w:p>
        </w:tc>
        <w:tc>
          <w:tcPr>
            <w:tcW w:w="1669" w:type="dxa"/>
            <w:tcBorders>
              <w:top w:val="single" w:color="auto" w:sz="4" w:space="0"/>
              <w:left w:val="nil"/>
              <w:bottom w:val="single" w:color="auto" w:sz="4" w:space="0"/>
              <w:right w:val="single" w:color="auto" w:sz="4" w:space="0"/>
            </w:tcBorders>
            <w:shd w:val="clear" w:color="auto" w:fill="auto"/>
            <w:noWrap/>
            <w:vAlign w:val="center"/>
          </w:tcPr>
          <w:p w14:paraId="417A54B9">
            <w:pPr>
              <w:widowControl/>
              <w:jc w:val="center"/>
              <w:rPr>
                <w:rFonts w:ascii="宋体" w:hAnsi="宋体" w:cs="宋体"/>
                <w:color w:val="000000"/>
                <w:kern w:val="0"/>
                <w:sz w:val="20"/>
              </w:rPr>
            </w:pPr>
            <w:r>
              <w:rPr>
                <w:rFonts w:hint="eastAsia" w:ascii="宋体" w:hAnsi="宋体" w:cs="宋体"/>
                <w:color w:val="000000"/>
                <w:kern w:val="0"/>
                <w:sz w:val="20"/>
              </w:rPr>
              <w:t>备注</w:t>
            </w:r>
          </w:p>
        </w:tc>
      </w:tr>
      <w:tr w14:paraId="3226CA62">
        <w:tblPrEx>
          <w:tblCellMar>
            <w:top w:w="0" w:type="dxa"/>
            <w:left w:w="108" w:type="dxa"/>
            <w:bottom w:w="0" w:type="dxa"/>
            <w:right w:w="108" w:type="dxa"/>
          </w:tblCellMar>
        </w:tblPrEx>
        <w:trPr>
          <w:trHeight w:val="72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14:paraId="017B02ED">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701" w:type="dxa"/>
            <w:tcBorders>
              <w:top w:val="nil"/>
              <w:left w:val="nil"/>
              <w:bottom w:val="single" w:color="auto" w:sz="4" w:space="0"/>
              <w:right w:val="single" w:color="auto" w:sz="4" w:space="0"/>
            </w:tcBorders>
            <w:shd w:val="clear" w:color="auto" w:fill="auto"/>
            <w:vAlign w:val="center"/>
          </w:tcPr>
          <w:p w14:paraId="522D3DF0">
            <w:pPr>
              <w:widowControl/>
              <w:jc w:val="center"/>
              <w:rPr>
                <w:rFonts w:ascii="宋体" w:hAnsi="宋体" w:cs="宋体"/>
                <w:color w:val="000000"/>
                <w:kern w:val="0"/>
                <w:sz w:val="20"/>
              </w:rPr>
            </w:pPr>
            <w:r>
              <w:rPr>
                <w:rFonts w:hint="eastAsia" w:ascii="宋体" w:hAnsi="宋体" w:cs="宋体"/>
                <w:color w:val="000000"/>
                <w:kern w:val="0"/>
                <w:sz w:val="20"/>
              </w:rPr>
              <w:t>炉前工位改造</w:t>
            </w:r>
          </w:p>
        </w:tc>
        <w:tc>
          <w:tcPr>
            <w:tcW w:w="4536" w:type="dxa"/>
            <w:tcBorders>
              <w:top w:val="nil"/>
              <w:left w:val="nil"/>
              <w:bottom w:val="single" w:color="auto" w:sz="4" w:space="0"/>
              <w:right w:val="single" w:color="auto" w:sz="4" w:space="0"/>
            </w:tcBorders>
            <w:shd w:val="clear" w:color="auto" w:fill="auto"/>
            <w:vAlign w:val="center"/>
          </w:tcPr>
          <w:p w14:paraId="3F059F99">
            <w:pPr>
              <w:widowControl/>
              <w:jc w:val="center"/>
              <w:rPr>
                <w:rFonts w:ascii="宋体" w:hAnsi="宋体" w:cs="宋体"/>
                <w:color w:val="000000"/>
                <w:kern w:val="0"/>
                <w:sz w:val="20"/>
              </w:rPr>
            </w:pPr>
            <w:r>
              <w:rPr>
                <w:rFonts w:hint="eastAsia" w:ascii="宋体" w:hAnsi="宋体" w:cs="宋体"/>
                <w:color w:val="000000"/>
                <w:kern w:val="0"/>
                <w:sz w:val="20"/>
              </w:rPr>
              <w:t>1、1台载荷500kg升降机；2、1台夹具快换定位储存系统；3、1个砂芯转运中转台；4、1副615缸盖芯转运夹具。</w:t>
            </w:r>
          </w:p>
        </w:tc>
        <w:tc>
          <w:tcPr>
            <w:tcW w:w="850" w:type="dxa"/>
            <w:tcBorders>
              <w:top w:val="nil"/>
              <w:left w:val="nil"/>
              <w:bottom w:val="single" w:color="auto" w:sz="4" w:space="0"/>
              <w:right w:val="single" w:color="auto" w:sz="4" w:space="0"/>
            </w:tcBorders>
            <w:shd w:val="clear" w:color="auto" w:fill="auto"/>
            <w:vAlign w:val="center"/>
          </w:tcPr>
          <w:p w14:paraId="46CF1409">
            <w:pPr>
              <w:widowControl/>
              <w:jc w:val="center"/>
              <w:rPr>
                <w:rFonts w:ascii="宋体" w:hAnsi="宋体" w:cs="宋体"/>
                <w:color w:val="000000"/>
                <w:kern w:val="0"/>
                <w:sz w:val="20"/>
              </w:rPr>
            </w:pPr>
            <w:r>
              <w:rPr>
                <w:rFonts w:hint="eastAsia" w:ascii="宋体" w:hAnsi="宋体" w:cs="宋体"/>
                <w:color w:val="000000"/>
                <w:kern w:val="0"/>
                <w:sz w:val="20"/>
              </w:rPr>
              <w:t>1台套</w:t>
            </w:r>
          </w:p>
        </w:tc>
        <w:tc>
          <w:tcPr>
            <w:tcW w:w="1669" w:type="dxa"/>
            <w:tcBorders>
              <w:top w:val="nil"/>
              <w:left w:val="nil"/>
              <w:bottom w:val="single" w:color="auto" w:sz="4" w:space="0"/>
              <w:right w:val="single" w:color="auto" w:sz="4" w:space="0"/>
            </w:tcBorders>
            <w:shd w:val="clear" w:color="auto" w:fill="auto"/>
            <w:vAlign w:val="center"/>
          </w:tcPr>
          <w:p w14:paraId="0284AEF5">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087C9700">
        <w:tblPrEx>
          <w:tblCellMar>
            <w:top w:w="0" w:type="dxa"/>
            <w:left w:w="108" w:type="dxa"/>
            <w:bottom w:w="0" w:type="dxa"/>
            <w:right w:w="108" w:type="dxa"/>
          </w:tblCellMar>
        </w:tblPrEx>
        <w:trPr>
          <w:trHeight w:val="720" w:hRule="atLeast"/>
        </w:trPr>
        <w:tc>
          <w:tcPr>
            <w:tcW w:w="846" w:type="dxa"/>
            <w:tcBorders>
              <w:top w:val="nil"/>
              <w:left w:val="single" w:color="auto" w:sz="4" w:space="0"/>
              <w:bottom w:val="single" w:color="auto" w:sz="4" w:space="0"/>
              <w:right w:val="single" w:color="auto" w:sz="4" w:space="0"/>
            </w:tcBorders>
            <w:shd w:val="clear" w:color="FFFFFF" w:fill="FFFFFF"/>
            <w:vAlign w:val="center"/>
          </w:tcPr>
          <w:p w14:paraId="64097591">
            <w:pPr>
              <w:widowControl/>
              <w:jc w:val="center"/>
              <w:rPr>
                <w:rFonts w:ascii="宋体" w:hAnsi="宋体" w:cs="宋体"/>
                <w:kern w:val="0"/>
                <w:sz w:val="20"/>
              </w:rPr>
            </w:pPr>
            <w:r>
              <w:rPr>
                <w:rFonts w:hint="eastAsia" w:ascii="宋体" w:hAnsi="宋体" w:cs="宋体"/>
                <w:kern w:val="0"/>
                <w:sz w:val="20"/>
              </w:rPr>
              <w:t>2</w:t>
            </w:r>
          </w:p>
        </w:tc>
        <w:tc>
          <w:tcPr>
            <w:tcW w:w="1701" w:type="dxa"/>
            <w:tcBorders>
              <w:top w:val="nil"/>
              <w:left w:val="nil"/>
              <w:bottom w:val="single" w:color="auto" w:sz="4" w:space="0"/>
              <w:right w:val="single" w:color="auto" w:sz="4" w:space="0"/>
            </w:tcBorders>
            <w:shd w:val="clear" w:color="auto" w:fill="auto"/>
            <w:vAlign w:val="center"/>
          </w:tcPr>
          <w:p w14:paraId="74B7CE5E">
            <w:pPr>
              <w:widowControl/>
              <w:jc w:val="center"/>
              <w:rPr>
                <w:rFonts w:ascii="宋体" w:hAnsi="宋体" w:cs="宋体"/>
                <w:color w:val="000000"/>
                <w:kern w:val="0"/>
                <w:sz w:val="20"/>
              </w:rPr>
            </w:pPr>
            <w:r>
              <w:rPr>
                <w:rFonts w:hint="eastAsia" w:ascii="宋体" w:hAnsi="宋体" w:cs="宋体"/>
                <w:color w:val="000000"/>
                <w:kern w:val="0"/>
                <w:sz w:val="20"/>
              </w:rPr>
              <w:t>新增炉后辊道线</w:t>
            </w:r>
          </w:p>
        </w:tc>
        <w:tc>
          <w:tcPr>
            <w:tcW w:w="4536" w:type="dxa"/>
            <w:tcBorders>
              <w:top w:val="nil"/>
              <w:left w:val="nil"/>
              <w:bottom w:val="single" w:color="auto" w:sz="4" w:space="0"/>
              <w:right w:val="single" w:color="auto" w:sz="4" w:space="0"/>
            </w:tcBorders>
            <w:shd w:val="clear" w:color="auto" w:fill="auto"/>
            <w:vAlign w:val="center"/>
          </w:tcPr>
          <w:p w14:paraId="69E66001">
            <w:pPr>
              <w:widowControl/>
              <w:jc w:val="center"/>
              <w:rPr>
                <w:rFonts w:ascii="宋体" w:hAnsi="宋体" w:cs="宋体"/>
                <w:color w:val="000000"/>
                <w:kern w:val="0"/>
                <w:sz w:val="20"/>
              </w:rPr>
            </w:pPr>
            <w:r>
              <w:rPr>
                <w:rFonts w:hint="eastAsia" w:ascii="宋体" w:hAnsi="宋体" w:cs="宋体"/>
                <w:color w:val="000000"/>
                <w:kern w:val="0"/>
                <w:sz w:val="20"/>
              </w:rPr>
              <w:t>1、13米双层辊道线；2、2台砂芯定位校准装置；3、3台托板定位装置；4、4台循环辊道线缓冲装置及6套砂芯定位装置。</w:t>
            </w:r>
          </w:p>
        </w:tc>
        <w:tc>
          <w:tcPr>
            <w:tcW w:w="850" w:type="dxa"/>
            <w:tcBorders>
              <w:top w:val="nil"/>
              <w:left w:val="nil"/>
              <w:bottom w:val="single" w:color="auto" w:sz="4" w:space="0"/>
              <w:right w:val="single" w:color="auto" w:sz="4" w:space="0"/>
            </w:tcBorders>
            <w:shd w:val="clear" w:color="auto" w:fill="auto"/>
            <w:vAlign w:val="center"/>
          </w:tcPr>
          <w:p w14:paraId="635500D7">
            <w:pPr>
              <w:widowControl/>
              <w:jc w:val="center"/>
              <w:rPr>
                <w:rFonts w:ascii="宋体" w:hAnsi="宋体" w:cs="宋体"/>
                <w:color w:val="000000"/>
                <w:kern w:val="0"/>
                <w:sz w:val="20"/>
              </w:rPr>
            </w:pPr>
            <w:r>
              <w:rPr>
                <w:rFonts w:hint="eastAsia" w:ascii="宋体" w:hAnsi="宋体" w:cs="宋体"/>
                <w:color w:val="000000"/>
                <w:kern w:val="0"/>
                <w:sz w:val="20"/>
              </w:rPr>
              <w:t>1台套</w:t>
            </w:r>
          </w:p>
        </w:tc>
        <w:tc>
          <w:tcPr>
            <w:tcW w:w="1669" w:type="dxa"/>
            <w:tcBorders>
              <w:top w:val="nil"/>
              <w:left w:val="nil"/>
              <w:bottom w:val="single" w:color="auto" w:sz="4" w:space="0"/>
              <w:right w:val="single" w:color="auto" w:sz="4" w:space="0"/>
            </w:tcBorders>
            <w:shd w:val="clear" w:color="auto" w:fill="auto"/>
            <w:vAlign w:val="center"/>
          </w:tcPr>
          <w:p w14:paraId="1E26107A">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47F901A8">
        <w:tblPrEx>
          <w:tblCellMar>
            <w:top w:w="0" w:type="dxa"/>
            <w:left w:w="108" w:type="dxa"/>
            <w:bottom w:w="0" w:type="dxa"/>
            <w:right w:w="108" w:type="dxa"/>
          </w:tblCellMar>
        </w:tblPrEx>
        <w:trPr>
          <w:trHeight w:val="480" w:hRule="atLeast"/>
        </w:trPr>
        <w:tc>
          <w:tcPr>
            <w:tcW w:w="846" w:type="dxa"/>
            <w:tcBorders>
              <w:top w:val="nil"/>
              <w:left w:val="single" w:color="auto" w:sz="4" w:space="0"/>
              <w:bottom w:val="single" w:color="auto" w:sz="4" w:space="0"/>
              <w:right w:val="single" w:color="auto" w:sz="4" w:space="0"/>
            </w:tcBorders>
            <w:shd w:val="clear" w:color="auto" w:fill="auto"/>
            <w:vAlign w:val="center"/>
          </w:tcPr>
          <w:p w14:paraId="6FA441FD">
            <w:pPr>
              <w:widowControl/>
              <w:jc w:val="center"/>
              <w:rPr>
                <w:rFonts w:ascii="宋体" w:hAnsi="宋体" w:cs="宋体"/>
                <w:kern w:val="0"/>
                <w:sz w:val="20"/>
              </w:rPr>
            </w:pPr>
            <w:r>
              <w:rPr>
                <w:rFonts w:hint="eastAsia" w:ascii="宋体" w:hAnsi="宋体" w:cs="宋体"/>
                <w:kern w:val="0"/>
                <w:sz w:val="20"/>
              </w:rPr>
              <w:t>3</w:t>
            </w:r>
          </w:p>
        </w:tc>
        <w:tc>
          <w:tcPr>
            <w:tcW w:w="1701" w:type="dxa"/>
            <w:tcBorders>
              <w:top w:val="nil"/>
              <w:left w:val="nil"/>
              <w:bottom w:val="single" w:color="auto" w:sz="4" w:space="0"/>
              <w:right w:val="single" w:color="auto" w:sz="4" w:space="0"/>
            </w:tcBorders>
            <w:shd w:val="clear" w:color="auto" w:fill="auto"/>
            <w:vAlign w:val="center"/>
          </w:tcPr>
          <w:p w14:paraId="5C75D93A">
            <w:pPr>
              <w:widowControl/>
              <w:jc w:val="center"/>
              <w:rPr>
                <w:rFonts w:ascii="宋体" w:hAnsi="宋体" w:cs="宋体"/>
                <w:color w:val="000000"/>
                <w:kern w:val="0"/>
                <w:sz w:val="20"/>
              </w:rPr>
            </w:pPr>
            <w:r>
              <w:rPr>
                <w:rFonts w:hint="eastAsia" w:ascii="宋体" w:hAnsi="宋体" w:cs="宋体"/>
                <w:color w:val="000000"/>
                <w:kern w:val="0"/>
                <w:sz w:val="20"/>
              </w:rPr>
              <w:t>机器人模块</w:t>
            </w:r>
          </w:p>
        </w:tc>
        <w:tc>
          <w:tcPr>
            <w:tcW w:w="4536" w:type="dxa"/>
            <w:tcBorders>
              <w:top w:val="nil"/>
              <w:left w:val="nil"/>
              <w:bottom w:val="single" w:color="auto" w:sz="4" w:space="0"/>
              <w:right w:val="single" w:color="auto" w:sz="4" w:space="0"/>
            </w:tcBorders>
            <w:shd w:val="clear" w:color="auto" w:fill="auto"/>
            <w:vAlign w:val="center"/>
          </w:tcPr>
          <w:p w14:paraId="7F8CB959">
            <w:pPr>
              <w:widowControl/>
              <w:jc w:val="center"/>
              <w:rPr>
                <w:rFonts w:ascii="宋体" w:hAnsi="宋体" w:cs="宋体"/>
                <w:color w:val="000000"/>
                <w:kern w:val="0"/>
                <w:sz w:val="20"/>
              </w:rPr>
            </w:pPr>
            <w:r>
              <w:rPr>
                <w:rFonts w:hint="eastAsia" w:ascii="宋体" w:hAnsi="宋体" w:cs="宋体"/>
                <w:color w:val="000000"/>
                <w:kern w:val="0"/>
                <w:sz w:val="20"/>
              </w:rPr>
              <w:t>1、KUKA转运机器人搬迁、安装，包括机器人底座、安装底板等；</w:t>
            </w:r>
            <w:r>
              <w:rPr>
                <w:rFonts w:ascii="宋体" w:hAnsi="宋体" w:cs="宋体"/>
                <w:color w:val="000000"/>
                <w:kern w:val="0"/>
                <w:sz w:val="20"/>
              </w:rPr>
              <w:t>2</w:t>
            </w:r>
            <w:r>
              <w:rPr>
                <w:rFonts w:hint="eastAsia" w:ascii="宋体" w:hAnsi="宋体" w:cs="宋体"/>
                <w:color w:val="000000"/>
                <w:kern w:val="0"/>
                <w:sz w:val="20"/>
              </w:rPr>
              <w:t>、机器人安全围栏。</w:t>
            </w:r>
          </w:p>
        </w:tc>
        <w:tc>
          <w:tcPr>
            <w:tcW w:w="850" w:type="dxa"/>
            <w:tcBorders>
              <w:top w:val="nil"/>
              <w:left w:val="nil"/>
              <w:bottom w:val="single" w:color="auto" w:sz="4" w:space="0"/>
              <w:right w:val="single" w:color="auto" w:sz="4" w:space="0"/>
            </w:tcBorders>
            <w:shd w:val="clear" w:color="auto" w:fill="auto"/>
            <w:vAlign w:val="center"/>
          </w:tcPr>
          <w:p w14:paraId="47EE13E1">
            <w:pPr>
              <w:widowControl/>
              <w:jc w:val="center"/>
              <w:rPr>
                <w:rFonts w:ascii="宋体" w:hAnsi="宋体" w:cs="宋体"/>
                <w:color w:val="000000"/>
                <w:kern w:val="0"/>
                <w:sz w:val="20"/>
              </w:rPr>
            </w:pPr>
            <w:r>
              <w:rPr>
                <w:rFonts w:hint="eastAsia" w:ascii="宋体" w:hAnsi="宋体" w:cs="宋体"/>
                <w:color w:val="000000"/>
                <w:kern w:val="0"/>
                <w:sz w:val="20"/>
              </w:rPr>
              <w:t>1台套</w:t>
            </w:r>
          </w:p>
        </w:tc>
        <w:tc>
          <w:tcPr>
            <w:tcW w:w="1669" w:type="dxa"/>
            <w:tcBorders>
              <w:top w:val="nil"/>
              <w:left w:val="nil"/>
              <w:bottom w:val="single" w:color="auto" w:sz="4" w:space="0"/>
              <w:right w:val="single" w:color="auto" w:sz="4" w:space="0"/>
            </w:tcBorders>
            <w:shd w:val="clear" w:color="auto" w:fill="auto"/>
            <w:vAlign w:val="center"/>
          </w:tcPr>
          <w:p w14:paraId="2060D623">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04243EAD">
        <w:tblPrEx>
          <w:tblCellMar>
            <w:top w:w="0" w:type="dxa"/>
            <w:left w:w="108" w:type="dxa"/>
            <w:bottom w:w="0" w:type="dxa"/>
            <w:right w:w="108" w:type="dxa"/>
          </w:tblCellMar>
        </w:tblPrEx>
        <w:trPr>
          <w:trHeight w:val="720" w:hRule="atLeast"/>
        </w:trPr>
        <w:tc>
          <w:tcPr>
            <w:tcW w:w="846" w:type="dxa"/>
            <w:tcBorders>
              <w:top w:val="nil"/>
              <w:left w:val="single" w:color="auto" w:sz="4" w:space="0"/>
              <w:bottom w:val="single" w:color="auto" w:sz="4" w:space="0"/>
              <w:right w:val="single" w:color="auto" w:sz="4" w:space="0"/>
            </w:tcBorders>
            <w:shd w:val="clear" w:color="FFFFFF" w:fill="FFFFFF"/>
            <w:vAlign w:val="center"/>
          </w:tcPr>
          <w:p w14:paraId="60A8A7D1">
            <w:pPr>
              <w:widowControl/>
              <w:jc w:val="center"/>
              <w:rPr>
                <w:rFonts w:ascii="宋体" w:hAnsi="宋体" w:cs="宋体"/>
                <w:kern w:val="0"/>
                <w:sz w:val="20"/>
              </w:rPr>
            </w:pPr>
            <w:r>
              <w:rPr>
                <w:rFonts w:hint="eastAsia" w:ascii="宋体" w:hAnsi="宋体" w:cs="宋体"/>
                <w:kern w:val="0"/>
                <w:sz w:val="20"/>
              </w:rPr>
              <w:t>4</w:t>
            </w:r>
          </w:p>
        </w:tc>
        <w:tc>
          <w:tcPr>
            <w:tcW w:w="1701" w:type="dxa"/>
            <w:tcBorders>
              <w:top w:val="nil"/>
              <w:left w:val="nil"/>
              <w:bottom w:val="single" w:color="auto" w:sz="4" w:space="0"/>
              <w:right w:val="single" w:color="auto" w:sz="4" w:space="0"/>
            </w:tcBorders>
            <w:shd w:val="clear" w:color="auto" w:fill="auto"/>
            <w:vAlign w:val="center"/>
          </w:tcPr>
          <w:p w14:paraId="49CB7C29">
            <w:pPr>
              <w:widowControl/>
              <w:jc w:val="center"/>
              <w:rPr>
                <w:rFonts w:ascii="宋体" w:hAnsi="宋体" w:cs="宋体"/>
                <w:color w:val="000000"/>
                <w:kern w:val="0"/>
                <w:sz w:val="20"/>
              </w:rPr>
            </w:pPr>
            <w:r>
              <w:rPr>
                <w:rFonts w:hint="eastAsia" w:ascii="宋体" w:hAnsi="宋体" w:cs="宋体"/>
                <w:color w:val="000000"/>
                <w:kern w:val="0"/>
                <w:sz w:val="20"/>
              </w:rPr>
              <w:t>电控系统</w:t>
            </w:r>
          </w:p>
        </w:tc>
        <w:tc>
          <w:tcPr>
            <w:tcW w:w="4536" w:type="dxa"/>
            <w:tcBorders>
              <w:top w:val="nil"/>
              <w:left w:val="nil"/>
              <w:bottom w:val="single" w:color="auto" w:sz="4" w:space="0"/>
              <w:right w:val="single" w:color="auto" w:sz="4" w:space="0"/>
            </w:tcBorders>
            <w:shd w:val="clear" w:color="auto" w:fill="auto"/>
            <w:vAlign w:val="center"/>
          </w:tcPr>
          <w:p w14:paraId="0B070E2F">
            <w:pPr>
              <w:widowControl/>
              <w:jc w:val="center"/>
              <w:rPr>
                <w:rFonts w:ascii="宋体" w:hAnsi="宋体" w:cs="宋体"/>
                <w:color w:val="000000"/>
                <w:kern w:val="0"/>
                <w:sz w:val="20"/>
              </w:rPr>
            </w:pPr>
            <w:r>
              <w:rPr>
                <w:rFonts w:hint="eastAsia" w:ascii="宋体" w:hAnsi="宋体" w:cs="宋体"/>
                <w:color w:val="000000"/>
                <w:kern w:val="0"/>
                <w:sz w:val="20"/>
              </w:rPr>
              <w:t>1、电气系统设计；2、新增电控柜及配置电气元件；3、本项目新增设备与现有设备的电缆线连接；4、所有电缆传感器、电缆、桥架、线管等。</w:t>
            </w:r>
          </w:p>
        </w:tc>
        <w:tc>
          <w:tcPr>
            <w:tcW w:w="850" w:type="dxa"/>
            <w:tcBorders>
              <w:top w:val="nil"/>
              <w:left w:val="nil"/>
              <w:bottom w:val="single" w:color="auto" w:sz="4" w:space="0"/>
              <w:right w:val="single" w:color="auto" w:sz="4" w:space="0"/>
            </w:tcBorders>
            <w:shd w:val="clear" w:color="auto" w:fill="auto"/>
            <w:vAlign w:val="center"/>
          </w:tcPr>
          <w:p w14:paraId="092D7107">
            <w:pPr>
              <w:widowControl/>
              <w:jc w:val="center"/>
              <w:rPr>
                <w:rFonts w:ascii="宋体" w:hAnsi="宋体" w:cs="宋体"/>
                <w:color w:val="000000"/>
                <w:kern w:val="0"/>
                <w:sz w:val="20"/>
              </w:rPr>
            </w:pPr>
            <w:r>
              <w:rPr>
                <w:rFonts w:hint="eastAsia" w:ascii="宋体" w:hAnsi="宋体" w:cs="宋体"/>
                <w:color w:val="000000"/>
                <w:kern w:val="0"/>
                <w:sz w:val="20"/>
              </w:rPr>
              <w:t>1台套</w:t>
            </w:r>
          </w:p>
        </w:tc>
        <w:tc>
          <w:tcPr>
            <w:tcW w:w="1669" w:type="dxa"/>
            <w:tcBorders>
              <w:top w:val="nil"/>
              <w:left w:val="nil"/>
              <w:bottom w:val="single" w:color="auto" w:sz="4" w:space="0"/>
              <w:right w:val="single" w:color="auto" w:sz="4" w:space="0"/>
            </w:tcBorders>
            <w:shd w:val="clear" w:color="auto" w:fill="auto"/>
            <w:vAlign w:val="center"/>
          </w:tcPr>
          <w:p w14:paraId="2E855E68">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2E69F6C1">
        <w:tblPrEx>
          <w:tblCellMar>
            <w:top w:w="0" w:type="dxa"/>
            <w:left w:w="108" w:type="dxa"/>
            <w:bottom w:w="0" w:type="dxa"/>
            <w:right w:w="108" w:type="dxa"/>
          </w:tblCellMar>
        </w:tblPrEx>
        <w:trPr>
          <w:trHeight w:val="480" w:hRule="atLeast"/>
        </w:trPr>
        <w:tc>
          <w:tcPr>
            <w:tcW w:w="846" w:type="dxa"/>
            <w:tcBorders>
              <w:top w:val="nil"/>
              <w:left w:val="single" w:color="auto" w:sz="4" w:space="0"/>
              <w:bottom w:val="single" w:color="auto" w:sz="4" w:space="0"/>
              <w:right w:val="single" w:color="auto" w:sz="4" w:space="0"/>
            </w:tcBorders>
            <w:shd w:val="clear" w:color="FFFFFF" w:fill="FFFFFF"/>
            <w:vAlign w:val="center"/>
          </w:tcPr>
          <w:p w14:paraId="1C5ACC8A">
            <w:pPr>
              <w:widowControl/>
              <w:jc w:val="center"/>
              <w:rPr>
                <w:rFonts w:ascii="宋体" w:hAnsi="宋体" w:cs="宋体"/>
                <w:kern w:val="0"/>
                <w:sz w:val="20"/>
              </w:rPr>
            </w:pPr>
            <w:r>
              <w:rPr>
                <w:rFonts w:ascii="宋体" w:hAnsi="宋体" w:cs="宋体"/>
                <w:kern w:val="0"/>
                <w:sz w:val="20"/>
              </w:rPr>
              <w:t>5</w:t>
            </w:r>
          </w:p>
        </w:tc>
        <w:tc>
          <w:tcPr>
            <w:tcW w:w="1701" w:type="dxa"/>
            <w:tcBorders>
              <w:top w:val="nil"/>
              <w:left w:val="nil"/>
              <w:bottom w:val="single" w:color="auto" w:sz="4" w:space="0"/>
              <w:right w:val="single" w:color="auto" w:sz="4" w:space="0"/>
            </w:tcBorders>
            <w:shd w:val="clear" w:color="auto" w:fill="auto"/>
            <w:vAlign w:val="center"/>
          </w:tcPr>
          <w:p w14:paraId="7E2A5C7B">
            <w:pPr>
              <w:widowControl/>
              <w:jc w:val="center"/>
              <w:rPr>
                <w:rFonts w:ascii="宋体" w:hAnsi="宋体" w:cs="宋体"/>
                <w:color w:val="000000"/>
                <w:kern w:val="0"/>
                <w:sz w:val="20"/>
              </w:rPr>
            </w:pPr>
            <w:r>
              <w:rPr>
                <w:rFonts w:hint="eastAsia" w:ascii="宋体" w:hAnsi="宋体" w:cs="宋体"/>
                <w:color w:val="000000"/>
                <w:kern w:val="0"/>
                <w:sz w:val="20"/>
              </w:rPr>
              <w:t>公用设施</w:t>
            </w:r>
          </w:p>
        </w:tc>
        <w:tc>
          <w:tcPr>
            <w:tcW w:w="4536" w:type="dxa"/>
            <w:tcBorders>
              <w:top w:val="nil"/>
              <w:left w:val="nil"/>
              <w:bottom w:val="single" w:color="auto" w:sz="4" w:space="0"/>
              <w:right w:val="single" w:color="auto" w:sz="4" w:space="0"/>
            </w:tcBorders>
            <w:shd w:val="clear" w:color="auto" w:fill="auto"/>
            <w:vAlign w:val="center"/>
          </w:tcPr>
          <w:p w14:paraId="141F697E">
            <w:pPr>
              <w:widowControl/>
              <w:rPr>
                <w:rFonts w:ascii="宋体" w:hAnsi="宋体" w:cs="宋体"/>
                <w:color w:val="000000"/>
                <w:kern w:val="0"/>
                <w:sz w:val="20"/>
              </w:rPr>
            </w:pPr>
            <w:r>
              <w:rPr>
                <w:rFonts w:hint="eastAsia" w:ascii="宋体" w:hAnsi="宋体" w:cs="宋体"/>
                <w:color w:val="000000"/>
                <w:kern w:val="0"/>
                <w:sz w:val="20"/>
              </w:rPr>
              <w:t>1、设备基础；2、供电电缆及敷设。</w:t>
            </w:r>
          </w:p>
        </w:tc>
        <w:tc>
          <w:tcPr>
            <w:tcW w:w="850" w:type="dxa"/>
            <w:tcBorders>
              <w:top w:val="nil"/>
              <w:left w:val="nil"/>
              <w:bottom w:val="single" w:color="auto" w:sz="4" w:space="0"/>
              <w:right w:val="single" w:color="auto" w:sz="4" w:space="0"/>
            </w:tcBorders>
            <w:shd w:val="clear" w:color="auto" w:fill="auto"/>
            <w:noWrap/>
            <w:vAlign w:val="center"/>
          </w:tcPr>
          <w:p w14:paraId="0663A51A">
            <w:pPr>
              <w:widowControl/>
              <w:jc w:val="center"/>
              <w:rPr>
                <w:rFonts w:ascii="宋体" w:hAnsi="宋体" w:cs="宋体"/>
                <w:color w:val="000000"/>
                <w:kern w:val="0"/>
                <w:sz w:val="20"/>
              </w:rPr>
            </w:pPr>
            <w:r>
              <w:rPr>
                <w:rFonts w:hint="eastAsia" w:ascii="宋体" w:hAnsi="宋体" w:cs="宋体"/>
                <w:color w:val="000000"/>
                <w:kern w:val="0"/>
                <w:sz w:val="20"/>
              </w:rPr>
              <w:t>1项</w:t>
            </w:r>
          </w:p>
        </w:tc>
        <w:tc>
          <w:tcPr>
            <w:tcW w:w="1669" w:type="dxa"/>
            <w:tcBorders>
              <w:top w:val="nil"/>
              <w:left w:val="nil"/>
              <w:bottom w:val="single" w:color="auto" w:sz="4" w:space="0"/>
              <w:right w:val="single" w:color="auto" w:sz="4" w:space="0"/>
            </w:tcBorders>
            <w:shd w:val="clear" w:color="auto" w:fill="auto"/>
            <w:vAlign w:val="center"/>
          </w:tcPr>
          <w:p w14:paraId="309FB836">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46FB0FD6">
        <w:tblPrEx>
          <w:tblCellMar>
            <w:top w:w="0" w:type="dxa"/>
            <w:left w:w="108" w:type="dxa"/>
            <w:bottom w:w="0" w:type="dxa"/>
            <w:right w:w="108" w:type="dxa"/>
          </w:tblCellMar>
        </w:tblPrEx>
        <w:trPr>
          <w:trHeight w:val="645" w:hRule="atLeast"/>
        </w:trPr>
        <w:tc>
          <w:tcPr>
            <w:tcW w:w="846" w:type="dxa"/>
            <w:tcBorders>
              <w:top w:val="nil"/>
              <w:left w:val="single" w:color="auto" w:sz="4" w:space="0"/>
              <w:bottom w:val="single" w:color="auto" w:sz="4" w:space="0"/>
              <w:right w:val="single" w:color="auto" w:sz="4" w:space="0"/>
            </w:tcBorders>
            <w:shd w:val="clear" w:color="FFFFFF" w:fill="FFFFFF"/>
            <w:vAlign w:val="center"/>
          </w:tcPr>
          <w:p w14:paraId="5AAAB719">
            <w:pPr>
              <w:widowControl/>
              <w:jc w:val="center"/>
              <w:rPr>
                <w:rFonts w:ascii="宋体" w:hAnsi="宋体" w:cs="宋体"/>
                <w:b/>
                <w:bCs/>
                <w:kern w:val="0"/>
                <w:sz w:val="20"/>
              </w:rPr>
            </w:pPr>
            <w:r>
              <w:rPr>
                <w:rFonts w:ascii="宋体" w:hAnsi="宋体" w:cs="宋体"/>
                <w:b/>
                <w:bCs/>
                <w:kern w:val="0"/>
                <w:sz w:val="20"/>
              </w:rPr>
              <w:t>6</w:t>
            </w:r>
          </w:p>
        </w:tc>
        <w:tc>
          <w:tcPr>
            <w:tcW w:w="1701" w:type="dxa"/>
            <w:tcBorders>
              <w:top w:val="nil"/>
              <w:left w:val="nil"/>
              <w:bottom w:val="single" w:color="auto" w:sz="4" w:space="0"/>
              <w:right w:val="single" w:color="auto" w:sz="4" w:space="0"/>
            </w:tcBorders>
            <w:shd w:val="clear" w:color="auto" w:fill="auto"/>
            <w:vAlign w:val="center"/>
          </w:tcPr>
          <w:p w14:paraId="3CA1B0CC">
            <w:pPr>
              <w:widowControl/>
              <w:jc w:val="center"/>
              <w:rPr>
                <w:rFonts w:ascii="宋体" w:hAnsi="宋体" w:cs="宋体"/>
                <w:color w:val="000000"/>
                <w:kern w:val="0"/>
                <w:sz w:val="20"/>
              </w:rPr>
            </w:pPr>
            <w:r>
              <w:rPr>
                <w:rFonts w:hint="eastAsia" w:ascii="宋体" w:hAnsi="宋体" w:cs="宋体"/>
                <w:color w:val="000000"/>
                <w:kern w:val="0"/>
                <w:sz w:val="20"/>
              </w:rPr>
              <w:t>包装运输</w:t>
            </w:r>
          </w:p>
        </w:tc>
        <w:tc>
          <w:tcPr>
            <w:tcW w:w="4536" w:type="dxa"/>
            <w:tcBorders>
              <w:top w:val="nil"/>
              <w:left w:val="nil"/>
              <w:bottom w:val="single" w:color="auto" w:sz="4" w:space="0"/>
              <w:right w:val="single" w:color="auto" w:sz="4" w:space="0"/>
            </w:tcBorders>
            <w:shd w:val="clear" w:color="auto" w:fill="auto"/>
            <w:vAlign w:val="center"/>
          </w:tcPr>
          <w:p w14:paraId="20C36630">
            <w:pPr>
              <w:widowControl/>
              <w:jc w:val="center"/>
              <w:rPr>
                <w:rFonts w:ascii="宋体" w:hAnsi="宋体" w:cs="宋体"/>
                <w:color w:val="000000"/>
                <w:kern w:val="0"/>
                <w:sz w:val="20"/>
              </w:rPr>
            </w:pPr>
            <w:r>
              <w:rPr>
                <w:rFonts w:hint="eastAsia" w:ascii="宋体" w:hAnsi="宋体" w:cs="宋体"/>
                <w:color w:val="000000"/>
                <w:kern w:val="0"/>
                <w:sz w:val="20"/>
              </w:rPr>
              <w:t>设备包装并发送到萧山的运费。</w:t>
            </w:r>
          </w:p>
        </w:tc>
        <w:tc>
          <w:tcPr>
            <w:tcW w:w="850" w:type="dxa"/>
            <w:tcBorders>
              <w:top w:val="nil"/>
              <w:left w:val="nil"/>
              <w:bottom w:val="single" w:color="auto" w:sz="4" w:space="0"/>
              <w:right w:val="single" w:color="auto" w:sz="4" w:space="0"/>
            </w:tcBorders>
            <w:shd w:val="clear" w:color="auto" w:fill="auto"/>
            <w:noWrap/>
            <w:vAlign w:val="center"/>
          </w:tcPr>
          <w:p w14:paraId="33F5C807">
            <w:pPr>
              <w:widowControl/>
              <w:jc w:val="center"/>
              <w:rPr>
                <w:rFonts w:ascii="宋体" w:hAnsi="宋体" w:cs="宋体"/>
                <w:color w:val="000000"/>
                <w:kern w:val="0"/>
                <w:sz w:val="20"/>
              </w:rPr>
            </w:pPr>
            <w:r>
              <w:rPr>
                <w:rFonts w:hint="eastAsia" w:ascii="宋体" w:hAnsi="宋体" w:cs="宋体"/>
                <w:color w:val="000000"/>
                <w:kern w:val="0"/>
                <w:sz w:val="20"/>
              </w:rPr>
              <w:t>1项</w:t>
            </w:r>
          </w:p>
        </w:tc>
        <w:tc>
          <w:tcPr>
            <w:tcW w:w="1669" w:type="dxa"/>
            <w:tcBorders>
              <w:top w:val="nil"/>
              <w:left w:val="nil"/>
              <w:bottom w:val="single" w:color="auto" w:sz="4" w:space="0"/>
              <w:right w:val="single" w:color="auto" w:sz="4" w:space="0"/>
            </w:tcBorders>
            <w:shd w:val="clear" w:color="auto" w:fill="auto"/>
            <w:noWrap/>
            <w:vAlign w:val="center"/>
          </w:tcPr>
          <w:p w14:paraId="4A4C628C">
            <w:pPr>
              <w:widowControl/>
              <w:rPr>
                <w:rFonts w:ascii="宋体" w:hAnsi="宋体" w:cs="宋体"/>
                <w:color w:val="000000"/>
                <w:kern w:val="0"/>
                <w:sz w:val="20"/>
              </w:rPr>
            </w:pPr>
            <w:r>
              <w:rPr>
                <w:rFonts w:hint="eastAsia" w:ascii="宋体" w:hAnsi="宋体" w:cs="宋体"/>
                <w:color w:val="000000"/>
                <w:kern w:val="0"/>
                <w:sz w:val="20"/>
              </w:rPr>
              <w:t>　</w:t>
            </w:r>
          </w:p>
        </w:tc>
      </w:tr>
      <w:tr w14:paraId="6621872A">
        <w:tblPrEx>
          <w:tblCellMar>
            <w:top w:w="0" w:type="dxa"/>
            <w:left w:w="108" w:type="dxa"/>
            <w:bottom w:w="0" w:type="dxa"/>
            <w:right w:w="108" w:type="dxa"/>
          </w:tblCellMar>
        </w:tblPrEx>
        <w:trPr>
          <w:trHeight w:val="480" w:hRule="atLeast"/>
        </w:trPr>
        <w:tc>
          <w:tcPr>
            <w:tcW w:w="846" w:type="dxa"/>
            <w:tcBorders>
              <w:top w:val="nil"/>
              <w:left w:val="single" w:color="auto" w:sz="4" w:space="0"/>
              <w:bottom w:val="single" w:color="auto" w:sz="4" w:space="0"/>
              <w:right w:val="single" w:color="auto" w:sz="4" w:space="0"/>
            </w:tcBorders>
            <w:shd w:val="clear" w:color="FFFFFF" w:fill="FFFFFF"/>
            <w:vAlign w:val="center"/>
          </w:tcPr>
          <w:p w14:paraId="3430D461">
            <w:pPr>
              <w:widowControl/>
              <w:jc w:val="center"/>
              <w:rPr>
                <w:rFonts w:ascii="宋体" w:hAnsi="宋体" w:cs="宋体"/>
                <w:b/>
                <w:bCs/>
                <w:kern w:val="0"/>
                <w:sz w:val="20"/>
              </w:rPr>
            </w:pPr>
            <w:r>
              <w:rPr>
                <w:rFonts w:ascii="宋体" w:hAnsi="宋体" w:cs="宋体"/>
                <w:b/>
                <w:bCs/>
                <w:kern w:val="0"/>
                <w:sz w:val="20"/>
              </w:rPr>
              <w:t>7</w:t>
            </w:r>
          </w:p>
        </w:tc>
        <w:tc>
          <w:tcPr>
            <w:tcW w:w="1701" w:type="dxa"/>
            <w:tcBorders>
              <w:top w:val="nil"/>
              <w:left w:val="nil"/>
              <w:bottom w:val="single" w:color="auto" w:sz="4" w:space="0"/>
              <w:right w:val="single" w:color="auto" w:sz="4" w:space="0"/>
            </w:tcBorders>
            <w:shd w:val="clear" w:color="auto" w:fill="auto"/>
            <w:vAlign w:val="center"/>
          </w:tcPr>
          <w:p w14:paraId="3994574B">
            <w:pPr>
              <w:widowControl/>
              <w:jc w:val="center"/>
              <w:rPr>
                <w:rFonts w:ascii="宋体" w:hAnsi="宋体" w:cs="宋体"/>
                <w:color w:val="000000"/>
                <w:kern w:val="0"/>
                <w:sz w:val="20"/>
              </w:rPr>
            </w:pPr>
            <w:r>
              <w:rPr>
                <w:rFonts w:hint="eastAsia" w:ascii="宋体" w:hAnsi="宋体" w:cs="宋体"/>
                <w:color w:val="000000"/>
                <w:kern w:val="0"/>
                <w:sz w:val="20"/>
              </w:rPr>
              <w:t>安装调试</w:t>
            </w:r>
          </w:p>
        </w:tc>
        <w:tc>
          <w:tcPr>
            <w:tcW w:w="4536" w:type="dxa"/>
            <w:tcBorders>
              <w:top w:val="nil"/>
              <w:left w:val="nil"/>
              <w:bottom w:val="single" w:color="auto" w:sz="4" w:space="0"/>
              <w:right w:val="single" w:color="auto" w:sz="4" w:space="0"/>
            </w:tcBorders>
            <w:shd w:val="clear" w:color="auto" w:fill="auto"/>
            <w:vAlign w:val="center"/>
          </w:tcPr>
          <w:p w14:paraId="1DA3B09F">
            <w:pPr>
              <w:widowControl/>
              <w:rPr>
                <w:rFonts w:ascii="宋体" w:hAnsi="宋体" w:cs="宋体"/>
                <w:color w:val="000000"/>
                <w:kern w:val="0"/>
                <w:sz w:val="20"/>
              </w:rPr>
            </w:pPr>
            <w:r>
              <w:rPr>
                <w:rFonts w:hint="eastAsia" w:ascii="宋体" w:hAnsi="宋体" w:cs="宋体"/>
                <w:color w:val="000000"/>
                <w:kern w:val="0"/>
                <w:sz w:val="20"/>
              </w:rPr>
              <w:t>包括新增设备机械电气硬件安装调试、试生产及终验收后短期陪产、培训等。</w:t>
            </w:r>
          </w:p>
        </w:tc>
        <w:tc>
          <w:tcPr>
            <w:tcW w:w="850" w:type="dxa"/>
            <w:tcBorders>
              <w:top w:val="nil"/>
              <w:left w:val="nil"/>
              <w:bottom w:val="single" w:color="auto" w:sz="4" w:space="0"/>
              <w:right w:val="single" w:color="auto" w:sz="4" w:space="0"/>
            </w:tcBorders>
            <w:shd w:val="clear" w:color="auto" w:fill="auto"/>
            <w:noWrap/>
            <w:vAlign w:val="center"/>
          </w:tcPr>
          <w:p w14:paraId="5535B131">
            <w:pPr>
              <w:widowControl/>
              <w:jc w:val="center"/>
              <w:rPr>
                <w:rFonts w:ascii="宋体" w:hAnsi="宋体" w:cs="宋体"/>
                <w:color w:val="000000"/>
                <w:kern w:val="0"/>
                <w:sz w:val="20"/>
              </w:rPr>
            </w:pPr>
            <w:r>
              <w:rPr>
                <w:rFonts w:hint="eastAsia" w:ascii="宋体" w:hAnsi="宋体" w:cs="宋体"/>
                <w:color w:val="000000"/>
                <w:kern w:val="0"/>
                <w:sz w:val="20"/>
              </w:rPr>
              <w:t>1项</w:t>
            </w:r>
          </w:p>
        </w:tc>
        <w:tc>
          <w:tcPr>
            <w:tcW w:w="1669" w:type="dxa"/>
            <w:tcBorders>
              <w:top w:val="nil"/>
              <w:left w:val="nil"/>
              <w:bottom w:val="single" w:color="auto" w:sz="4" w:space="0"/>
              <w:right w:val="single" w:color="auto" w:sz="4" w:space="0"/>
            </w:tcBorders>
            <w:shd w:val="clear" w:color="auto" w:fill="auto"/>
            <w:noWrap/>
            <w:vAlign w:val="center"/>
          </w:tcPr>
          <w:p w14:paraId="2B70D383">
            <w:pPr>
              <w:widowControl/>
              <w:rPr>
                <w:rFonts w:ascii="宋体" w:hAnsi="宋体" w:cs="宋体"/>
                <w:color w:val="000000"/>
                <w:kern w:val="0"/>
                <w:sz w:val="20"/>
              </w:rPr>
            </w:pPr>
            <w:r>
              <w:rPr>
                <w:rFonts w:hint="eastAsia" w:ascii="宋体" w:hAnsi="宋体" w:cs="宋体"/>
                <w:color w:val="000000"/>
                <w:kern w:val="0"/>
                <w:sz w:val="20"/>
              </w:rPr>
              <w:t>不包含机器人调试、PLC编程及现场程序功能测试。</w:t>
            </w:r>
            <w:r>
              <w:rPr>
                <w:rFonts w:hint="eastAsia" w:ascii="宋体" w:hAnsi="宋体" w:cs="宋体"/>
                <w:color w:val="000000"/>
                <w:kern w:val="0"/>
                <w:sz w:val="20"/>
                <w:highlight w:val="cyan"/>
              </w:rPr>
              <w:t>　</w:t>
            </w:r>
          </w:p>
        </w:tc>
      </w:tr>
    </w:tbl>
    <w:p w14:paraId="36D73BB9">
      <w:pPr>
        <w:spacing w:line="360" w:lineRule="auto"/>
        <w:rPr>
          <w:sz w:val="24"/>
          <w:szCs w:val="24"/>
        </w:rPr>
      </w:pPr>
    </w:p>
    <w:p w14:paraId="670CCC47">
      <w:pPr>
        <w:spacing w:line="360" w:lineRule="auto"/>
        <w:rPr>
          <w:sz w:val="24"/>
          <w:szCs w:val="24"/>
        </w:rPr>
      </w:pPr>
      <w:r>
        <w:rPr>
          <w:rFonts w:hint="eastAsia"/>
          <w:sz w:val="24"/>
          <w:szCs w:val="24"/>
        </w:rPr>
        <w:t>备注：</w:t>
      </w:r>
    </w:p>
    <w:p w14:paraId="798F9A1F">
      <w:pPr>
        <w:spacing w:line="360" w:lineRule="auto"/>
        <w:rPr>
          <w:sz w:val="24"/>
          <w:szCs w:val="24"/>
        </w:rPr>
      </w:pPr>
      <w:r>
        <w:rPr>
          <w:rFonts w:hint="eastAsia"/>
          <w:sz w:val="24"/>
          <w:szCs w:val="24"/>
        </w:rPr>
        <w:t>1、本表所列采购货物仅为货物的主要构成部分，应配套供货以及招标人所列其他货物（或设备）和服务，请投标人认真阅读“供货范围”。若有异议，不管是多么微小，都应在投标档“商务偏离”章节中予以详细说明。</w:t>
      </w:r>
    </w:p>
    <w:p w14:paraId="277A0A10">
      <w:pPr>
        <w:spacing w:line="360" w:lineRule="auto"/>
        <w:rPr>
          <w:sz w:val="24"/>
          <w:szCs w:val="24"/>
        </w:rPr>
      </w:pPr>
      <w:r>
        <w:rPr>
          <w:rFonts w:hint="eastAsia"/>
          <w:sz w:val="24"/>
          <w:szCs w:val="24"/>
        </w:rPr>
        <w:t>2、本表“供货方式”指：包括制造、运输、定点卸货、安装、调试（包括新增设备机械电气硬件安装调试，不含机器人程序、PLC编程及现场程序功能测试，下同）和协助验收以及约定培训等。</w:t>
      </w:r>
    </w:p>
    <w:p w14:paraId="79327356">
      <w:pPr>
        <w:spacing w:line="360" w:lineRule="auto"/>
        <w:rPr>
          <w:sz w:val="24"/>
          <w:szCs w:val="24"/>
        </w:rPr>
      </w:pPr>
      <w:r>
        <w:rPr>
          <w:rFonts w:hint="eastAsia"/>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3569D59">
      <w:pPr>
        <w:spacing w:line="360" w:lineRule="auto"/>
        <w:rPr>
          <w:sz w:val="24"/>
          <w:szCs w:val="24"/>
        </w:rPr>
      </w:pPr>
      <w:r>
        <w:rPr>
          <w:rFonts w:hint="eastAsia"/>
          <w:sz w:val="24"/>
          <w:szCs w:val="24"/>
        </w:rPr>
        <w:t>四、采购货物特别说明</w:t>
      </w:r>
    </w:p>
    <w:p w14:paraId="4620E048">
      <w:pPr>
        <w:spacing w:line="360" w:lineRule="auto"/>
        <w:ind w:firstLine="480" w:firstLineChars="200"/>
        <w:rPr>
          <w:sz w:val="24"/>
          <w:szCs w:val="24"/>
        </w:rPr>
      </w:pPr>
      <w:r>
        <w:rPr>
          <w:rFonts w:hint="eastAsia"/>
          <w:sz w:val="24"/>
          <w:szCs w:val="24"/>
        </w:rPr>
        <w:t>招标人所列货物的名称和规格型号，如为某一供应商所特有，则该名称和规格型号可作参考，但要求投标人所提供的货物必须满足本技术标书实质性要求。</w:t>
      </w:r>
    </w:p>
    <w:p w14:paraId="14B68B62">
      <w:pPr>
        <w:spacing w:line="360" w:lineRule="auto"/>
        <w:rPr>
          <w:rFonts w:hAnsi="Calibri"/>
          <w:sz w:val="24"/>
          <w:szCs w:val="24"/>
        </w:rPr>
      </w:pPr>
      <w:r>
        <w:rPr>
          <w:rFonts w:hint="eastAsia"/>
          <w:sz w:val="24"/>
          <w:szCs w:val="24"/>
        </w:rPr>
        <w:t>第二章</w:t>
      </w:r>
      <w:r>
        <w:rPr>
          <w:sz w:val="24"/>
          <w:szCs w:val="24"/>
        </w:rPr>
        <w:t xml:space="preserve">  </w:t>
      </w:r>
      <w:r>
        <w:rPr>
          <w:rFonts w:hint="eastAsia"/>
          <w:sz w:val="24"/>
          <w:szCs w:val="24"/>
        </w:rPr>
        <w:t>技术要求</w:t>
      </w:r>
    </w:p>
    <w:p w14:paraId="4FD38E52">
      <w:pPr>
        <w:spacing w:line="360" w:lineRule="auto"/>
        <w:rPr>
          <w:sz w:val="24"/>
          <w:szCs w:val="24"/>
        </w:rPr>
      </w:pPr>
      <w:r>
        <w:rPr>
          <w:rFonts w:hint="eastAsia"/>
          <w:sz w:val="24"/>
          <w:szCs w:val="24"/>
        </w:rPr>
        <w:t>一、基本要求</w:t>
      </w:r>
    </w:p>
    <w:p w14:paraId="5CB42539">
      <w:pPr>
        <w:spacing w:line="360" w:lineRule="auto"/>
        <w:rPr>
          <w:sz w:val="24"/>
          <w:szCs w:val="24"/>
        </w:rPr>
      </w:pPr>
      <w:r>
        <w:rPr>
          <w:rFonts w:hint="eastAsia"/>
          <w:sz w:val="24"/>
          <w:szCs w:val="24"/>
        </w:rPr>
        <w:t>1、本章技术要求，仅对功能、设计、结构、性能、安装和试验检验等方面，提出了最低和一般性的技术要求，并未对一切技术细节作出规定。</w:t>
      </w:r>
    </w:p>
    <w:p w14:paraId="559C0070">
      <w:pPr>
        <w:spacing w:line="360" w:lineRule="auto"/>
        <w:rPr>
          <w:sz w:val="24"/>
          <w:szCs w:val="24"/>
        </w:rPr>
      </w:pPr>
      <w:r>
        <w:rPr>
          <w:rFonts w:hint="eastAsia"/>
          <w:sz w:val="24"/>
          <w:szCs w:val="24"/>
        </w:rPr>
        <w:t>2、本技术要求所使用的标准、规范等，如与投标人所执行的标准、规范不一致时，应按高于本技术要求所列的标准、规范执行。</w:t>
      </w:r>
    </w:p>
    <w:p w14:paraId="244849C6">
      <w:pPr>
        <w:spacing w:line="360" w:lineRule="auto"/>
        <w:rPr>
          <w:sz w:val="24"/>
          <w:szCs w:val="24"/>
        </w:rPr>
      </w:pPr>
      <w:r>
        <w:rPr>
          <w:rFonts w:hint="eastAsia"/>
          <w:sz w:val="24"/>
          <w:szCs w:val="24"/>
        </w:rPr>
        <w:t>3、投标人认为所供货物必需由招标人配备、解决或提供的其他要求均应在投标档“技术偏离”中予以充分说明。</w:t>
      </w:r>
    </w:p>
    <w:p w14:paraId="0BD99492">
      <w:pPr>
        <w:spacing w:line="360" w:lineRule="auto"/>
        <w:rPr>
          <w:sz w:val="24"/>
          <w:szCs w:val="24"/>
        </w:rPr>
      </w:pPr>
      <w:r>
        <w:rPr>
          <w:rFonts w:hint="eastAsia"/>
          <w:sz w:val="24"/>
          <w:szCs w:val="24"/>
        </w:rPr>
        <w:t>4、投标人应根据招投标货物具体要求，提出对厂房、设备基础（或安装平台）、公用设施、消防、环保等超出招标档、投标档、答疑档、技术交流档、技术协议书和合同等规定的、有特殊需要的解释、说明和要求。</w:t>
      </w:r>
    </w:p>
    <w:p w14:paraId="7F831E7A">
      <w:pPr>
        <w:spacing w:line="360" w:lineRule="auto"/>
        <w:rPr>
          <w:sz w:val="24"/>
          <w:szCs w:val="24"/>
        </w:rPr>
      </w:pPr>
      <w:r>
        <w:rPr>
          <w:rFonts w:hint="eastAsia"/>
          <w:sz w:val="24"/>
          <w:szCs w:val="24"/>
        </w:rPr>
        <w:t>5、无论是否有技术偏离，投标人均应在投标档“技术偏离”中明确作出有无说明。若有异议，不管是多么微小，投标人必须予以明确和详细的说明或澄清。</w:t>
      </w:r>
    </w:p>
    <w:p w14:paraId="0B6D2BC8">
      <w:pPr>
        <w:spacing w:line="360" w:lineRule="auto"/>
        <w:rPr>
          <w:sz w:val="24"/>
          <w:szCs w:val="24"/>
        </w:rPr>
      </w:pPr>
      <w:r>
        <w:rPr>
          <w:rFonts w:hint="eastAsia"/>
          <w:sz w:val="24"/>
          <w:szCs w:val="24"/>
        </w:rPr>
        <w:t>6、为避免投标人优势在招标评审时漏项，质保期超出本技术标书要求的，应当在投标档“技术偏离”中特别注明。</w:t>
      </w:r>
    </w:p>
    <w:p w14:paraId="1DD3F6A4">
      <w:pPr>
        <w:spacing w:line="360" w:lineRule="auto"/>
        <w:rPr>
          <w:sz w:val="24"/>
          <w:szCs w:val="24"/>
        </w:rPr>
      </w:pPr>
      <w:r>
        <w:rPr>
          <w:rFonts w:hint="eastAsia"/>
          <w:sz w:val="24"/>
          <w:szCs w:val="24"/>
        </w:rPr>
        <w:t>7、投标档中，针对“特别提示”条款所做的回应，将作为投标人能否中标的重要依据之一。</w:t>
      </w:r>
    </w:p>
    <w:p w14:paraId="673BBC1C">
      <w:pPr>
        <w:spacing w:line="360" w:lineRule="auto"/>
        <w:rPr>
          <w:sz w:val="24"/>
          <w:szCs w:val="24"/>
        </w:rPr>
      </w:pPr>
      <w:r>
        <w:rPr>
          <w:rFonts w:hint="eastAsia"/>
          <w:sz w:val="24"/>
          <w:szCs w:val="24"/>
        </w:rPr>
        <w:t>二、执行标准</w:t>
      </w:r>
    </w:p>
    <w:p w14:paraId="7097215A">
      <w:pPr>
        <w:spacing w:line="360" w:lineRule="auto"/>
        <w:rPr>
          <w:sz w:val="24"/>
          <w:szCs w:val="24"/>
        </w:rPr>
      </w:pPr>
      <w:r>
        <w:rPr>
          <w:rFonts w:hint="eastAsia"/>
          <w:sz w:val="24"/>
          <w:szCs w:val="24"/>
        </w:rPr>
        <w:t>1、投标人所供的货物，必须符合中国最新版的法律、法规和相关标准、规范的要求，符合项目所在地政府有关特殊要求。</w:t>
      </w:r>
    </w:p>
    <w:p w14:paraId="03CB4FE0">
      <w:pPr>
        <w:spacing w:line="360" w:lineRule="auto"/>
        <w:rPr>
          <w:sz w:val="24"/>
          <w:szCs w:val="24"/>
        </w:rPr>
      </w:pPr>
      <w:r>
        <w:rPr>
          <w:rFonts w:hint="eastAsia"/>
          <w:sz w:val="24"/>
          <w:szCs w:val="24"/>
        </w:rPr>
        <w:t>2、投标人所供货物涉及的专利权技术以及知识产权保护的其他技术等，应保证招标人不因此受到任何侵权指控以及实际损失。</w:t>
      </w:r>
    </w:p>
    <w:p w14:paraId="1D694634">
      <w:pPr>
        <w:spacing w:line="360" w:lineRule="auto"/>
        <w:rPr>
          <w:sz w:val="24"/>
          <w:szCs w:val="24"/>
        </w:rPr>
      </w:pPr>
      <w:r>
        <w:rPr>
          <w:rFonts w:hint="eastAsia"/>
          <w:sz w:val="24"/>
          <w:szCs w:val="24"/>
        </w:rPr>
        <w:t>3、投标人应保证所供货物的先进性、可靠性、经济性和实用性，并为全新货物（或设备）。</w:t>
      </w:r>
    </w:p>
    <w:p w14:paraId="111977F5">
      <w:pPr>
        <w:spacing w:line="360" w:lineRule="auto"/>
        <w:rPr>
          <w:sz w:val="24"/>
          <w:szCs w:val="24"/>
        </w:rPr>
      </w:pPr>
      <w:r>
        <w:rPr>
          <w:rFonts w:hint="eastAsia"/>
          <w:sz w:val="24"/>
          <w:szCs w:val="24"/>
        </w:rPr>
        <w:t>4、投标人应满足招标人提出的各项技术要求，必要时应当免费提供技术承诺或担保。</w:t>
      </w:r>
    </w:p>
    <w:p w14:paraId="60C3A919">
      <w:pPr>
        <w:spacing w:line="360" w:lineRule="auto"/>
        <w:rPr>
          <w:sz w:val="24"/>
          <w:szCs w:val="24"/>
        </w:rPr>
      </w:pPr>
      <w:r>
        <w:rPr>
          <w:rFonts w:hint="eastAsia"/>
          <w:sz w:val="24"/>
          <w:szCs w:val="24"/>
        </w:rPr>
        <w:t>5、投标人应保证所供货物（或设备）为中国政府指定或规定的主管部门公布的非淘汰货物（或设备）。</w:t>
      </w:r>
    </w:p>
    <w:p w14:paraId="7F2EA550">
      <w:pPr>
        <w:spacing w:line="360" w:lineRule="auto"/>
        <w:rPr>
          <w:sz w:val="24"/>
          <w:szCs w:val="24"/>
        </w:rPr>
      </w:pPr>
      <w:r>
        <w:rPr>
          <w:rFonts w:hint="eastAsia"/>
          <w:sz w:val="24"/>
          <w:szCs w:val="24"/>
        </w:rPr>
        <w:t>6、投标人应保证所供货物的完整性和成套性，能保证货物的正常运行、使用。</w:t>
      </w:r>
    </w:p>
    <w:p w14:paraId="7CE17E8F">
      <w:pPr>
        <w:spacing w:line="360" w:lineRule="auto"/>
        <w:rPr>
          <w:sz w:val="24"/>
          <w:szCs w:val="24"/>
        </w:rPr>
      </w:pPr>
      <w:r>
        <w:rPr>
          <w:rFonts w:hint="eastAsia"/>
          <w:sz w:val="24"/>
          <w:szCs w:val="24"/>
        </w:rPr>
        <w:t>7、投标人应对招标人采购的货物所涉及的技术、产能等信息负有保密义务，招标人拥有追究投标人泄密责任的权利；招标人如有需要，投标人应无条件签署保密协议。</w:t>
      </w:r>
    </w:p>
    <w:p w14:paraId="02AE6E25">
      <w:pPr>
        <w:rPr>
          <w:sz w:val="24"/>
          <w:szCs w:val="24"/>
        </w:rPr>
        <w:sectPr>
          <w:footerReference r:id="rId9" w:type="default"/>
          <w:pgSz w:w="11910" w:h="16840"/>
          <w:pgMar w:top="1644" w:right="680" w:bottom="1644" w:left="919" w:header="816" w:footer="2313" w:gutter="0"/>
          <w:cols w:space="720" w:num="1"/>
        </w:sectPr>
      </w:pPr>
    </w:p>
    <w:p w14:paraId="2D3E1434">
      <w:pPr>
        <w:rPr>
          <w:color w:val="0070C0"/>
          <w:sz w:val="24"/>
          <w:szCs w:val="24"/>
          <w:highlight w:val="yellow"/>
        </w:rPr>
      </w:pPr>
      <w:r>
        <w:rPr>
          <w:rFonts w:hint="eastAsia"/>
          <w:sz w:val="24"/>
          <w:szCs w:val="24"/>
        </w:rPr>
        <w:t>三、技术要求概况：</w:t>
      </w:r>
    </w:p>
    <w:p w14:paraId="6C7B89CE">
      <w:pPr>
        <w:widowControl/>
        <w:spacing w:line="288" w:lineRule="auto"/>
        <w:rPr>
          <w:sz w:val="24"/>
          <w:szCs w:val="24"/>
        </w:rPr>
      </w:pPr>
      <w:r>
        <w:rPr>
          <w:rFonts w:hint="eastAsia"/>
          <w:sz w:val="24"/>
          <w:szCs w:val="24"/>
        </w:rPr>
        <w:t>1、按照招标方确定的浸涂机器人位置调整MC缸盖组芯线辊道及挡停器，更换升降台，升降台采用电机链式驱动，</w:t>
      </w:r>
      <w:r>
        <w:rPr>
          <w:sz w:val="24"/>
          <w:szCs w:val="24"/>
        </w:rPr>
        <w:t>托板尺寸1400*900mm</w:t>
      </w:r>
      <w:r>
        <w:rPr>
          <w:rFonts w:hint="eastAsia"/>
          <w:sz w:val="24"/>
          <w:szCs w:val="24"/>
        </w:rPr>
        <w:t>，升降行程</w:t>
      </w:r>
      <w:r>
        <w:rPr>
          <w:sz w:val="24"/>
          <w:szCs w:val="24"/>
        </w:rPr>
        <w:t>400</w:t>
      </w:r>
      <w:r>
        <w:rPr>
          <w:rFonts w:hint="eastAsia"/>
          <w:sz w:val="24"/>
          <w:szCs w:val="24"/>
        </w:rPr>
        <w:t>，</w:t>
      </w:r>
      <w:r>
        <w:rPr>
          <w:sz w:val="24"/>
          <w:szCs w:val="24"/>
        </w:rPr>
        <w:t>载荷500</w:t>
      </w:r>
      <w:r>
        <w:rPr>
          <w:rFonts w:hint="eastAsia"/>
          <w:sz w:val="24"/>
          <w:szCs w:val="24"/>
        </w:rPr>
        <w:t>kg。</w:t>
      </w:r>
    </w:p>
    <w:p w14:paraId="123B799C">
      <w:pPr>
        <w:widowControl/>
        <w:spacing w:line="288" w:lineRule="auto"/>
        <w:rPr>
          <w:sz w:val="24"/>
          <w:szCs w:val="24"/>
        </w:rPr>
      </w:pPr>
      <w:r>
        <w:rPr>
          <w:rFonts w:hint="eastAsia"/>
          <w:sz w:val="24"/>
          <w:szCs w:val="24"/>
        </w:rPr>
        <w:t>2、制作1套MC07</w:t>
      </w:r>
      <w:r>
        <w:rPr>
          <w:sz w:val="24"/>
          <w:szCs w:val="24"/>
        </w:rPr>
        <w:t>/615</w:t>
      </w:r>
      <w:r>
        <w:rPr>
          <w:rFonts w:hint="eastAsia"/>
          <w:sz w:val="24"/>
          <w:szCs w:val="24"/>
        </w:rPr>
        <w:t>缸盖芯机器人夹具快换定位储存架，并配合招标方完成MC07</w:t>
      </w:r>
      <w:r>
        <w:rPr>
          <w:sz w:val="24"/>
          <w:szCs w:val="24"/>
        </w:rPr>
        <w:t>/615</w:t>
      </w:r>
      <w:r>
        <w:rPr>
          <w:rFonts w:hint="eastAsia"/>
          <w:sz w:val="24"/>
          <w:szCs w:val="24"/>
        </w:rPr>
        <w:t>缸盖芯夹具用机器人程序编程和快换功能调试（仅限快换定位储存架调整）。</w:t>
      </w:r>
    </w:p>
    <w:p w14:paraId="1A188BA4">
      <w:pPr>
        <w:widowControl/>
        <w:spacing w:line="288" w:lineRule="auto"/>
        <w:rPr>
          <w:sz w:val="24"/>
          <w:szCs w:val="24"/>
        </w:rPr>
      </w:pPr>
      <w:r>
        <w:rPr>
          <w:rFonts w:hint="eastAsia"/>
          <w:sz w:val="24"/>
          <w:szCs w:val="24"/>
        </w:rPr>
        <w:t>3、旧表干炉进炉口上方安装1个砂芯中转台用于MC砂芯转运中转。</w:t>
      </w:r>
    </w:p>
    <w:p w14:paraId="6B72D54D">
      <w:pPr>
        <w:widowControl/>
        <w:spacing w:line="288" w:lineRule="auto"/>
        <w:rPr>
          <w:sz w:val="24"/>
          <w:szCs w:val="24"/>
        </w:rPr>
      </w:pPr>
      <w:r>
        <w:rPr>
          <w:sz w:val="24"/>
          <w:szCs w:val="24"/>
        </w:rPr>
        <w:t>4</w:t>
      </w:r>
      <w:r>
        <w:rPr>
          <w:rFonts w:hint="eastAsia"/>
          <w:sz w:val="24"/>
          <w:szCs w:val="24"/>
        </w:rPr>
        <w:t>、新表干炉出炉辊道接长1</w:t>
      </w:r>
      <w:r>
        <w:rPr>
          <w:sz w:val="24"/>
          <w:szCs w:val="24"/>
        </w:rPr>
        <w:t>3</w:t>
      </w:r>
      <w:r>
        <w:rPr>
          <w:rFonts w:hint="eastAsia"/>
          <w:sz w:val="24"/>
          <w:szCs w:val="24"/>
        </w:rPr>
        <w:t>米，上层辊道配备5个托板位，下层返回辊道配备2个托板位，安装一套砂芯定位校准装置（校准精度±</w:t>
      </w:r>
      <w:r>
        <w:rPr>
          <w:sz w:val="24"/>
          <w:szCs w:val="24"/>
        </w:rPr>
        <w:t>1</w:t>
      </w:r>
      <w:r>
        <w:rPr>
          <w:rFonts w:hint="eastAsia"/>
          <w:sz w:val="24"/>
          <w:szCs w:val="24"/>
        </w:rPr>
        <w:t>mm）和托板定位装置（定位精度±</w:t>
      </w:r>
      <w:r>
        <w:rPr>
          <w:sz w:val="24"/>
          <w:szCs w:val="24"/>
        </w:rPr>
        <w:t>1</w:t>
      </w:r>
      <w:r>
        <w:rPr>
          <w:rFonts w:hint="eastAsia"/>
          <w:sz w:val="24"/>
          <w:szCs w:val="24"/>
        </w:rPr>
        <w:t>mm），确保砂芯定位精度能满足转运机器人抓取要求。</w:t>
      </w:r>
    </w:p>
    <w:p w14:paraId="60C6D575">
      <w:pPr>
        <w:widowControl/>
        <w:spacing w:line="288" w:lineRule="auto"/>
        <w:rPr>
          <w:sz w:val="24"/>
          <w:szCs w:val="24"/>
        </w:rPr>
      </w:pPr>
      <w:r>
        <w:rPr>
          <w:rFonts w:hint="eastAsia"/>
          <w:sz w:val="24"/>
          <w:szCs w:val="24"/>
        </w:rPr>
        <w:t>5、搬迁、安装新表干炉后升降台，同时搬迁后升降台液压站，重新安装液压管路；原升降台地坑安装盖板。</w:t>
      </w:r>
    </w:p>
    <w:p w14:paraId="676E84F8">
      <w:pPr>
        <w:widowControl/>
        <w:spacing w:line="288" w:lineRule="auto"/>
        <w:rPr>
          <w:sz w:val="24"/>
          <w:szCs w:val="24"/>
        </w:rPr>
      </w:pPr>
      <w:r>
        <w:rPr>
          <w:sz w:val="24"/>
          <w:szCs w:val="24"/>
        </w:rPr>
        <w:t>6</w:t>
      </w:r>
      <w:r>
        <w:rPr>
          <w:rFonts w:hint="eastAsia"/>
          <w:sz w:val="24"/>
          <w:szCs w:val="24"/>
        </w:rPr>
        <w:t>、</w:t>
      </w:r>
      <w:r>
        <w:rPr>
          <w:sz w:val="24"/>
          <w:szCs w:val="24"/>
        </w:rPr>
        <w:t>循环辊道线放芯工位安装</w:t>
      </w:r>
      <w:r>
        <w:rPr>
          <w:rFonts w:hint="eastAsia"/>
          <w:sz w:val="24"/>
          <w:szCs w:val="24"/>
        </w:rPr>
        <w:t>一套烘板定位装置；</w:t>
      </w:r>
      <w:r>
        <w:rPr>
          <w:sz w:val="24"/>
          <w:szCs w:val="24"/>
        </w:rPr>
        <w:t>辊道线转角处安装托板缓冲机构</w:t>
      </w:r>
      <w:r>
        <w:rPr>
          <w:rFonts w:hint="eastAsia"/>
          <w:sz w:val="24"/>
          <w:szCs w:val="24"/>
        </w:rPr>
        <w:t>，</w:t>
      </w:r>
      <w:r>
        <w:rPr>
          <w:sz w:val="24"/>
          <w:szCs w:val="24"/>
        </w:rPr>
        <w:t>并</w:t>
      </w:r>
      <w:r>
        <w:rPr>
          <w:rFonts w:hint="eastAsia"/>
          <w:sz w:val="24"/>
          <w:szCs w:val="24"/>
        </w:rPr>
        <w:t>对砂芯托板进行防滑改造，确保砂芯在输送过程中无移位.</w:t>
      </w:r>
    </w:p>
    <w:p w14:paraId="1EF4AD7D">
      <w:pPr>
        <w:widowControl/>
        <w:spacing w:line="288" w:lineRule="auto"/>
        <w:rPr>
          <w:sz w:val="24"/>
          <w:szCs w:val="24"/>
        </w:rPr>
      </w:pPr>
      <w:r>
        <w:rPr>
          <w:sz w:val="24"/>
          <w:szCs w:val="24"/>
        </w:rPr>
        <w:t>7</w:t>
      </w:r>
      <w:r>
        <w:rPr>
          <w:rFonts w:hint="eastAsia"/>
          <w:sz w:val="24"/>
          <w:szCs w:val="24"/>
        </w:rPr>
        <w:t>、按招标方提供的三维图</w:t>
      </w:r>
      <w:r>
        <w:rPr>
          <w:sz w:val="24"/>
          <w:szCs w:val="24"/>
        </w:rPr>
        <w:t>制作</w:t>
      </w:r>
      <w:r>
        <w:rPr>
          <w:rFonts w:hint="eastAsia"/>
          <w:sz w:val="24"/>
          <w:szCs w:val="24"/>
        </w:rPr>
        <w:t>1套615缸盖转运夹具并配合招标方完成夹具的安装、调试。</w:t>
      </w:r>
    </w:p>
    <w:p w14:paraId="70C000B2">
      <w:pPr>
        <w:widowControl/>
        <w:spacing w:line="288" w:lineRule="auto"/>
        <w:rPr>
          <w:sz w:val="24"/>
          <w:szCs w:val="24"/>
        </w:rPr>
      </w:pPr>
      <w:r>
        <w:rPr>
          <w:sz w:val="24"/>
          <w:szCs w:val="24"/>
        </w:rPr>
        <w:t>8</w:t>
      </w:r>
      <w:r>
        <w:rPr>
          <w:rFonts w:hint="eastAsia"/>
          <w:sz w:val="24"/>
          <w:szCs w:val="24"/>
        </w:rPr>
        <w:t>、下芯辊道线及立库辊道线整线运行平稳性改造。</w:t>
      </w:r>
    </w:p>
    <w:p w14:paraId="7D1BDD64">
      <w:pPr>
        <w:widowControl/>
        <w:spacing w:line="288" w:lineRule="auto"/>
        <w:rPr>
          <w:sz w:val="24"/>
          <w:szCs w:val="24"/>
        </w:rPr>
      </w:pPr>
      <w:r>
        <w:rPr>
          <w:rFonts w:hint="eastAsia"/>
          <w:sz w:val="24"/>
          <w:szCs w:val="24"/>
        </w:rPr>
        <w:t>（1）立库辊道线与下芯辊道线升降机对接处安装托板导向装置，确保烘板运行平稳无卡阻。</w:t>
      </w:r>
    </w:p>
    <w:p w14:paraId="56C362B5">
      <w:pPr>
        <w:widowControl/>
        <w:spacing w:line="288" w:lineRule="auto"/>
        <w:rPr>
          <w:sz w:val="24"/>
          <w:szCs w:val="24"/>
        </w:rPr>
      </w:pPr>
      <w:r>
        <w:rPr>
          <w:rFonts w:hint="eastAsia"/>
          <w:sz w:val="24"/>
          <w:szCs w:val="24"/>
        </w:rPr>
        <w:t>（2）下芯辊道线2#升降机改造：转向电机增加到位减速功能，必要时增加缓冲装置，减少砂芯移位。</w:t>
      </w:r>
    </w:p>
    <w:p w14:paraId="0E80EB14">
      <w:pPr>
        <w:widowControl/>
        <w:spacing w:line="288" w:lineRule="auto"/>
        <w:rPr>
          <w:sz w:val="24"/>
          <w:szCs w:val="24"/>
        </w:rPr>
      </w:pPr>
      <w:r>
        <w:rPr>
          <w:sz w:val="24"/>
          <w:szCs w:val="24"/>
        </w:rPr>
        <w:t>9</w:t>
      </w:r>
      <w:r>
        <w:rPr>
          <w:rFonts w:hint="eastAsia"/>
          <w:sz w:val="24"/>
          <w:szCs w:val="24"/>
        </w:rPr>
        <w:t>、BMD下芯工位前一工位安装1套砂芯定位校准装置及1套托板定位装置。</w:t>
      </w:r>
    </w:p>
    <w:p w14:paraId="2BEDDCD4">
      <w:pPr>
        <w:widowControl/>
        <w:spacing w:line="288" w:lineRule="auto"/>
        <w:rPr>
          <w:sz w:val="24"/>
          <w:szCs w:val="24"/>
        </w:rPr>
      </w:pPr>
      <w:r>
        <w:rPr>
          <w:sz w:val="24"/>
          <w:szCs w:val="24"/>
        </w:rPr>
        <w:t>10</w:t>
      </w:r>
      <w:r>
        <w:rPr>
          <w:rFonts w:hint="eastAsia"/>
          <w:sz w:val="24"/>
          <w:szCs w:val="24"/>
        </w:rPr>
        <w:t>、电控系统。</w:t>
      </w:r>
    </w:p>
    <w:p w14:paraId="1753F0C7">
      <w:pPr>
        <w:widowControl/>
        <w:spacing w:line="288" w:lineRule="auto"/>
        <w:rPr>
          <w:sz w:val="24"/>
          <w:szCs w:val="24"/>
        </w:rPr>
      </w:pPr>
      <w:r>
        <w:rPr>
          <w:rFonts w:hint="eastAsia"/>
          <w:sz w:val="24"/>
          <w:szCs w:val="24"/>
        </w:rPr>
        <w:t>（</w:t>
      </w:r>
      <w:r>
        <w:rPr>
          <w:sz w:val="24"/>
          <w:szCs w:val="24"/>
        </w:rPr>
        <w:t>1</w:t>
      </w:r>
      <w:r>
        <w:rPr>
          <w:rFonts w:hint="eastAsia"/>
          <w:sz w:val="24"/>
          <w:szCs w:val="24"/>
        </w:rPr>
        <w:t>）机器人与工艺设备通讯电缆</w:t>
      </w:r>
      <w:r>
        <w:rPr>
          <w:sz w:val="24"/>
          <w:szCs w:val="24"/>
        </w:rPr>
        <w:t>连接</w:t>
      </w:r>
      <w:r>
        <w:rPr>
          <w:rFonts w:hint="eastAsia"/>
          <w:sz w:val="24"/>
          <w:szCs w:val="24"/>
        </w:rPr>
        <w:t>。包括</w:t>
      </w:r>
      <w:r>
        <w:rPr>
          <w:sz w:val="24"/>
          <w:szCs w:val="24"/>
        </w:rPr>
        <w:t>MC缸盖组芯线与KUKA浸涂机器人之间的</w:t>
      </w:r>
      <w:r>
        <w:rPr>
          <w:rFonts w:hint="eastAsia"/>
          <w:sz w:val="24"/>
          <w:szCs w:val="24"/>
        </w:rPr>
        <w:t>通讯电缆</w:t>
      </w:r>
      <w:r>
        <w:rPr>
          <w:sz w:val="24"/>
          <w:szCs w:val="24"/>
        </w:rPr>
        <w:t>连接</w:t>
      </w:r>
      <w:r>
        <w:rPr>
          <w:rFonts w:hint="eastAsia"/>
          <w:sz w:val="24"/>
          <w:szCs w:val="24"/>
        </w:rPr>
        <w:t>；</w:t>
      </w:r>
      <w:r>
        <w:rPr>
          <w:sz w:val="24"/>
          <w:szCs w:val="24"/>
        </w:rPr>
        <w:t>KUKA运转机器人与表干炉接长辊道、循环辊道线、安全围栏系统之间的</w:t>
      </w:r>
      <w:r>
        <w:rPr>
          <w:rFonts w:hint="eastAsia"/>
          <w:sz w:val="24"/>
          <w:szCs w:val="24"/>
        </w:rPr>
        <w:t>数据交换接口</w:t>
      </w:r>
      <w:r>
        <w:rPr>
          <w:sz w:val="24"/>
          <w:szCs w:val="24"/>
        </w:rPr>
        <w:t>连接</w:t>
      </w:r>
      <w:r>
        <w:rPr>
          <w:rFonts w:hint="eastAsia"/>
          <w:sz w:val="24"/>
          <w:szCs w:val="24"/>
        </w:rPr>
        <w:t>，涉及软件部分由招标方负责</w:t>
      </w:r>
      <w:r>
        <w:rPr>
          <w:sz w:val="24"/>
          <w:szCs w:val="24"/>
        </w:rPr>
        <w:t>。</w:t>
      </w:r>
    </w:p>
    <w:p w14:paraId="2550CEF0">
      <w:pPr>
        <w:pStyle w:val="2"/>
        <w:rPr>
          <w:rFonts w:asciiTheme="minorHAnsi" w:hAnsiTheme="minorHAnsi"/>
          <w:sz w:val="24"/>
          <w:szCs w:val="24"/>
        </w:rPr>
      </w:pPr>
      <w:r>
        <w:rPr>
          <w:rFonts w:hint="eastAsia" w:asciiTheme="minorHAnsi" w:hAnsiTheme="minorHAnsi"/>
          <w:sz w:val="24"/>
          <w:szCs w:val="24"/>
        </w:rPr>
        <w:t>（2）机器人安全围栏、安装座、底板及电控系统硬件部分安装。</w:t>
      </w:r>
    </w:p>
    <w:p w14:paraId="2F835112">
      <w:pPr>
        <w:widowControl/>
        <w:spacing w:line="288" w:lineRule="auto"/>
        <w:rPr>
          <w:sz w:val="24"/>
          <w:szCs w:val="24"/>
        </w:rPr>
      </w:pPr>
      <w:r>
        <w:rPr>
          <w:rFonts w:hint="eastAsia"/>
          <w:sz w:val="24"/>
          <w:szCs w:val="24"/>
        </w:rPr>
        <w:t>（</w:t>
      </w:r>
      <w:r>
        <w:rPr>
          <w:sz w:val="24"/>
          <w:szCs w:val="24"/>
        </w:rPr>
        <w:t>3</w:t>
      </w:r>
      <w:r>
        <w:rPr>
          <w:rFonts w:hint="eastAsia"/>
          <w:sz w:val="24"/>
          <w:szCs w:val="24"/>
        </w:rPr>
        <w:t>）表干炉接长辊道新增1个电控柜用于控制表干炉接长辊道和升降台，新增电控柜与表干炉电控柜整合到一处。</w:t>
      </w:r>
    </w:p>
    <w:p w14:paraId="01E4D53F">
      <w:pPr>
        <w:widowControl/>
        <w:spacing w:line="288" w:lineRule="auto"/>
        <w:rPr>
          <w:sz w:val="24"/>
          <w:szCs w:val="24"/>
        </w:rPr>
      </w:pPr>
      <w:r>
        <w:rPr>
          <w:rFonts w:hint="eastAsia"/>
          <w:sz w:val="24"/>
          <w:szCs w:val="24"/>
        </w:rPr>
        <w:t>（</w:t>
      </w:r>
      <w:r>
        <w:rPr>
          <w:sz w:val="24"/>
          <w:szCs w:val="24"/>
        </w:rPr>
        <w:t>4</w:t>
      </w:r>
      <w:r>
        <w:rPr>
          <w:rFonts w:hint="eastAsia"/>
          <w:sz w:val="24"/>
          <w:szCs w:val="24"/>
        </w:rPr>
        <w:t>）升降台、砂芯定位校准装置、托板定位装置、循环辊道线缓冲装置等新增设备与MC组芯线、表干炉、 BMD下芯辊道线、循环辊道线等原设备之间的数据交换接口连接涉及软件部分由招标方负责。</w:t>
      </w:r>
    </w:p>
    <w:p w14:paraId="3F892A9B">
      <w:pPr>
        <w:pStyle w:val="2"/>
        <w:rPr>
          <w:rFonts w:asciiTheme="minorHAnsi" w:hAnsiTheme="minorHAnsi"/>
          <w:sz w:val="24"/>
          <w:szCs w:val="24"/>
        </w:rPr>
      </w:pPr>
      <w:r>
        <w:rPr>
          <w:rFonts w:hint="eastAsia" w:asciiTheme="minorHAnsi" w:hAnsiTheme="minorHAnsi"/>
          <w:sz w:val="24"/>
          <w:szCs w:val="24"/>
        </w:rPr>
        <w:t>（5）电气安装配套电气元件，包括电缆、桥架、线管、各类传感器等。</w:t>
      </w:r>
    </w:p>
    <w:p w14:paraId="70C143EC">
      <w:pPr>
        <w:pStyle w:val="2"/>
        <w:rPr>
          <w:rFonts w:asciiTheme="minorHAnsi" w:hAnsiTheme="minorHAnsi"/>
          <w:sz w:val="24"/>
          <w:szCs w:val="24"/>
        </w:rPr>
      </w:pPr>
      <w:r>
        <w:rPr>
          <w:rFonts w:asciiTheme="minorHAnsi" w:hAnsiTheme="minorHAnsi"/>
          <w:sz w:val="24"/>
          <w:szCs w:val="24"/>
        </w:rPr>
        <w:t>11</w:t>
      </w:r>
      <w:r>
        <w:rPr>
          <w:rFonts w:hint="eastAsia" w:asciiTheme="minorHAnsi" w:hAnsiTheme="minorHAnsi"/>
          <w:sz w:val="24"/>
          <w:szCs w:val="24"/>
        </w:rPr>
        <w:t>、投标方在完成新增设备机械、电气硬件安装后，配合招标方进行相关设备软件的自主调试。</w:t>
      </w:r>
    </w:p>
    <w:p w14:paraId="4C7F92AA">
      <w:pPr>
        <w:pStyle w:val="2"/>
        <w:rPr>
          <w:rFonts w:asciiTheme="minorHAnsi" w:hAnsiTheme="minorHAnsi"/>
          <w:sz w:val="24"/>
          <w:szCs w:val="24"/>
        </w:rPr>
      </w:pPr>
      <w:r>
        <w:rPr>
          <w:rFonts w:hint="eastAsia" w:asciiTheme="minorHAnsi" w:hAnsiTheme="minorHAnsi"/>
          <w:sz w:val="24"/>
          <w:szCs w:val="24"/>
        </w:rPr>
        <w:t>注</w:t>
      </w:r>
      <w:r>
        <w:rPr>
          <w:rFonts w:asciiTheme="minorHAnsi" w:hAnsiTheme="minorHAnsi"/>
          <w:sz w:val="24"/>
          <w:szCs w:val="24"/>
        </w:rPr>
        <w:t>：</w:t>
      </w:r>
      <w:r>
        <w:rPr>
          <w:rFonts w:hint="eastAsia" w:asciiTheme="minorHAnsi" w:hAnsiTheme="minorHAnsi"/>
          <w:sz w:val="24"/>
          <w:szCs w:val="24"/>
        </w:rPr>
        <w:t>招标方自主调试的具体内容包括：</w:t>
      </w:r>
    </w:p>
    <w:p w14:paraId="22D5E55C">
      <w:pPr>
        <w:pStyle w:val="2"/>
        <w:rPr>
          <w:rFonts w:asciiTheme="minorHAnsi" w:hAnsiTheme="minorHAnsi"/>
          <w:sz w:val="24"/>
          <w:szCs w:val="24"/>
        </w:rPr>
      </w:pPr>
      <w:r>
        <w:rPr>
          <w:rFonts w:hint="eastAsia" w:asciiTheme="minorHAnsi" w:hAnsiTheme="minorHAnsi"/>
          <w:sz w:val="24"/>
          <w:szCs w:val="24"/>
        </w:rPr>
        <w:t>（1）</w:t>
      </w:r>
      <w:r>
        <w:rPr>
          <w:rFonts w:asciiTheme="minorHAnsi" w:hAnsiTheme="minorHAnsi"/>
          <w:sz w:val="24"/>
          <w:szCs w:val="24"/>
        </w:rPr>
        <w:t>1台KUKA浸涂机器人（型号KR500 R2830/FLR）</w:t>
      </w:r>
      <w:r>
        <w:rPr>
          <w:rFonts w:hint="eastAsia" w:asciiTheme="minorHAnsi" w:hAnsiTheme="minorHAnsi"/>
          <w:sz w:val="24"/>
          <w:szCs w:val="24"/>
        </w:rPr>
        <w:t>：机器人程序</w:t>
      </w:r>
      <w:r>
        <w:rPr>
          <w:rFonts w:asciiTheme="minorHAnsi" w:hAnsiTheme="minorHAnsi"/>
          <w:sz w:val="24"/>
          <w:szCs w:val="24"/>
        </w:rPr>
        <w:t>编程、现场</w:t>
      </w:r>
      <w:r>
        <w:rPr>
          <w:rFonts w:hint="eastAsia" w:asciiTheme="minorHAnsi" w:hAnsiTheme="minorHAnsi"/>
          <w:sz w:val="24"/>
          <w:szCs w:val="24"/>
        </w:rPr>
        <w:t>动作软件功能</w:t>
      </w:r>
      <w:r>
        <w:rPr>
          <w:rFonts w:asciiTheme="minorHAnsi" w:hAnsiTheme="minorHAnsi"/>
          <w:sz w:val="24"/>
          <w:szCs w:val="24"/>
        </w:rPr>
        <w:t>调试。实现1副MC07缸盖夹具、2副615缸盖夹具快换</w:t>
      </w:r>
      <w:r>
        <w:rPr>
          <w:rFonts w:hint="eastAsia" w:asciiTheme="minorHAnsi" w:hAnsiTheme="minorHAnsi"/>
          <w:sz w:val="24"/>
          <w:szCs w:val="24"/>
        </w:rPr>
        <w:t>功能</w:t>
      </w:r>
      <w:r>
        <w:rPr>
          <w:rFonts w:asciiTheme="minorHAnsi" w:hAnsiTheme="minorHAnsi"/>
          <w:sz w:val="24"/>
          <w:szCs w:val="24"/>
        </w:rPr>
        <w:t>。</w:t>
      </w:r>
    </w:p>
    <w:p w14:paraId="025AEA52">
      <w:pPr>
        <w:pStyle w:val="2"/>
        <w:rPr>
          <w:rFonts w:asciiTheme="minorHAnsi" w:hAnsiTheme="minorHAnsi"/>
          <w:sz w:val="24"/>
          <w:szCs w:val="24"/>
        </w:rPr>
      </w:pPr>
      <w:r>
        <w:rPr>
          <w:rFonts w:hint="eastAsia" w:asciiTheme="minorHAnsi" w:hAnsiTheme="minorHAnsi"/>
          <w:sz w:val="24"/>
          <w:szCs w:val="24"/>
        </w:rPr>
        <w:t>（2）</w:t>
      </w:r>
      <w:r>
        <w:rPr>
          <w:rFonts w:asciiTheme="minorHAnsi" w:hAnsiTheme="minorHAnsi"/>
          <w:sz w:val="24"/>
          <w:szCs w:val="24"/>
        </w:rPr>
        <w:t>1台ABB机器人（型号ABBIRB7600-500/2.55F）</w:t>
      </w:r>
      <w:r>
        <w:rPr>
          <w:rFonts w:hint="eastAsia" w:asciiTheme="minorHAnsi" w:hAnsiTheme="minorHAnsi"/>
          <w:sz w:val="24"/>
          <w:szCs w:val="24"/>
        </w:rPr>
        <w:t>：</w:t>
      </w:r>
      <w:r>
        <w:rPr>
          <w:rFonts w:asciiTheme="minorHAnsi" w:hAnsiTheme="minorHAnsi"/>
          <w:sz w:val="24"/>
          <w:szCs w:val="24"/>
        </w:rPr>
        <w:t>系统仿真模拟，确定更换升降台后ABB</w:t>
      </w:r>
      <w:r>
        <w:rPr>
          <w:rFonts w:hint="eastAsia" w:asciiTheme="minorHAnsi" w:hAnsiTheme="minorHAnsi"/>
          <w:sz w:val="24"/>
          <w:szCs w:val="24"/>
        </w:rPr>
        <w:t>机器人的动作流程和机器人</w:t>
      </w:r>
      <w:r>
        <w:rPr>
          <w:rFonts w:asciiTheme="minorHAnsi" w:hAnsiTheme="minorHAnsi"/>
          <w:sz w:val="24"/>
          <w:szCs w:val="24"/>
        </w:rPr>
        <w:t>编程、现场调试。实现更换升降台后MC07缸盖的抓取、浸涂、中转。</w:t>
      </w:r>
    </w:p>
    <w:p w14:paraId="51BE664D">
      <w:pPr>
        <w:pStyle w:val="2"/>
        <w:rPr>
          <w:rFonts w:asciiTheme="minorHAnsi" w:hAnsiTheme="minorHAnsi"/>
          <w:sz w:val="24"/>
          <w:szCs w:val="24"/>
        </w:rPr>
      </w:pPr>
      <w:r>
        <w:rPr>
          <w:rFonts w:hint="eastAsia" w:asciiTheme="minorHAnsi" w:hAnsiTheme="minorHAnsi"/>
          <w:sz w:val="24"/>
          <w:szCs w:val="24"/>
        </w:rPr>
        <w:t>（3）</w:t>
      </w:r>
      <w:r>
        <w:rPr>
          <w:rFonts w:asciiTheme="minorHAnsi" w:hAnsiTheme="minorHAnsi"/>
          <w:sz w:val="24"/>
          <w:szCs w:val="24"/>
        </w:rPr>
        <w:t>1台KUKA转运机器人（型号KR500 R2830/FLR）</w:t>
      </w:r>
      <w:r>
        <w:rPr>
          <w:rFonts w:hint="eastAsia" w:asciiTheme="minorHAnsi" w:hAnsiTheme="minorHAnsi"/>
          <w:sz w:val="24"/>
          <w:szCs w:val="24"/>
        </w:rPr>
        <w:t>：</w:t>
      </w:r>
      <w:r>
        <w:rPr>
          <w:rFonts w:asciiTheme="minorHAnsi" w:hAnsiTheme="minorHAnsi"/>
          <w:sz w:val="24"/>
          <w:szCs w:val="24"/>
        </w:rPr>
        <w:t>系统仿真模拟，确定KUKA转运机器人搬迁后</w:t>
      </w:r>
      <w:r>
        <w:rPr>
          <w:rFonts w:hint="eastAsia" w:asciiTheme="minorHAnsi" w:hAnsiTheme="minorHAnsi"/>
          <w:sz w:val="24"/>
          <w:szCs w:val="24"/>
        </w:rPr>
        <w:t>机器人的动作流程和机器人</w:t>
      </w:r>
      <w:r>
        <w:rPr>
          <w:rFonts w:asciiTheme="minorHAnsi" w:hAnsiTheme="minorHAnsi"/>
          <w:sz w:val="24"/>
          <w:szCs w:val="24"/>
        </w:rPr>
        <w:t>程序编写、现场调试。实现MC07/615取芯、放芯，并预留出砂芯小车通道</w:t>
      </w:r>
      <w:r>
        <w:rPr>
          <w:rFonts w:hint="eastAsia" w:asciiTheme="minorHAnsi" w:hAnsiTheme="minorHAnsi"/>
          <w:sz w:val="24"/>
          <w:szCs w:val="24"/>
        </w:rPr>
        <w:t>。</w:t>
      </w:r>
      <w:r>
        <w:rPr>
          <w:rFonts w:asciiTheme="minorHAnsi" w:hAnsiTheme="minorHAnsi"/>
          <w:sz w:val="24"/>
          <w:szCs w:val="24"/>
        </w:rPr>
        <w:t xml:space="preserve"> 完成1副MC07缸盖转运夹具、1副615转运缸盖夹具快换编程。</w:t>
      </w:r>
    </w:p>
    <w:p w14:paraId="59A80D1D">
      <w:pPr>
        <w:pStyle w:val="2"/>
        <w:rPr>
          <w:rFonts w:asciiTheme="minorHAnsi" w:hAnsiTheme="minorHAnsi"/>
          <w:sz w:val="24"/>
          <w:szCs w:val="24"/>
        </w:rPr>
      </w:pPr>
      <w:r>
        <w:rPr>
          <w:rFonts w:hint="eastAsia" w:asciiTheme="minorHAnsi" w:hAnsiTheme="minorHAnsi"/>
          <w:sz w:val="24"/>
          <w:szCs w:val="24"/>
        </w:rPr>
        <w:t>（4）</w:t>
      </w:r>
      <w:r>
        <w:rPr>
          <w:rFonts w:asciiTheme="minorHAnsi" w:hAnsiTheme="minorHAnsi"/>
          <w:sz w:val="24"/>
          <w:szCs w:val="24"/>
        </w:rPr>
        <w:t>1台ABB机器人（型号ABBIRB7600-500/2.55F）</w:t>
      </w:r>
      <w:r>
        <w:rPr>
          <w:rFonts w:hint="eastAsia" w:asciiTheme="minorHAnsi" w:hAnsiTheme="minorHAnsi"/>
          <w:sz w:val="24"/>
          <w:szCs w:val="24"/>
        </w:rPr>
        <w:t>：机器人</w:t>
      </w:r>
      <w:r>
        <w:rPr>
          <w:rFonts w:asciiTheme="minorHAnsi" w:hAnsiTheme="minorHAnsi"/>
          <w:sz w:val="24"/>
          <w:szCs w:val="24"/>
        </w:rPr>
        <w:t>编程、现场调试。把615缸盖芯从循环辊道线搬运到下芯辊道线托板。</w:t>
      </w:r>
    </w:p>
    <w:p w14:paraId="5E6B9B66">
      <w:pPr>
        <w:pStyle w:val="2"/>
        <w:rPr>
          <w:rFonts w:asciiTheme="minorHAnsi" w:hAnsiTheme="minorHAnsi"/>
          <w:sz w:val="24"/>
          <w:szCs w:val="24"/>
        </w:rPr>
      </w:pPr>
      <w:r>
        <w:rPr>
          <w:rFonts w:hint="eastAsia" w:asciiTheme="minorHAnsi" w:hAnsiTheme="minorHAnsi"/>
          <w:sz w:val="24"/>
          <w:szCs w:val="24"/>
        </w:rPr>
        <w:t>（5）BMD下芯工位。</w:t>
      </w:r>
      <w:r>
        <w:rPr>
          <w:rFonts w:asciiTheme="minorHAnsi" w:hAnsiTheme="minorHAnsi"/>
          <w:sz w:val="24"/>
          <w:szCs w:val="24"/>
        </w:rPr>
        <w:t>1台ABB机器人（型号ABBIRB7600-500/2.55F）</w:t>
      </w:r>
      <w:r>
        <w:rPr>
          <w:rFonts w:hint="eastAsia" w:asciiTheme="minorHAnsi" w:hAnsiTheme="minorHAnsi"/>
          <w:sz w:val="24"/>
          <w:szCs w:val="24"/>
        </w:rPr>
        <w:t>：</w:t>
      </w:r>
      <w:r>
        <w:rPr>
          <w:rFonts w:asciiTheme="minorHAnsi" w:hAnsiTheme="minorHAnsi"/>
          <w:sz w:val="24"/>
          <w:szCs w:val="24"/>
        </w:rPr>
        <w:t>编程、现场调试</w:t>
      </w:r>
      <w:r>
        <w:rPr>
          <w:rFonts w:hint="eastAsia" w:asciiTheme="minorHAnsi" w:hAnsiTheme="minorHAnsi"/>
          <w:sz w:val="24"/>
          <w:szCs w:val="24"/>
        </w:rPr>
        <w:t>，</w:t>
      </w:r>
      <w:r>
        <w:rPr>
          <w:rFonts w:asciiTheme="minorHAnsi" w:hAnsiTheme="minorHAnsi"/>
          <w:sz w:val="24"/>
          <w:szCs w:val="24"/>
        </w:rPr>
        <w:t>抓取下芯辊道线上的</w:t>
      </w:r>
      <w:r>
        <w:rPr>
          <w:rFonts w:hint="eastAsia" w:asciiTheme="minorHAnsi" w:hAnsiTheme="minorHAnsi"/>
          <w:sz w:val="24"/>
          <w:szCs w:val="24"/>
        </w:rPr>
        <w:t>615缸盖芯</w:t>
      </w:r>
      <w:r>
        <w:rPr>
          <w:rFonts w:asciiTheme="minorHAnsi" w:hAnsiTheme="minorHAnsi"/>
          <w:sz w:val="24"/>
          <w:szCs w:val="24"/>
        </w:rPr>
        <w:t>并放入下芯胎具</w:t>
      </w:r>
      <w:r>
        <w:rPr>
          <w:rFonts w:hint="eastAsia" w:asciiTheme="minorHAnsi" w:hAnsiTheme="minorHAnsi"/>
          <w:sz w:val="24"/>
          <w:szCs w:val="24"/>
        </w:rPr>
        <w:t>；</w:t>
      </w:r>
      <w:r>
        <w:rPr>
          <w:rFonts w:asciiTheme="minorHAnsi" w:hAnsiTheme="minorHAnsi"/>
          <w:sz w:val="24"/>
          <w:szCs w:val="24"/>
        </w:rPr>
        <w:t>1台ABB机器人（型号ABB</w:t>
      </w:r>
      <w:r>
        <w:rPr>
          <w:rFonts w:hint="eastAsia" w:asciiTheme="minorHAnsi" w:hAnsiTheme="minorHAnsi"/>
          <w:sz w:val="24"/>
          <w:szCs w:val="24"/>
        </w:rPr>
        <w:t xml:space="preserve"> IRB 6640-235/2.55</w:t>
      </w:r>
      <w:r>
        <w:rPr>
          <w:rFonts w:asciiTheme="minorHAnsi" w:hAnsiTheme="minorHAnsi"/>
          <w:sz w:val="24"/>
          <w:szCs w:val="24"/>
        </w:rPr>
        <w:t>）信号连接</w:t>
      </w:r>
      <w:r>
        <w:rPr>
          <w:rFonts w:hint="eastAsia" w:asciiTheme="minorHAnsi" w:hAnsiTheme="minorHAnsi"/>
          <w:sz w:val="24"/>
          <w:szCs w:val="24"/>
        </w:rPr>
        <w:t>、</w:t>
      </w:r>
      <w:r>
        <w:rPr>
          <w:rFonts w:asciiTheme="minorHAnsi" w:hAnsiTheme="minorHAnsi"/>
          <w:sz w:val="24"/>
          <w:szCs w:val="24"/>
        </w:rPr>
        <w:t>编程、现场调试</w:t>
      </w:r>
      <w:r>
        <w:rPr>
          <w:rFonts w:hint="eastAsia" w:asciiTheme="minorHAnsi" w:hAnsiTheme="minorHAnsi"/>
          <w:sz w:val="24"/>
          <w:szCs w:val="24"/>
        </w:rPr>
        <w:t>，</w:t>
      </w:r>
      <w:r>
        <w:rPr>
          <w:rFonts w:asciiTheme="minorHAnsi" w:hAnsiTheme="minorHAnsi"/>
          <w:sz w:val="24"/>
          <w:szCs w:val="24"/>
        </w:rPr>
        <w:t>抓取下芯辊道线上的</w:t>
      </w:r>
      <w:r>
        <w:rPr>
          <w:rFonts w:hint="eastAsia" w:asciiTheme="minorHAnsi" w:hAnsiTheme="minorHAnsi"/>
          <w:sz w:val="24"/>
          <w:szCs w:val="24"/>
        </w:rPr>
        <w:t>MC</w:t>
      </w:r>
      <w:r>
        <w:rPr>
          <w:rFonts w:asciiTheme="minorHAnsi" w:hAnsiTheme="minorHAnsi"/>
          <w:sz w:val="24"/>
          <w:szCs w:val="24"/>
        </w:rPr>
        <w:t>砂芯并放入下芯胎具</w:t>
      </w:r>
      <w:r>
        <w:rPr>
          <w:rFonts w:hint="eastAsia" w:asciiTheme="minorHAnsi" w:hAnsiTheme="minorHAnsi"/>
          <w:sz w:val="24"/>
          <w:szCs w:val="24"/>
        </w:rPr>
        <w:t>。</w:t>
      </w:r>
    </w:p>
    <w:p w14:paraId="783A2EE4">
      <w:pPr>
        <w:pStyle w:val="2"/>
        <w:rPr>
          <w:rFonts w:asciiTheme="minorHAnsi" w:hAnsiTheme="minorHAnsi"/>
          <w:sz w:val="24"/>
          <w:szCs w:val="24"/>
        </w:rPr>
      </w:pPr>
      <w:r>
        <w:rPr>
          <w:rFonts w:hint="eastAsia" w:asciiTheme="minorHAnsi" w:hAnsiTheme="minorHAnsi"/>
          <w:sz w:val="24"/>
          <w:szCs w:val="24"/>
        </w:rPr>
        <w:t>（6）控制软件，包括：</w:t>
      </w:r>
      <w:r>
        <w:rPr>
          <w:rFonts w:asciiTheme="minorHAnsi" w:hAnsiTheme="minorHAnsi"/>
          <w:sz w:val="24"/>
          <w:szCs w:val="24"/>
        </w:rPr>
        <w:t>a、原有设备（组芯线、1台表干炉、1条循环辊道线、1条砂芯合芯输送及下芯系统、BMD造型线、6台机器人）控制程序收集、分析、梳理；b、按照投标方提供的电气系统设计要求完成</w:t>
      </w:r>
      <w:r>
        <w:rPr>
          <w:rFonts w:hint="eastAsia" w:asciiTheme="minorHAnsi" w:hAnsiTheme="minorHAnsi"/>
          <w:sz w:val="24"/>
          <w:szCs w:val="24"/>
        </w:rPr>
        <w:t>升降台、炉后新增辊道线、机器人安全围栏、砂芯定位校准装置、托板定位装置、循环辊道线缓冲装置等新增设备</w:t>
      </w:r>
      <w:r>
        <w:rPr>
          <w:rFonts w:asciiTheme="minorHAnsi" w:hAnsiTheme="minorHAnsi"/>
          <w:sz w:val="24"/>
          <w:szCs w:val="24"/>
        </w:rPr>
        <w:t>控制软件</w:t>
      </w:r>
      <w:r>
        <w:rPr>
          <w:rFonts w:hint="eastAsia" w:asciiTheme="minorHAnsi" w:hAnsiTheme="minorHAnsi"/>
          <w:sz w:val="24"/>
          <w:szCs w:val="24"/>
        </w:rPr>
        <w:t>编程</w:t>
      </w:r>
      <w:r>
        <w:rPr>
          <w:rFonts w:asciiTheme="minorHAnsi" w:hAnsiTheme="minorHAnsi"/>
          <w:sz w:val="24"/>
          <w:szCs w:val="24"/>
        </w:rPr>
        <w:t>及</w:t>
      </w:r>
      <w:r>
        <w:rPr>
          <w:rFonts w:hint="eastAsia" w:asciiTheme="minorHAnsi" w:hAnsiTheme="minorHAnsi"/>
          <w:sz w:val="24"/>
          <w:szCs w:val="24"/>
        </w:rPr>
        <w:t>程序</w:t>
      </w:r>
      <w:r>
        <w:rPr>
          <w:rFonts w:asciiTheme="minorHAnsi" w:hAnsiTheme="minorHAnsi"/>
          <w:sz w:val="24"/>
          <w:szCs w:val="24"/>
        </w:rPr>
        <w:t>调试。</w:t>
      </w:r>
    </w:p>
    <w:p w14:paraId="01C0BBF1">
      <w:pPr>
        <w:pStyle w:val="12"/>
        <w:spacing w:line="276" w:lineRule="auto"/>
        <w:rPr>
          <w:rFonts w:asciiTheme="minorHAnsi" w:hAnsiTheme="minorHAnsi" w:eastAsiaTheme="minorEastAsia" w:cstheme="minorBidi"/>
          <w:sz w:val="24"/>
          <w:szCs w:val="24"/>
        </w:rPr>
      </w:pPr>
      <w:r>
        <w:rPr>
          <w:rFonts w:hint="eastAsia" w:asciiTheme="minorHAnsi" w:hAnsiTheme="minorHAnsi" w:eastAsiaTheme="minorEastAsia" w:cstheme="minorBidi"/>
          <w:sz w:val="24"/>
          <w:szCs w:val="24"/>
        </w:rPr>
        <w:t>1</w:t>
      </w:r>
      <w:r>
        <w:rPr>
          <w:rFonts w:asciiTheme="minorHAnsi" w:hAnsiTheme="minorHAnsi" w:eastAsiaTheme="minorEastAsia" w:cstheme="minorBidi"/>
          <w:sz w:val="24"/>
          <w:szCs w:val="24"/>
        </w:rPr>
        <w:t>2</w:t>
      </w:r>
      <w:r>
        <w:rPr>
          <w:rFonts w:hint="eastAsia" w:asciiTheme="minorHAnsi" w:hAnsiTheme="minorHAnsi" w:eastAsiaTheme="minorEastAsia" w:cstheme="minorBidi"/>
          <w:sz w:val="24"/>
          <w:szCs w:val="24"/>
        </w:rPr>
        <w:t>、安全围栏系统。</w:t>
      </w:r>
    </w:p>
    <w:p w14:paraId="52B9A797">
      <w:pPr>
        <w:widowControl/>
        <w:spacing w:line="288" w:lineRule="auto"/>
        <w:ind w:firstLine="480" w:firstLineChars="200"/>
        <w:rPr>
          <w:sz w:val="24"/>
          <w:szCs w:val="24"/>
        </w:rPr>
      </w:pPr>
      <w:r>
        <w:rPr>
          <w:rFonts w:hint="eastAsia"/>
          <w:sz w:val="24"/>
          <w:szCs w:val="24"/>
        </w:rPr>
        <w:t>安全围栏按照G</w:t>
      </w:r>
      <w:r>
        <w:rPr>
          <w:sz w:val="24"/>
          <w:szCs w:val="24"/>
        </w:rPr>
        <w:t>B/T42627</w:t>
      </w:r>
      <w:r>
        <w:rPr>
          <w:rFonts w:hint="eastAsia"/>
          <w:sz w:val="24"/>
          <w:szCs w:val="24"/>
        </w:rPr>
        <w:t>-</w:t>
      </w:r>
      <w:r>
        <w:rPr>
          <w:sz w:val="24"/>
          <w:szCs w:val="24"/>
        </w:rPr>
        <w:t>2024</w:t>
      </w:r>
      <w:r>
        <w:rPr>
          <w:rFonts w:hint="eastAsia"/>
          <w:sz w:val="24"/>
          <w:szCs w:val="24"/>
        </w:rPr>
        <w:t>（机械安全围栏防护系统安全要求）制作、安装，按照招标方通过三维模拟确认的转运机器人位置确定安装位置，安全围栏要求靠通道侧安装滑轨移门，移门开启状态下留出1.2米左右砂芯小车通道，输送线里侧不方便安装安全围栏的区域须安装安全光栅，确保整个机器人运行区域得到全封闭防护。</w:t>
      </w:r>
    </w:p>
    <w:p w14:paraId="14E14E2A">
      <w:pPr>
        <w:pStyle w:val="12"/>
        <w:spacing w:line="276" w:lineRule="auto"/>
        <w:ind w:firstLine="480" w:firstLineChars="200"/>
        <w:rPr>
          <w:rFonts w:asciiTheme="minorHAnsi" w:hAnsiTheme="minorHAnsi" w:eastAsiaTheme="minorEastAsia" w:cstheme="minorBidi"/>
          <w:sz w:val="24"/>
          <w:szCs w:val="24"/>
        </w:rPr>
      </w:pPr>
      <w:r>
        <w:rPr>
          <w:rFonts w:hint="eastAsia" w:asciiTheme="minorHAnsi" w:hAnsiTheme="minorHAnsi" w:eastAsiaTheme="minorEastAsia" w:cstheme="minorBidi"/>
          <w:sz w:val="24"/>
          <w:szCs w:val="24"/>
        </w:rPr>
        <w:t>机器人安装安全围栏并与机器人联动，安全门打开后机器人立刻停止运行，只有当人工按下确认按钮，并再次运行机器人后机器人才能正常工作。</w:t>
      </w:r>
    </w:p>
    <w:p w14:paraId="079C63BE">
      <w:pPr>
        <w:widowControl/>
        <w:spacing w:line="288" w:lineRule="auto"/>
        <w:rPr>
          <w:sz w:val="24"/>
          <w:szCs w:val="24"/>
        </w:rPr>
      </w:pPr>
      <w:r>
        <w:rPr>
          <w:sz w:val="24"/>
          <w:szCs w:val="24"/>
        </w:rPr>
        <w:t>13</w:t>
      </w:r>
      <w:r>
        <w:rPr>
          <w:rFonts w:hint="eastAsia"/>
          <w:sz w:val="24"/>
          <w:szCs w:val="24"/>
        </w:rPr>
        <w:t>、设备基础（升降台地坑，液压管地槽，新增设备预埋板等）、供电等。</w:t>
      </w:r>
    </w:p>
    <w:p w14:paraId="38A4424E">
      <w:pPr>
        <w:rPr>
          <w:sz w:val="24"/>
          <w:szCs w:val="24"/>
        </w:rPr>
      </w:pPr>
      <w:r>
        <w:rPr>
          <w:sz w:val="24"/>
          <w:szCs w:val="24"/>
        </w:rPr>
        <w:t>第四部分：随机</w:t>
      </w:r>
      <w:r>
        <w:rPr>
          <w:rFonts w:hint="eastAsia"/>
          <w:sz w:val="24"/>
          <w:szCs w:val="24"/>
        </w:rPr>
        <w:t>文件</w:t>
      </w:r>
    </w:p>
    <w:p w14:paraId="425B4665">
      <w:pPr>
        <w:spacing w:line="360" w:lineRule="auto"/>
        <w:ind w:left="541" w:leftChars="86" w:hanging="360" w:hangingChars="150"/>
        <w:rPr>
          <w:sz w:val="24"/>
          <w:szCs w:val="24"/>
        </w:rPr>
      </w:pPr>
      <w:r>
        <w:rPr>
          <w:sz w:val="24"/>
          <w:szCs w:val="24"/>
        </w:rPr>
        <w:t>1</w:t>
      </w:r>
      <w:r>
        <w:rPr>
          <w:rFonts w:hint="eastAsia"/>
          <w:sz w:val="24"/>
          <w:szCs w:val="24"/>
        </w:rPr>
        <w:t>、卖方须负责在技术确认或总图会签后7个日历日内，提供下列纸质及电子版资料，电子版文件应当能够使用常用版本软件可以阅读甚至使用。</w:t>
      </w:r>
    </w:p>
    <w:p w14:paraId="70CD548A">
      <w:pPr>
        <w:numPr>
          <w:ilvl w:val="1"/>
          <w:numId w:val="30"/>
        </w:numPr>
        <w:spacing w:line="360" w:lineRule="auto"/>
        <w:rPr>
          <w:sz w:val="24"/>
          <w:szCs w:val="24"/>
        </w:rPr>
      </w:pPr>
      <w:r>
        <w:rPr>
          <w:rFonts w:hint="eastAsia"/>
          <w:sz w:val="24"/>
          <w:szCs w:val="24"/>
        </w:rPr>
        <w:t>设备基础图、基础负荷图。</w:t>
      </w:r>
    </w:p>
    <w:p w14:paraId="53FA373D">
      <w:pPr>
        <w:numPr>
          <w:ilvl w:val="1"/>
          <w:numId w:val="30"/>
        </w:numPr>
        <w:spacing w:line="360" w:lineRule="auto"/>
        <w:rPr>
          <w:sz w:val="24"/>
          <w:szCs w:val="24"/>
        </w:rPr>
      </w:pPr>
      <w:r>
        <w:rPr>
          <w:rFonts w:hint="eastAsia"/>
          <w:sz w:val="24"/>
          <w:szCs w:val="24"/>
        </w:rPr>
        <w:t>设备平面图、剖面图。</w:t>
      </w:r>
    </w:p>
    <w:p w14:paraId="1DEEBA70">
      <w:pPr>
        <w:numPr>
          <w:ilvl w:val="1"/>
          <w:numId w:val="30"/>
        </w:numPr>
        <w:spacing w:line="360" w:lineRule="auto"/>
        <w:rPr>
          <w:sz w:val="24"/>
          <w:szCs w:val="24"/>
        </w:rPr>
      </w:pPr>
      <w:r>
        <w:rPr>
          <w:rFonts w:hint="eastAsia"/>
          <w:sz w:val="24"/>
          <w:szCs w:val="24"/>
        </w:rPr>
        <w:t>设备所需的水、电、气、油料等的技术要求、</w:t>
      </w:r>
      <w:r>
        <w:rPr>
          <w:sz w:val="24"/>
          <w:szCs w:val="24"/>
        </w:rPr>
        <w:t>公用耗量、能源动力用量等相关参数及接口尺寸</w:t>
      </w:r>
      <w:r>
        <w:rPr>
          <w:rFonts w:hint="eastAsia"/>
          <w:sz w:val="24"/>
          <w:szCs w:val="24"/>
        </w:rPr>
        <w:t>。</w:t>
      </w:r>
    </w:p>
    <w:p w14:paraId="6621A574">
      <w:pPr>
        <w:numPr>
          <w:ilvl w:val="1"/>
          <w:numId w:val="30"/>
        </w:numPr>
        <w:spacing w:line="360" w:lineRule="auto"/>
        <w:rPr>
          <w:sz w:val="24"/>
          <w:szCs w:val="24"/>
        </w:rPr>
      </w:pPr>
      <w:r>
        <w:rPr>
          <w:rFonts w:hint="eastAsia"/>
          <w:sz w:val="24"/>
          <w:szCs w:val="24"/>
        </w:rPr>
        <w:t>设备总装配图。</w:t>
      </w:r>
    </w:p>
    <w:p w14:paraId="049BEA6C">
      <w:pPr>
        <w:numPr>
          <w:ilvl w:val="1"/>
          <w:numId w:val="30"/>
        </w:numPr>
        <w:spacing w:line="360" w:lineRule="auto"/>
        <w:rPr>
          <w:sz w:val="24"/>
          <w:szCs w:val="24"/>
        </w:rPr>
      </w:pPr>
      <w:r>
        <w:rPr>
          <w:sz w:val="24"/>
          <w:szCs w:val="24"/>
        </w:rPr>
        <w:t>设备安装指导书</w:t>
      </w:r>
      <w:r>
        <w:rPr>
          <w:rFonts w:hint="eastAsia"/>
          <w:sz w:val="24"/>
          <w:szCs w:val="24"/>
        </w:rPr>
        <w:t>。</w:t>
      </w:r>
    </w:p>
    <w:p w14:paraId="410C71E7">
      <w:pPr>
        <w:spacing w:line="360" w:lineRule="auto"/>
        <w:ind w:left="526" w:leftChars="136" w:hanging="240" w:hangingChars="100"/>
        <w:rPr>
          <w:sz w:val="24"/>
          <w:szCs w:val="24"/>
        </w:rPr>
      </w:pPr>
      <w:r>
        <w:rPr>
          <w:sz w:val="24"/>
          <w:szCs w:val="24"/>
        </w:rPr>
        <w:t>2</w:t>
      </w:r>
      <w:r>
        <w:rPr>
          <w:rFonts w:hint="eastAsia"/>
          <w:sz w:val="24"/>
          <w:szCs w:val="24"/>
        </w:rPr>
        <w:t>、 卖方应同时提出对厂房、基础、公用设施、消防、环保等超出招标文件、投标文件、答疑文件、技术交流文件、技术协议书和合同等规定的、有特殊需要的解释、说明和要求等书面资料。</w:t>
      </w:r>
    </w:p>
    <w:p w14:paraId="6D8EE449">
      <w:pPr>
        <w:spacing w:line="360" w:lineRule="auto"/>
        <w:ind w:left="181" w:leftChars="86" w:firstLine="120" w:firstLineChars="50"/>
        <w:rPr>
          <w:sz w:val="24"/>
          <w:szCs w:val="24"/>
        </w:rPr>
      </w:pPr>
      <w:r>
        <w:rPr>
          <w:sz w:val="24"/>
          <w:szCs w:val="24"/>
        </w:rPr>
        <w:t>3</w:t>
      </w:r>
      <w:r>
        <w:rPr>
          <w:rFonts w:hint="eastAsia"/>
          <w:sz w:val="24"/>
          <w:szCs w:val="24"/>
        </w:rPr>
        <w:t>、卖方须负责在预验收前，提供货物（设备）各部分的功能描述文件、图片、影像等资料（进口件应有中外文对照）。</w:t>
      </w:r>
    </w:p>
    <w:p w14:paraId="658793CA">
      <w:pPr>
        <w:tabs>
          <w:tab w:val="left" w:pos="2160"/>
        </w:tabs>
        <w:spacing w:line="360" w:lineRule="auto"/>
        <w:ind w:left="555" w:leftChars="150" w:hanging="240" w:hangingChars="100"/>
        <w:rPr>
          <w:sz w:val="24"/>
          <w:szCs w:val="24"/>
        </w:rPr>
      </w:pPr>
      <w:r>
        <w:rPr>
          <w:sz w:val="24"/>
          <w:szCs w:val="24"/>
        </w:rPr>
        <w:t>4</w:t>
      </w:r>
      <w:r>
        <w:rPr>
          <w:rFonts w:hint="eastAsia"/>
          <w:sz w:val="24"/>
          <w:szCs w:val="24"/>
        </w:rPr>
        <w:t>、卖方须负责在预验收后终验收前，提供买方为保证货物（设备）安装调试和正常运行所需自制的工装、吊（挂）具明细及其图纸、具体技术要求等资料。</w:t>
      </w:r>
    </w:p>
    <w:p w14:paraId="55ED8DC8">
      <w:pPr>
        <w:tabs>
          <w:tab w:val="left" w:pos="2160"/>
        </w:tabs>
        <w:spacing w:line="360" w:lineRule="auto"/>
        <w:ind w:left="555" w:leftChars="150" w:hanging="240" w:hangingChars="100"/>
        <w:rPr>
          <w:sz w:val="24"/>
          <w:szCs w:val="24"/>
        </w:rPr>
      </w:pPr>
      <w:r>
        <w:rPr>
          <w:sz w:val="24"/>
          <w:szCs w:val="24"/>
        </w:rPr>
        <w:t>5</w:t>
      </w:r>
      <w:r>
        <w:rPr>
          <w:rFonts w:hint="eastAsia"/>
          <w:sz w:val="24"/>
          <w:szCs w:val="24"/>
        </w:rPr>
        <w:t>、 卖方须负责在交货之前，提供确定的而且质保期之后卖方维修所需要的、可以自行采购的外购件、外协件、电气元件及主要原材料的供货厂家明细表。</w:t>
      </w:r>
    </w:p>
    <w:p w14:paraId="7B679E48">
      <w:pPr>
        <w:tabs>
          <w:tab w:val="left" w:pos="2160"/>
        </w:tabs>
        <w:spacing w:line="360" w:lineRule="auto"/>
        <w:ind w:firstLine="360" w:firstLineChars="150"/>
        <w:rPr>
          <w:sz w:val="24"/>
          <w:szCs w:val="24"/>
        </w:rPr>
      </w:pPr>
      <w:r>
        <w:rPr>
          <w:sz w:val="24"/>
          <w:szCs w:val="24"/>
        </w:rPr>
        <w:t>6</w:t>
      </w:r>
      <w:r>
        <w:rPr>
          <w:rFonts w:hint="eastAsia"/>
          <w:sz w:val="24"/>
          <w:szCs w:val="24"/>
        </w:rPr>
        <w:t>、 下列资料在交货时提供：</w:t>
      </w:r>
    </w:p>
    <w:p w14:paraId="38348FFE">
      <w:pPr>
        <w:numPr>
          <w:ilvl w:val="0"/>
          <w:numId w:val="31"/>
        </w:numPr>
        <w:spacing w:line="360" w:lineRule="auto"/>
        <w:rPr>
          <w:sz w:val="24"/>
          <w:szCs w:val="24"/>
        </w:rPr>
      </w:pPr>
      <w:r>
        <w:rPr>
          <w:rFonts w:hint="eastAsia"/>
          <w:sz w:val="24"/>
          <w:szCs w:val="24"/>
        </w:rPr>
        <w:t>货物的备品备件、易损件和专用耗材规定的图纸及技术参数、技术要求等资料。</w:t>
      </w:r>
    </w:p>
    <w:p w14:paraId="01002C30">
      <w:pPr>
        <w:numPr>
          <w:ilvl w:val="0"/>
          <w:numId w:val="31"/>
        </w:numPr>
        <w:spacing w:line="360" w:lineRule="auto"/>
        <w:rPr>
          <w:sz w:val="24"/>
          <w:szCs w:val="24"/>
        </w:rPr>
      </w:pPr>
      <w:r>
        <w:rPr>
          <w:rFonts w:hint="eastAsia"/>
          <w:sz w:val="24"/>
          <w:szCs w:val="24"/>
        </w:rPr>
        <w:t>货物的操作维护手册、保养维修手册、安全注意事项等的使用说明书、仪器仪表检定和使用维修说明书、合格证、产品样本等技术资料（含图片和影像等资料）；进口部件，应有中外文对照资料。</w:t>
      </w:r>
    </w:p>
    <w:p w14:paraId="05D6D275">
      <w:pPr>
        <w:numPr>
          <w:ilvl w:val="0"/>
          <w:numId w:val="31"/>
        </w:numPr>
        <w:spacing w:line="360" w:lineRule="auto"/>
        <w:rPr>
          <w:sz w:val="24"/>
          <w:szCs w:val="24"/>
        </w:rPr>
      </w:pPr>
      <w:r>
        <w:rPr>
          <w:rFonts w:hint="eastAsia"/>
          <w:sz w:val="24"/>
          <w:szCs w:val="24"/>
        </w:rPr>
        <w:t>货物（设备）的电气资料（包括接线图、原理图、布线图、梯形图等）、液压（气动）原理图和系统图、安装基础图、维修图等有关的资料（含图片和影像等资料）；如有进口部件，应有中外文对照资料。</w:t>
      </w:r>
    </w:p>
    <w:p w14:paraId="7682DDF8">
      <w:pPr>
        <w:numPr>
          <w:ilvl w:val="0"/>
          <w:numId w:val="31"/>
        </w:numPr>
        <w:spacing w:line="360" w:lineRule="auto"/>
        <w:rPr>
          <w:sz w:val="24"/>
          <w:szCs w:val="24"/>
        </w:rPr>
      </w:pPr>
      <w:r>
        <w:rPr>
          <w:rFonts w:hint="eastAsia"/>
          <w:sz w:val="24"/>
          <w:szCs w:val="24"/>
        </w:rPr>
        <w:t>本条款所列的技术资料、图片、影像等，投标方应各提供3套纸质文件，另加1套电子版；每份技术文件应装有目录清单。</w:t>
      </w:r>
    </w:p>
    <w:p w14:paraId="53FCA5FA">
      <w:pPr>
        <w:rPr>
          <w:sz w:val="24"/>
          <w:szCs w:val="24"/>
        </w:rPr>
      </w:pPr>
    </w:p>
    <w:p w14:paraId="1E571B5A">
      <w:pPr>
        <w:rPr>
          <w:sz w:val="24"/>
          <w:szCs w:val="24"/>
        </w:rPr>
      </w:pPr>
      <w:r>
        <w:rPr>
          <w:rFonts w:hint="eastAsia"/>
          <w:sz w:val="24"/>
          <w:szCs w:val="24"/>
        </w:rPr>
        <w:t>第三章</w:t>
      </w:r>
      <w:r>
        <w:rPr>
          <w:sz w:val="24"/>
          <w:szCs w:val="24"/>
        </w:rPr>
        <w:t xml:space="preserve">  </w:t>
      </w:r>
      <w:r>
        <w:rPr>
          <w:rFonts w:hint="eastAsia"/>
          <w:sz w:val="24"/>
          <w:szCs w:val="24"/>
        </w:rPr>
        <w:t>供货范围及供货方式</w:t>
      </w:r>
    </w:p>
    <w:p w14:paraId="3336C675">
      <w:pPr>
        <w:rPr>
          <w:sz w:val="24"/>
          <w:szCs w:val="24"/>
        </w:rPr>
      </w:pPr>
      <w:r>
        <w:rPr>
          <w:rFonts w:hint="eastAsia"/>
          <w:sz w:val="24"/>
          <w:szCs w:val="24"/>
        </w:rPr>
        <w:t>第一节  供货范围</w:t>
      </w:r>
    </w:p>
    <w:p w14:paraId="3FFD90BA">
      <w:pPr>
        <w:rPr>
          <w:sz w:val="24"/>
          <w:szCs w:val="24"/>
        </w:rPr>
      </w:pPr>
      <w:r>
        <w:rPr>
          <w:rFonts w:hint="eastAsia"/>
          <w:sz w:val="24"/>
          <w:szCs w:val="24"/>
        </w:rPr>
        <w:t>一、供货范围</w:t>
      </w:r>
    </w:p>
    <w:tbl>
      <w:tblPr>
        <w:tblStyle w:val="30"/>
        <w:tblW w:w="10278" w:type="dxa"/>
        <w:tblInd w:w="-615" w:type="dxa"/>
        <w:tblLayout w:type="autofit"/>
        <w:tblCellMar>
          <w:top w:w="0" w:type="dxa"/>
          <w:left w:w="108" w:type="dxa"/>
          <w:bottom w:w="0" w:type="dxa"/>
          <w:right w:w="108" w:type="dxa"/>
        </w:tblCellMar>
      </w:tblPr>
      <w:tblGrid>
        <w:gridCol w:w="894"/>
        <w:gridCol w:w="2650"/>
        <w:gridCol w:w="3969"/>
        <w:gridCol w:w="709"/>
        <w:gridCol w:w="425"/>
        <w:gridCol w:w="1631"/>
      </w:tblGrid>
      <w:tr w14:paraId="10AB56BA">
        <w:tblPrEx>
          <w:tblCellMar>
            <w:top w:w="0" w:type="dxa"/>
            <w:left w:w="108" w:type="dxa"/>
            <w:bottom w:w="0" w:type="dxa"/>
            <w:right w:w="108" w:type="dxa"/>
          </w:tblCellMar>
        </w:tblPrEx>
        <w:trPr>
          <w:trHeight w:val="360" w:hRule="atLeast"/>
        </w:trPr>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5A0B0A">
            <w:pPr>
              <w:widowControl/>
              <w:jc w:val="center"/>
              <w:rPr>
                <w:rFonts w:ascii="宋体" w:hAnsi="宋体" w:cs="宋体"/>
                <w:color w:val="000000"/>
                <w:kern w:val="0"/>
                <w:sz w:val="20"/>
              </w:rPr>
            </w:pPr>
            <w:r>
              <w:rPr>
                <w:rFonts w:hint="eastAsia" w:ascii="宋体" w:hAnsi="宋体" w:cs="宋体"/>
                <w:color w:val="000000"/>
                <w:kern w:val="0"/>
                <w:sz w:val="20"/>
              </w:rPr>
              <w:t>序号</w:t>
            </w:r>
          </w:p>
        </w:tc>
        <w:tc>
          <w:tcPr>
            <w:tcW w:w="2650" w:type="dxa"/>
            <w:tcBorders>
              <w:top w:val="single" w:color="auto" w:sz="4" w:space="0"/>
              <w:left w:val="nil"/>
              <w:bottom w:val="single" w:color="auto" w:sz="4" w:space="0"/>
              <w:right w:val="single" w:color="auto" w:sz="4" w:space="0"/>
            </w:tcBorders>
            <w:shd w:val="clear" w:color="auto" w:fill="auto"/>
            <w:vAlign w:val="center"/>
          </w:tcPr>
          <w:p w14:paraId="315A81B1">
            <w:pPr>
              <w:widowControl/>
              <w:jc w:val="center"/>
              <w:rPr>
                <w:rFonts w:ascii="宋体" w:hAnsi="宋体" w:cs="宋体"/>
                <w:color w:val="000000"/>
                <w:kern w:val="0"/>
                <w:sz w:val="20"/>
              </w:rPr>
            </w:pPr>
            <w:r>
              <w:rPr>
                <w:rFonts w:hint="eastAsia" w:ascii="宋体" w:hAnsi="宋体" w:cs="宋体"/>
                <w:color w:val="000000"/>
                <w:kern w:val="0"/>
                <w:sz w:val="20"/>
              </w:rPr>
              <w:t>部件名称</w:t>
            </w:r>
          </w:p>
        </w:tc>
        <w:tc>
          <w:tcPr>
            <w:tcW w:w="3969" w:type="dxa"/>
            <w:tcBorders>
              <w:top w:val="single" w:color="auto" w:sz="4" w:space="0"/>
              <w:left w:val="nil"/>
              <w:bottom w:val="single" w:color="auto" w:sz="4" w:space="0"/>
              <w:right w:val="single" w:color="auto" w:sz="4" w:space="0"/>
            </w:tcBorders>
            <w:shd w:val="clear" w:color="auto" w:fill="auto"/>
            <w:vAlign w:val="center"/>
          </w:tcPr>
          <w:p w14:paraId="0C60B9EE">
            <w:pPr>
              <w:widowControl/>
              <w:jc w:val="center"/>
              <w:rPr>
                <w:rFonts w:ascii="宋体" w:hAnsi="宋体" w:cs="宋体"/>
                <w:color w:val="000000"/>
                <w:kern w:val="0"/>
                <w:sz w:val="20"/>
              </w:rPr>
            </w:pPr>
            <w:r>
              <w:rPr>
                <w:rFonts w:hint="eastAsia" w:ascii="宋体" w:hAnsi="宋体" w:cs="宋体"/>
                <w:color w:val="000000"/>
                <w:kern w:val="0"/>
                <w:sz w:val="20"/>
              </w:rPr>
              <w:t>规格型号</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2C7F7502">
            <w:pPr>
              <w:widowControl/>
              <w:jc w:val="center"/>
              <w:rPr>
                <w:rFonts w:ascii="宋体" w:hAnsi="宋体" w:cs="宋体"/>
                <w:color w:val="000000"/>
                <w:kern w:val="0"/>
                <w:sz w:val="20"/>
              </w:rPr>
            </w:pPr>
            <w:r>
              <w:rPr>
                <w:rFonts w:hint="eastAsia" w:ascii="宋体" w:hAnsi="宋体" w:cs="宋体"/>
                <w:color w:val="000000"/>
                <w:kern w:val="0"/>
                <w:sz w:val="20"/>
              </w:rPr>
              <w:t>计量单位</w:t>
            </w:r>
          </w:p>
        </w:tc>
        <w:tc>
          <w:tcPr>
            <w:tcW w:w="425" w:type="dxa"/>
            <w:tcBorders>
              <w:top w:val="single" w:color="auto" w:sz="4" w:space="0"/>
              <w:left w:val="nil"/>
              <w:bottom w:val="single" w:color="auto" w:sz="4" w:space="0"/>
              <w:right w:val="single" w:color="auto" w:sz="4" w:space="0"/>
            </w:tcBorders>
            <w:shd w:val="clear" w:color="auto" w:fill="auto"/>
            <w:noWrap/>
            <w:vAlign w:val="center"/>
          </w:tcPr>
          <w:p w14:paraId="7C15CCD5">
            <w:pPr>
              <w:widowControl/>
              <w:jc w:val="center"/>
              <w:rPr>
                <w:rFonts w:ascii="宋体" w:hAnsi="宋体" w:cs="宋体"/>
                <w:color w:val="000000"/>
                <w:kern w:val="0"/>
                <w:sz w:val="20"/>
              </w:rPr>
            </w:pPr>
            <w:r>
              <w:rPr>
                <w:rFonts w:hint="eastAsia" w:ascii="宋体" w:hAnsi="宋体" w:cs="宋体"/>
                <w:color w:val="000000"/>
                <w:kern w:val="0"/>
                <w:sz w:val="20"/>
              </w:rPr>
              <w:t>数量</w:t>
            </w:r>
          </w:p>
        </w:tc>
        <w:tc>
          <w:tcPr>
            <w:tcW w:w="1631" w:type="dxa"/>
            <w:tcBorders>
              <w:top w:val="single" w:color="auto" w:sz="4" w:space="0"/>
              <w:left w:val="nil"/>
              <w:bottom w:val="single" w:color="auto" w:sz="4" w:space="0"/>
              <w:right w:val="single" w:color="auto" w:sz="4" w:space="0"/>
            </w:tcBorders>
            <w:shd w:val="clear" w:color="auto" w:fill="auto"/>
            <w:noWrap/>
            <w:vAlign w:val="center"/>
          </w:tcPr>
          <w:p w14:paraId="67190B96">
            <w:pPr>
              <w:widowControl/>
              <w:jc w:val="center"/>
              <w:rPr>
                <w:rFonts w:ascii="宋体" w:hAnsi="宋体" w:cs="宋体"/>
                <w:color w:val="000000"/>
                <w:kern w:val="0"/>
                <w:sz w:val="20"/>
              </w:rPr>
            </w:pPr>
            <w:r>
              <w:rPr>
                <w:rFonts w:hint="eastAsia" w:ascii="宋体" w:hAnsi="宋体" w:cs="宋体"/>
                <w:color w:val="000000"/>
                <w:kern w:val="0"/>
                <w:sz w:val="20"/>
              </w:rPr>
              <w:t>备注</w:t>
            </w:r>
          </w:p>
        </w:tc>
      </w:tr>
      <w:tr w14:paraId="353B7838">
        <w:tblPrEx>
          <w:tblCellMar>
            <w:top w:w="0" w:type="dxa"/>
            <w:left w:w="108" w:type="dxa"/>
            <w:bottom w:w="0" w:type="dxa"/>
            <w:right w:w="108" w:type="dxa"/>
          </w:tblCellMar>
        </w:tblPrEx>
        <w:trPr>
          <w:trHeight w:val="458"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2216B004">
            <w:pPr>
              <w:widowControl/>
              <w:jc w:val="center"/>
              <w:rPr>
                <w:rFonts w:ascii="宋体" w:hAnsi="宋体" w:cs="宋体"/>
                <w:kern w:val="0"/>
                <w:sz w:val="20"/>
              </w:rPr>
            </w:pPr>
            <w:r>
              <w:rPr>
                <w:rFonts w:ascii="宋体" w:hAnsi="宋体" w:cs="宋体"/>
                <w:kern w:val="0"/>
                <w:sz w:val="20"/>
              </w:rPr>
              <w:t>1</w:t>
            </w:r>
          </w:p>
        </w:tc>
        <w:tc>
          <w:tcPr>
            <w:tcW w:w="2650" w:type="dxa"/>
            <w:tcBorders>
              <w:top w:val="nil"/>
              <w:left w:val="nil"/>
              <w:bottom w:val="single" w:color="auto" w:sz="4" w:space="0"/>
              <w:right w:val="single" w:color="auto" w:sz="4" w:space="0"/>
            </w:tcBorders>
            <w:shd w:val="clear" w:color="auto" w:fill="auto"/>
            <w:vAlign w:val="center"/>
          </w:tcPr>
          <w:p w14:paraId="12729FCC">
            <w:pPr>
              <w:widowControl/>
              <w:jc w:val="center"/>
              <w:rPr>
                <w:rFonts w:ascii="宋体" w:hAnsi="宋体" w:cs="宋体"/>
                <w:color w:val="000000"/>
                <w:kern w:val="0"/>
                <w:sz w:val="20"/>
              </w:rPr>
            </w:pPr>
            <w:r>
              <w:rPr>
                <w:rFonts w:hint="eastAsia" w:ascii="宋体" w:hAnsi="宋体" w:cs="宋体"/>
                <w:color w:val="000000"/>
                <w:kern w:val="0"/>
                <w:sz w:val="20"/>
              </w:rPr>
              <w:t>升降台</w:t>
            </w:r>
          </w:p>
        </w:tc>
        <w:tc>
          <w:tcPr>
            <w:tcW w:w="3969" w:type="dxa"/>
            <w:tcBorders>
              <w:top w:val="nil"/>
              <w:left w:val="nil"/>
              <w:bottom w:val="single" w:color="auto" w:sz="4" w:space="0"/>
              <w:right w:val="single" w:color="auto" w:sz="4" w:space="0"/>
            </w:tcBorders>
            <w:shd w:val="clear" w:color="auto" w:fill="auto"/>
            <w:vAlign w:val="center"/>
          </w:tcPr>
          <w:p w14:paraId="7B9B4B06">
            <w:pPr>
              <w:widowControl/>
              <w:rPr>
                <w:rFonts w:ascii="宋体" w:hAnsi="宋体" w:cs="宋体"/>
                <w:color w:val="000000"/>
                <w:kern w:val="0"/>
                <w:sz w:val="20"/>
              </w:rPr>
            </w:pPr>
            <w:r>
              <w:rPr>
                <w:rFonts w:hint="eastAsia" w:ascii="宋体" w:hAnsi="宋体" w:cs="宋体"/>
                <w:color w:val="000000"/>
                <w:kern w:val="0"/>
                <w:sz w:val="20"/>
              </w:rPr>
              <w:t>电机链式驱动结构;托板尺寸1400*900mm，升降行程400mm；载荷500KG。</w:t>
            </w:r>
          </w:p>
        </w:tc>
        <w:tc>
          <w:tcPr>
            <w:tcW w:w="709" w:type="dxa"/>
            <w:tcBorders>
              <w:top w:val="nil"/>
              <w:left w:val="nil"/>
              <w:bottom w:val="single" w:color="auto" w:sz="4" w:space="0"/>
              <w:right w:val="single" w:color="auto" w:sz="4" w:space="0"/>
            </w:tcBorders>
            <w:shd w:val="clear" w:color="auto" w:fill="auto"/>
            <w:noWrap/>
            <w:vAlign w:val="center"/>
          </w:tcPr>
          <w:p w14:paraId="37E67F5A">
            <w:pPr>
              <w:widowControl/>
              <w:jc w:val="center"/>
              <w:rPr>
                <w:rFonts w:ascii="宋体" w:hAnsi="宋体" w:cs="宋体"/>
                <w:color w:val="000000"/>
                <w:kern w:val="0"/>
                <w:sz w:val="20"/>
              </w:rPr>
            </w:pPr>
            <w:r>
              <w:rPr>
                <w:rFonts w:hint="eastAsia" w:ascii="宋体" w:hAnsi="宋体" w:cs="宋体"/>
                <w:color w:val="000000"/>
                <w:kern w:val="0"/>
                <w:sz w:val="20"/>
              </w:rPr>
              <w:t>台</w:t>
            </w:r>
          </w:p>
        </w:tc>
        <w:tc>
          <w:tcPr>
            <w:tcW w:w="425" w:type="dxa"/>
            <w:tcBorders>
              <w:top w:val="nil"/>
              <w:left w:val="nil"/>
              <w:bottom w:val="single" w:color="auto" w:sz="4" w:space="0"/>
              <w:right w:val="single" w:color="auto" w:sz="4" w:space="0"/>
            </w:tcBorders>
            <w:shd w:val="clear" w:color="auto" w:fill="auto"/>
            <w:noWrap/>
            <w:vAlign w:val="center"/>
          </w:tcPr>
          <w:p w14:paraId="1363FA35">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32FE7076">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0F1109D4">
        <w:tblPrEx>
          <w:tblCellMar>
            <w:top w:w="0" w:type="dxa"/>
            <w:left w:w="108" w:type="dxa"/>
            <w:bottom w:w="0" w:type="dxa"/>
            <w:right w:w="108" w:type="dxa"/>
          </w:tblCellMar>
        </w:tblPrEx>
        <w:trPr>
          <w:trHeight w:val="480"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29440547">
            <w:pPr>
              <w:widowControl/>
              <w:jc w:val="center"/>
              <w:rPr>
                <w:rFonts w:ascii="宋体" w:hAnsi="宋体" w:cs="宋体"/>
                <w:kern w:val="0"/>
                <w:sz w:val="20"/>
              </w:rPr>
            </w:pPr>
            <w:r>
              <w:rPr>
                <w:rFonts w:ascii="宋体" w:hAnsi="宋体" w:cs="宋体"/>
                <w:kern w:val="0"/>
                <w:sz w:val="20"/>
              </w:rPr>
              <w:t>2</w:t>
            </w:r>
          </w:p>
        </w:tc>
        <w:tc>
          <w:tcPr>
            <w:tcW w:w="2650" w:type="dxa"/>
            <w:tcBorders>
              <w:top w:val="nil"/>
              <w:left w:val="nil"/>
              <w:bottom w:val="single" w:color="auto" w:sz="4" w:space="0"/>
              <w:right w:val="single" w:color="auto" w:sz="4" w:space="0"/>
            </w:tcBorders>
            <w:shd w:val="clear" w:color="auto" w:fill="auto"/>
            <w:vAlign w:val="center"/>
          </w:tcPr>
          <w:p w14:paraId="3FB447EB">
            <w:pPr>
              <w:widowControl/>
              <w:jc w:val="center"/>
              <w:rPr>
                <w:rFonts w:ascii="宋体" w:hAnsi="宋体" w:cs="宋体"/>
                <w:color w:val="000000"/>
                <w:kern w:val="0"/>
                <w:sz w:val="20"/>
              </w:rPr>
            </w:pPr>
            <w:r>
              <w:rPr>
                <w:rFonts w:hint="eastAsia" w:ascii="宋体" w:hAnsi="宋体" w:cs="宋体"/>
                <w:color w:val="000000"/>
                <w:kern w:val="0"/>
                <w:sz w:val="20"/>
              </w:rPr>
              <w:t>机器人夹具快换定位储存系统</w:t>
            </w:r>
          </w:p>
        </w:tc>
        <w:tc>
          <w:tcPr>
            <w:tcW w:w="3969" w:type="dxa"/>
            <w:tcBorders>
              <w:top w:val="nil"/>
              <w:left w:val="nil"/>
              <w:bottom w:val="single" w:color="auto" w:sz="4" w:space="0"/>
              <w:right w:val="single" w:color="auto" w:sz="4" w:space="0"/>
            </w:tcBorders>
            <w:shd w:val="clear" w:color="auto" w:fill="auto"/>
            <w:vAlign w:val="center"/>
          </w:tcPr>
          <w:p w14:paraId="0DD8C29A">
            <w:pPr>
              <w:widowControl/>
              <w:jc w:val="center"/>
              <w:rPr>
                <w:rFonts w:ascii="宋体" w:hAnsi="宋体" w:cs="宋体"/>
                <w:color w:val="000000"/>
                <w:kern w:val="0"/>
                <w:sz w:val="20"/>
              </w:rPr>
            </w:pPr>
            <w:r>
              <w:rPr>
                <w:rFonts w:hint="eastAsia" w:ascii="宋体" w:hAnsi="宋体" w:cs="宋体"/>
                <w:color w:val="000000"/>
                <w:kern w:val="0"/>
                <w:sz w:val="20"/>
              </w:rPr>
              <w:t>MC07</w:t>
            </w:r>
            <w:r>
              <w:rPr>
                <w:rFonts w:ascii="宋体" w:hAnsi="宋体" w:cs="宋体"/>
                <w:color w:val="000000"/>
                <w:kern w:val="0"/>
                <w:sz w:val="20"/>
              </w:rPr>
              <w:t>/615</w:t>
            </w:r>
            <w:r>
              <w:rPr>
                <w:rFonts w:hint="eastAsia" w:ascii="宋体" w:hAnsi="宋体" w:cs="宋体"/>
                <w:color w:val="000000"/>
                <w:kern w:val="0"/>
                <w:sz w:val="20"/>
              </w:rPr>
              <w:t>夹具，可存放1套MC07夹具，2套615夹具；含支架</w:t>
            </w:r>
          </w:p>
        </w:tc>
        <w:tc>
          <w:tcPr>
            <w:tcW w:w="709" w:type="dxa"/>
            <w:tcBorders>
              <w:top w:val="nil"/>
              <w:left w:val="nil"/>
              <w:bottom w:val="single" w:color="auto" w:sz="4" w:space="0"/>
              <w:right w:val="single" w:color="auto" w:sz="4" w:space="0"/>
            </w:tcBorders>
            <w:shd w:val="clear" w:color="auto" w:fill="auto"/>
            <w:noWrap/>
            <w:vAlign w:val="center"/>
          </w:tcPr>
          <w:p w14:paraId="5EF433A7">
            <w:pPr>
              <w:widowControl/>
              <w:jc w:val="center"/>
              <w:rPr>
                <w:rFonts w:ascii="宋体" w:hAnsi="宋体" w:cs="宋体"/>
                <w:color w:val="000000"/>
                <w:kern w:val="0"/>
                <w:sz w:val="20"/>
              </w:rPr>
            </w:pPr>
            <w:r>
              <w:rPr>
                <w:rFonts w:hint="eastAsia" w:ascii="宋体" w:hAnsi="宋体" w:cs="宋体"/>
                <w:color w:val="000000"/>
                <w:kern w:val="0"/>
                <w:sz w:val="20"/>
              </w:rPr>
              <w:t>副</w:t>
            </w:r>
          </w:p>
        </w:tc>
        <w:tc>
          <w:tcPr>
            <w:tcW w:w="425" w:type="dxa"/>
            <w:tcBorders>
              <w:top w:val="nil"/>
              <w:left w:val="nil"/>
              <w:bottom w:val="single" w:color="auto" w:sz="4" w:space="0"/>
              <w:right w:val="single" w:color="auto" w:sz="4" w:space="0"/>
            </w:tcBorders>
            <w:shd w:val="clear" w:color="auto" w:fill="auto"/>
            <w:noWrap/>
            <w:vAlign w:val="center"/>
          </w:tcPr>
          <w:p w14:paraId="6477B93D">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0AA08FCB">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5AADD906">
        <w:tblPrEx>
          <w:tblCellMar>
            <w:top w:w="0" w:type="dxa"/>
            <w:left w:w="108" w:type="dxa"/>
            <w:bottom w:w="0" w:type="dxa"/>
            <w:right w:w="108" w:type="dxa"/>
          </w:tblCellMar>
        </w:tblPrEx>
        <w:trPr>
          <w:trHeight w:val="270"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2250A684">
            <w:pPr>
              <w:widowControl/>
              <w:jc w:val="center"/>
              <w:rPr>
                <w:rFonts w:ascii="宋体" w:hAnsi="宋体" w:cs="宋体"/>
                <w:kern w:val="0"/>
                <w:sz w:val="20"/>
              </w:rPr>
            </w:pPr>
            <w:r>
              <w:rPr>
                <w:rFonts w:ascii="宋体" w:hAnsi="宋体" w:cs="宋体"/>
                <w:kern w:val="0"/>
                <w:sz w:val="20"/>
              </w:rPr>
              <w:t>3</w:t>
            </w:r>
          </w:p>
        </w:tc>
        <w:tc>
          <w:tcPr>
            <w:tcW w:w="2650" w:type="dxa"/>
            <w:tcBorders>
              <w:top w:val="nil"/>
              <w:left w:val="nil"/>
              <w:bottom w:val="single" w:color="auto" w:sz="4" w:space="0"/>
              <w:right w:val="single" w:color="auto" w:sz="4" w:space="0"/>
            </w:tcBorders>
            <w:shd w:val="clear" w:color="auto" w:fill="auto"/>
            <w:vAlign w:val="center"/>
          </w:tcPr>
          <w:p w14:paraId="19795837">
            <w:pPr>
              <w:widowControl/>
              <w:jc w:val="center"/>
              <w:rPr>
                <w:rFonts w:ascii="宋体" w:hAnsi="宋体" w:cs="宋体"/>
                <w:color w:val="000000"/>
                <w:kern w:val="0"/>
                <w:sz w:val="20"/>
              </w:rPr>
            </w:pPr>
            <w:r>
              <w:rPr>
                <w:rFonts w:hint="eastAsia" w:ascii="宋体" w:hAnsi="宋体" w:cs="宋体"/>
                <w:color w:val="000000"/>
                <w:kern w:val="0"/>
                <w:sz w:val="20"/>
              </w:rPr>
              <w:t>砂芯转运中转台</w:t>
            </w:r>
          </w:p>
        </w:tc>
        <w:tc>
          <w:tcPr>
            <w:tcW w:w="3969" w:type="dxa"/>
            <w:tcBorders>
              <w:top w:val="nil"/>
              <w:left w:val="nil"/>
              <w:bottom w:val="single" w:color="auto" w:sz="4" w:space="0"/>
              <w:right w:val="single" w:color="auto" w:sz="4" w:space="0"/>
            </w:tcBorders>
            <w:shd w:val="clear" w:color="auto" w:fill="auto"/>
            <w:vAlign w:val="center"/>
          </w:tcPr>
          <w:p w14:paraId="03C19352">
            <w:pPr>
              <w:widowControl/>
              <w:jc w:val="center"/>
              <w:rPr>
                <w:rFonts w:ascii="宋体" w:hAnsi="宋体" w:cs="宋体"/>
                <w:color w:val="000000"/>
                <w:kern w:val="0"/>
                <w:sz w:val="20"/>
              </w:rPr>
            </w:pPr>
            <w:r>
              <w:rPr>
                <w:rFonts w:hint="eastAsia" w:ascii="宋体" w:hAnsi="宋体" w:cs="宋体"/>
                <w:color w:val="000000"/>
                <w:kern w:val="0"/>
                <w:sz w:val="20"/>
              </w:rPr>
              <w:t>含定位块</w:t>
            </w:r>
          </w:p>
        </w:tc>
        <w:tc>
          <w:tcPr>
            <w:tcW w:w="709" w:type="dxa"/>
            <w:tcBorders>
              <w:top w:val="nil"/>
              <w:left w:val="nil"/>
              <w:bottom w:val="single" w:color="auto" w:sz="4" w:space="0"/>
              <w:right w:val="single" w:color="auto" w:sz="4" w:space="0"/>
            </w:tcBorders>
            <w:shd w:val="clear" w:color="auto" w:fill="auto"/>
            <w:noWrap/>
            <w:vAlign w:val="center"/>
          </w:tcPr>
          <w:p w14:paraId="3BEA0691">
            <w:pPr>
              <w:widowControl/>
              <w:jc w:val="center"/>
              <w:rPr>
                <w:rFonts w:ascii="宋体" w:hAnsi="宋体" w:cs="宋体"/>
                <w:color w:val="000000"/>
                <w:kern w:val="0"/>
                <w:sz w:val="20"/>
              </w:rPr>
            </w:pPr>
            <w:r>
              <w:rPr>
                <w:rFonts w:hint="eastAsia" w:ascii="宋体" w:hAnsi="宋体" w:cs="宋体"/>
                <w:color w:val="000000"/>
                <w:kern w:val="0"/>
                <w:sz w:val="20"/>
              </w:rPr>
              <w:t>个</w:t>
            </w:r>
          </w:p>
        </w:tc>
        <w:tc>
          <w:tcPr>
            <w:tcW w:w="425" w:type="dxa"/>
            <w:tcBorders>
              <w:top w:val="nil"/>
              <w:left w:val="nil"/>
              <w:bottom w:val="single" w:color="auto" w:sz="4" w:space="0"/>
              <w:right w:val="single" w:color="auto" w:sz="4" w:space="0"/>
            </w:tcBorders>
            <w:shd w:val="clear" w:color="auto" w:fill="auto"/>
            <w:noWrap/>
            <w:vAlign w:val="center"/>
          </w:tcPr>
          <w:p w14:paraId="04494EDC">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51CAE1E9">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3B3BD7D4">
        <w:tblPrEx>
          <w:tblCellMar>
            <w:top w:w="0" w:type="dxa"/>
            <w:left w:w="108" w:type="dxa"/>
            <w:bottom w:w="0" w:type="dxa"/>
            <w:right w:w="108" w:type="dxa"/>
          </w:tblCellMar>
        </w:tblPrEx>
        <w:trPr>
          <w:trHeight w:val="270"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3D3312D0">
            <w:pPr>
              <w:widowControl/>
              <w:jc w:val="center"/>
              <w:rPr>
                <w:rFonts w:ascii="宋体" w:hAnsi="宋体" w:cs="宋体"/>
                <w:kern w:val="0"/>
                <w:sz w:val="20"/>
              </w:rPr>
            </w:pPr>
            <w:r>
              <w:rPr>
                <w:rFonts w:ascii="宋体" w:hAnsi="宋体" w:cs="宋体"/>
                <w:kern w:val="0"/>
                <w:sz w:val="20"/>
              </w:rPr>
              <w:t>4</w:t>
            </w:r>
          </w:p>
        </w:tc>
        <w:tc>
          <w:tcPr>
            <w:tcW w:w="2650" w:type="dxa"/>
            <w:tcBorders>
              <w:top w:val="nil"/>
              <w:left w:val="nil"/>
              <w:bottom w:val="single" w:color="auto" w:sz="4" w:space="0"/>
              <w:right w:val="single" w:color="auto" w:sz="4" w:space="0"/>
            </w:tcBorders>
            <w:shd w:val="clear" w:color="auto" w:fill="auto"/>
            <w:vAlign w:val="center"/>
          </w:tcPr>
          <w:p w14:paraId="7B74F00C">
            <w:pPr>
              <w:widowControl/>
              <w:jc w:val="center"/>
              <w:rPr>
                <w:rFonts w:ascii="宋体" w:hAnsi="宋体" w:cs="宋体"/>
                <w:color w:val="000000"/>
                <w:kern w:val="0"/>
                <w:sz w:val="20"/>
              </w:rPr>
            </w:pPr>
            <w:r>
              <w:rPr>
                <w:rFonts w:hint="eastAsia" w:ascii="宋体" w:hAnsi="宋体" w:cs="宋体"/>
                <w:color w:val="000000"/>
                <w:kern w:val="0"/>
                <w:sz w:val="20"/>
              </w:rPr>
              <w:t>615缸盖芯转运夹具</w:t>
            </w:r>
          </w:p>
        </w:tc>
        <w:tc>
          <w:tcPr>
            <w:tcW w:w="3969" w:type="dxa"/>
            <w:tcBorders>
              <w:top w:val="nil"/>
              <w:left w:val="nil"/>
              <w:bottom w:val="single" w:color="auto" w:sz="4" w:space="0"/>
              <w:right w:val="single" w:color="auto" w:sz="4" w:space="0"/>
            </w:tcBorders>
            <w:shd w:val="clear" w:color="auto" w:fill="auto"/>
            <w:vAlign w:val="center"/>
          </w:tcPr>
          <w:p w14:paraId="16902ABD">
            <w:pPr>
              <w:widowControl/>
              <w:jc w:val="center"/>
              <w:rPr>
                <w:rFonts w:ascii="宋体" w:hAnsi="宋体" w:cs="宋体"/>
                <w:color w:val="000000"/>
                <w:kern w:val="0"/>
                <w:sz w:val="20"/>
              </w:rPr>
            </w:pPr>
            <w:r>
              <w:rPr>
                <w:rFonts w:hint="eastAsia" w:ascii="宋体" w:hAnsi="宋体" w:cs="宋体"/>
                <w:color w:val="000000"/>
                <w:kern w:val="0"/>
                <w:sz w:val="20"/>
              </w:rPr>
              <w:t>甲方提供图纸，气缸品牌SMC</w:t>
            </w:r>
          </w:p>
        </w:tc>
        <w:tc>
          <w:tcPr>
            <w:tcW w:w="709" w:type="dxa"/>
            <w:tcBorders>
              <w:top w:val="nil"/>
              <w:left w:val="nil"/>
              <w:bottom w:val="single" w:color="auto" w:sz="4" w:space="0"/>
              <w:right w:val="single" w:color="auto" w:sz="4" w:space="0"/>
            </w:tcBorders>
            <w:shd w:val="clear" w:color="auto" w:fill="auto"/>
            <w:noWrap/>
            <w:vAlign w:val="center"/>
          </w:tcPr>
          <w:p w14:paraId="2F180235">
            <w:pPr>
              <w:widowControl/>
              <w:jc w:val="center"/>
              <w:rPr>
                <w:rFonts w:ascii="宋体" w:hAnsi="宋体" w:cs="宋体"/>
                <w:color w:val="000000"/>
                <w:kern w:val="0"/>
                <w:sz w:val="20"/>
              </w:rPr>
            </w:pPr>
            <w:r>
              <w:rPr>
                <w:rFonts w:hint="eastAsia" w:ascii="宋体" w:hAnsi="宋体" w:cs="宋体"/>
                <w:color w:val="000000"/>
                <w:kern w:val="0"/>
                <w:sz w:val="20"/>
              </w:rPr>
              <w:t>副</w:t>
            </w:r>
          </w:p>
        </w:tc>
        <w:tc>
          <w:tcPr>
            <w:tcW w:w="425" w:type="dxa"/>
            <w:tcBorders>
              <w:top w:val="nil"/>
              <w:left w:val="nil"/>
              <w:bottom w:val="single" w:color="auto" w:sz="4" w:space="0"/>
              <w:right w:val="single" w:color="auto" w:sz="4" w:space="0"/>
            </w:tcBorders>
            <w:shd w:val="clear" w:color="auto" w:fill="auto"/>
            <w:noWrap/>
            <w:vAlign w:val="center"/>
          </w:tcPr>
          <w:p w14:paraId="0B4D5727">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5DCE6F72">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213D0819">
        <w:tblPrEx>
          <w:tblCellMar>
            <w:top w:w="0" w:type="dxa"/>
            <w:left w:w="108" w:type="dxa"/>
            <w:bottom w:w="0" w:type="dxa"/>
            <w:right w:w="108" w:type="dxa"/>
          </w:tblCellMar>
        </w:tblPrEx>
        <w:trPr>
          <w:trHeight w:val="489"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311D9AFC">
            <w:pPr>
              <w:widowControl/>
              <w:jc w:val="center"/>
              <w:rPr>
                <w:rFonts w:ascii="宋体" w:hAnsi="宋体" w:cs="宋体"/>
                <w:kern w:val="0"/>
                <w:sz w:val="20"/>
              </w:rPr>
            </w:pPr>
            <w:r>
              <w:rPr>
                <w:rFonts w:ascii="宋体" w:hAnsi="宋体" w:cs="宋体"/>
                <w:kern w:val="0"/>
                <w:sz w:val="20"/>
              </w:rPr>
              <w:t>5</w:t>
            </w:r>
          </w:p>
        </w:tc>
        <w:tc>
          <w:tcPr>
            <w:tcW w:w="2650" w:type="dxa"/>
            <w:tcBorders>
              <w:top w:val="nil"/>
              <w:left w:val="nil"/>
              <w:bottom w:val="single" w:color="auto" w:sz="4" w:space="0"/>
              <w:right w:val="single" w:color="auto" w:sz="4" w:space="0"/>
            </w:tcBorders>
            <w:shd w:val="clear" w:color="auto" w:fill="auto"/>
            <w:vAlign w:val="center"/>
          </w:tcPr>
          <w:p w14:paraId="55D180E8">
            <w:pPr>
              <w:widowControl/>
              <w:jc w:val="center"/>
              <w:rPr>
                <w:rFonts w:ascii="宋体" w:hAnsi="宋体" w:cs="宋体"/>
                <w:color w:val="000000"/>
                <w:kern w:val="0"/>
                <w:sz w:val="20"/>
              </w:rPr>
            </w:pPr>
            <w:r>
              <w:rPr>
                <w:rFonts w:hint="eastAsia" w:ascii="宋体" w:hAnsi="宋体" w:cs="宋体"/>
                <w:color w:val="000000"/>
                <w:kern w:val="0"/>
                <w:sz w:val="20"/>
              </w:rPr>
              <w:t>表干炉延长辊道线</w:t>
            </w:r>
          </w:p>
        </w:tc>
        <w:tc>
          <w:tcPr>
            <w:tcW w:w="3969" w:type="dxa"/>
            <w:tcBorders>
              <w:top w:val="nil"/>
              <w:left w:val="nil"/>
              <w:bottom w:val="single" w:color="auto" w:sz="4" w:space="0"/>
              <w:right w:val="single" w:color="auto" w:sz="4" w:space="0"/>
            </w:tcBorders>
            <w:shd w:val="clear" w:color="auto" w:fill="auto"/>
            <w:vAlign w:val="center"/>
          </w:tcPr>
          <w:p w14:paraId="3BE76BF0">
            <w:pPr>
              <w:widowControl/>
              <w:jc w:val="center"/>
              <w:rPr>
                <w:rFonts w:ascii="宋体" w:hAnsi="宋体" w:cs="宋体"/>
                <w:color w:val="000000"/>
                <w:kern w:val="0"/>
                <w:sz w:val="20"/>
              </w:rPr>
            </w:pPr>
            <w:r>
              <w:rPr>
                <w:rFonts w:hint="eastAsia" w:ascii="宋体" w:hAnsi="宋体" w:cs="宋体"/>
                <w:color w:val="000000"/>
                <w:kern w:val="0"/>
                <w:sz w:val="20"/>
              </w:rPr>
              <w:t>双层，宽1400长13米；含7台SEW电机（型号R37 DT71D4)；</w:t>
            </w:r>
            <w:r>
              <w:rPr>
                <w:rFonts w:ascii="宋体" w:hAnsi="宋体" w:cs="宋体"/>
                <w:color w:val="000000"/>
                <w:kern w:val="0"/>
                <w:sz w:val="20"/>
              </w:rPr>
              <w:t xml:space="preserve"> </w:t>
            </w:r>
          </w:p>
        </w:tc>
        <w:tc>
          <w:tcPr>
            <w:tcW w:w="709" w:type="dxa"/>
            <w:tcBorders>
              <w:top w:val="nil"/>
              <w:left w:val="nil"/>
              <w:bottom w:val="single" w:color="auto" w:sz="4" w:space="0"/>
              <w:right w:val="single" w:color="auto" w:sz="4" w:space="0"/>
            </w:tcBorders>
            <w:shd w:val="clear" w:color="auto" w:fill="auto"/>
            <w:noWrap/>
            <w:vAlign w:val="center"/>
          </w:tcPr>
          <w:p w14:paraId="0BA8E9AC">
            <w:pPr>
              <w:widowControl/>
              <w:jc w:val="center"/>
              <w:rPr>
                <w:rFonts w:ascii="宋体" w:hAnsi="宋体" w:cs="宋体"/>
                <w:color w:val="000000"/>
                <w:kern w:val="0"/>
                <w:sz w:val="20"/>
              </w:rPr>
            </w:pPr>
            <w:r>
              <w:rPr>
                <w:rFonts w:hint="eastAsia" w:ascii="宋体" w:hAnsi="宋体" w:cs="宋体"/>
                <w:color w:val="000000"/>
                <w:kern w:val="0"/>
                <w:sz w:val="20"/>
              </w:rPr>
              <w:t>台套</w:t>
            </w:r>
          </w:p>
        </w:tc>
        <w:tc>
          <w:tcPr>
            <w:tcW w:w="425" w:type="dxa"/>
            <w:tcBorders>
              <w:top w:val="nil"/>
              <w:left w:val="nil"/>
              <w:bottom w:val="single" w:color="auto" w:sz="4" w:space="0"/>
              <w:right w:val="single" w:color="auto" w:sz="4" w:space="0"/>
            </w:tcBorders>
            <w:shd w:val="clear" w:color="auto" w:fill="auto"/>
            <w:noWrap/>
            <w:vAlign w:val="center"/>
          </w:tcPr>
          <w:p w14:paraId="092E9543">
            <w:pPr>
              <w:widowControl/>
              <w:jc w:val="center"/>
              <w:rPr>
                <w:rFonts w:ascii="宋体" w:hAnsi="宋体" w:cs="宋体"/>
                <w:color w:val="000000"/>
                <w:kern w:val="0"/>
                <w:sz w:val="20"/>
              </w:rPr>
            </w:pPr>
            <w:r>
              <w:rPr>
                <w:rFonts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26A34760">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5029407A">
        <w:tblPrEx>
          <w:tblCellMar>
            <w:top w:w="0" w:type="dxa"/>
            <w:left w:w="108" w:type="dxa"/>
            <w:bottom w:w="0" w:type="dxa"/>
            <w:right w:w="108" w:type="dxa"/>
          </w:tblCellMar>
        </w:tblPrEx>
        <w:trPr>
          <w:trHeight w:val="288" w:hRule="atLeast"/>
        </w:trPr>
        <w:tc>
          <w:tcPr>
            <w:tcW w:w="894" w:type="dxa"/>
            <w:tcBorders>
              <w:top w:val="nil"/>
              <w:left w:val="single" w:color="auto" w:sz="4" w:space="0"/>
              <w:bottom w:val="single" w:color="auto" w:sz="4" w:space="0"/>
              <w:right w:val="single" w:color="auto" w:sz="4" w:space="0"/>
            </w:tcBorders>
            <w:shd w:val="clear" w:color="auto" w:fill="auto"/>
            <w:vAlign w:val="center"/>
          </w:tcPr>
          <w:p w14:paraId="62C6E6B9">
            <w:pPr>
              <w:widowControl/>
              <w:jc w:val="center"/>
              <w:rPr>
                <w:rFonts w:ascii="宋体" w:hAnsi="宋体" w:cs="宋体"/>
                <w:kern w:val="0"/>
                <w:sz w:val="20"/>
              </w:rPr>
            </w:pPr>
            <w:r>
              <w:rPr>
                <w:rFonts w:ascii="宋体" w:hAnsi="宋体" w:cs="宋体"/>
                <w:kern w:val="0"/>
                <w:sz w:val="20"/>
              </w:rPr>
              <w:t>6</w:t>
            </w:r>
          </w:p>
        </w:tc>
        <w:tc>
          <w:tcPr>
            <w:tcW w:w="2650" w:type="dxa"/>
            <w:tcBorders>
              <w:top w:val="nil"/>
              <w:left w:val="nil"/>
              <w:bottom w:val="single" w:color="auto" w:sz="4" w:space="0"/>
              <w:right w:val="single" w:color="auto" w:sz="4" w:space="0"/>
            </w:tcBorders>
            <w:shd w:val="clear" w:color="auto" w:fill="auto"/>
            <w:vAlign w:val="center"/>
          </w:tcPr>
          <w:p w14:paraId="3CB40798">
            <w:pPr>
              <w:widowControl/>
              <w:jc w:val="center"/>
              <w:rPr>
                <w:rFonts w:ascii="宋体" w:hAnsi="宋体" w:cs="宋体"/>
                <w:color w:val="000000"/>
                <w:kern w:val="0"/>
                <w:sz w:val="20"/>
              </w:rPr>
            </w:pPr>
            <w:r>
              <w:rPr>
                <w:rFonts w:hint="eastAsia" w:ascii="宋体" w:hAnsi="宋体" w:cs="宋体"/>
                <w:color w:val="000000"/>
                <w:kern w:val="0"/>
                <w:sz w:val="20"/>
              </w:rPr>
              <w:t>砂芯定位校准装置</w:t>
            </w:r>
          </w:p>
        </w:tc>
        <w:tc>
          <w:tcPr>
            <w:tcW w:w="3969" w:type="dxa"/>
            <w:tcBorders>
              <w:top w:val="nil"/>
              <w:left w:val="nil"/>
              <w:bottom w:val="single" w:color="auto" w:sz="4" w:space="0"/>
              <w:right w:val="single" w:color="auto" w:sz="4" w:space="0"/>
            </w:tcBorders>
            <w:shd w:val="clear" w:color="auto" w:fill="auto"/>
            <w:vAlign w:val="center"/>
          </w:tcPr>
          <w:p w14:paraId="1D044369">
            <w:pPr>
              <w:widowControl/>
              <w:jc w:val="center"/>
              <w:rPr>
                <w:rFonts w:ascii="宋体" w:hAnsi="宋体" w:cs="宋体"/>
                <w:color w:val="000000"/>
                <w:kern w:val="0"/>
                <w:sz w:val="20"/>
              </w:rPr>
            </w:pPr>
            <w:r>
              <w:rPr>
                <w:rFonts w:hint="eastAsia" w:ascii="宋体" w:hAnsi="宋体" w:cs="宋体"/>
                <w:color w:val="000000"/>
                <w:kern w:val="0"/>
                <w:sz w:val="20"/>
              </w:rPr>
              <w:t>校准精度±</w:t>
            </w:r>
            <w:r>
              <w:rPr>
                <w:rFonts w:ascii="宋体" w:hAnsi="宋体" w:cs="宋体"/>
                <w:color w:val="000000"/>
                <w:kern w:val="0"/>
                <w:sz w:val="20"/>
              </w:rPr>
              <w:t>1</w:t>
            </w:r>
            <w:r>
              <w:rPr>
                <w:rFonts w:hint="eastAsia" w:ascii="宋体" w:hAnsi="宋体" w:cs="宋体"/>
                <w:color w:val="000000"/>
                <w:kern w:val="0"/>
                <w:sz w:val="20"/>
              </w:rPr>
              <w:t>mm</w:t>
            </w:r>
          </w:p>
        </w:tc>
        <w:tc>
          <w:tcPr>
            <w:tcW w:w="709" w:type="dxa"/>
            <w:tcBorders>
              <w:top w:val="nil"/>
              <w:left w:val="nil"/>
              <w:bottom w:val="single" w:color="auto" w:sz="4" w:space="0"/>
              <w:right w:val="single" w:color="auto" w:sz="4" w:space="0"/>
            </w:tcBorders>
            <w:shd w:val="clear" w:color="auto" w:fill="auto"/>
            <w:noWrap/>
            <w:vAlign w:val="center"/>
          </w:tcPr>
          <w:p w14:paraId="69118233">
            <w:pPr>
              <w:widowControl/>
              <w:jc w:val="center"/>
              <w:rPr>
                <w:rFonts w:ascii="宋体" w:hAnsi="宋体" w:cs="宋体"/>
                <w:color w:val="000000"/>
                <w:kern w:val="0"/>
                <w:sz w:val="20"/>
              </w:rPr>
            </w:pPr>
            <w:r>
              <w:rPr>
                <w:rFonts w:hint="eastAsia" w:ascii="宋体" w:hAnsi="宋体" w:cs="宋体"/>
                <w:color w:val="000000"/>
                <w:kern w:val="0"/>
                <w:sz w:val="20"/>
              </w:rPr>
              <w:t>台</w:t>
            </w:r>
          </w:p>
        </w:tc>
        <w:tc>
          <w:tcPr>
            <w:tcW w:w="425" w:type="dxa"/>
            <w:tcBorders>
              <w:top w:val="nil"/>
              <w:left w:val="nil"/>
              <w:bottom w:val="single" w:color="auto" w:sz="4" w:space="0"/>
              <w:right w:val="single" w:color="auto" w:sz="4" w:space="0"/>
            </w:tcBorders>
            <w:shd w:val="clear" w:color="auto" w:fill="auto"/>
            <w:noWrap/>
            <w:vAlign w:val="center"/>
          </w:tcPr>
          <w:p w14:paraId="4F8B8D0A">
            <w:pPr>
              <w:widowControl/>
              <w:jc w:val="center"/>
              <w:rPr>
                <w:rFonts w:ascii="宋体" w:hAnsi="宋体" w:cs="宋体"/>
                <w:color w:val="000000"/>
                <w:kern w:val="0"/>
                <w:sz w:val="20"/>
              </w:rPr>
            </w:pPr>
            <w:r>
              <w:rPr>
                <w:rFonts w:hint="eastAsia" w:ascii="宋体" w:hAnsi="宋体" w:cs="宋体"/>
                <w:color w:val="000000"/>
                <w:kern w:val="0"/>
                <w:sz w:val="20"/>
              </w:rPr>
              <w:t>2</w:t>
            </w:r>
          </w:p>
        </w:tc>
        <w:tc>
          <w:tcPr>
            <w:tcW w:w="1631" w:type="dxa"/>
            <w:tcBorders>
              <w:top w:val="nil"/>
              <w:left w:val="nil"/>
              <w:bottom w:val="single" w:color="auto" w:sz="4" w:space="0"/>
              <w:right w:val="single" w:color="auto" w:sz="4" w:space="0"/>
            </w:tcBorders>
            <w:shd w:val="clear" w:color="auto" w:fill="auto"/>
            <w:noWrap/>
            <w:vAlign w:val="center"/>
          </w:tcPr>
          <w:p w14:paraId="4B80A681">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08777552">
        <w:tblPrEx>
          <w:tblCellMar>
            <w:top w:w="0" w:type="dxa"/>
            <w:left w:w="108" w:type="dxa"/>
            <w:bottom w:w="0" w:type="dxa"/>
            <w:right w:w="108" w:type="dxa"/>
          </w:tblCellMar>
        </w:tblPrEx>
        <w:trPr>
          <w:trHeight w:val="279" w:hRule="atLeast"/>
        </w:trPr>
        <w:tc>
          <w:tcPr>
            <w:tcW w:w="894" w:type="dxa"/>
            <w:tcBorders>
              <w:top w:val="nil"/>
              <w:left w:val="single" w:color="auto" w:sz="4" w:space="0"/>
              <w:bottom w:val="single" w:color="auto" w:sz="4" w:space="0"/>
              <w:right w:val="single" w:color="auto" w:sz="4" w:space="0"/>
            </w:tcBorders>
            <w:shd w:val="clear" w:color="auto" w:fill="auto"/>
            <w:vAlign w:val="center"/>
          </w:tcPr>
          <w:p w14:paraId="7F366271">
            <w:pPr>
              <w:widowControl/>
              <w:jc w:val="center"/>
              <w:rPr>
                <w:rFonts w:ascii="宋体" w:hAnsi="宋体" w:cs="宋体"/>
                <w:kern w:val="0"/>
                <w:sz w:val="20"/>
              </w:rPr>
            </w:pPr>
            <w:r>
              <w:rPr>
                <w:rFonts w:ascii="宋体" w:hAnsi="宋体" w:cs="宋体"/>
                <w:kern w:val="0"/>
                <w:sz w:val="20"/>
              </w:rPr>
              <w:t>7</w:t>
            </w:r>
          </w:p>
        </w:tc>
        <w:tc>
          <w:tcPr>
            <w:tcW w:w="2650" w:type="dxa"/>
            <w:tcBorders>
              <w:top w:val="nil"/>
              <w:left w:val="nil"/>
              <w:bottom w:val="single" w:color="auto" w:sz="4" w:space="0"/>
              <w:right w:val="single" w:color="auto" w:sz="4" w:space="0"/>
            </w:tcBorders>
            <w:shd w:val="clear" w:color="auto" w:fill="auto"/>
            <w:vAlign w:val="center"/>
          </w:tcPr>
          <w:p w14:paraId="4EA80EDD">
            <w:pPr>
              <w:widowControl/>
              <w:jc w:val="center"/>
              <w:rPr>
                <w:rFonts w:ascii="宋体" w:hAnsi="宋体" w:cs="宋体"/>
                <w:color w:val="000000"/>
                <w:kern w:val="0"/>
                <w:sz w:val="20"/>
              </w:rPr>
            </w:pPr>
            <w:r>
              <w:rPr>
                <w:rFonts w:hint="eastAsia" w:ascii="宋体" w:hAnsi="宋体" w:cs="宋体"/>
                <w:color w:val="000000"/>
                <w:kern w:val="0"/>
                <w:sz w:val="20"/>
              </w:rPr>
              <w:t>托板定位装置</w:t>
            </w:r>
          </w:p>
        </w:tc>
        <w:tc>
          <w:tcPr>
            <w:tcW w:w="3969" w:type="dxa"/>
            <w:tcBorders>
              <w:top w:val="nil"/>
              <w:left w:val="nil"/>
              <w:bottom w:val="single" w:color="auto" w:sz="4" w:space="0"/>
              <w:right w:val="single" w:color="auto" w:sz="4" w:space="0"/>
            </w:tcBorders>
            <w:shd w:val="clear" w:color="auto" w:fill="auto"/>
            <w:vAlign w:val="center"/>
          </w:tcPr>
          <w:p w14:paraId="6796F090">
            <w:pPr>
              <w:widowControl/>
              <w:jc w:val="center"/>
              <w:rPr>
                <w:rFonts w:ascii="宋体" w:hAnsi="宋体" w:cs="宋体"/>
                <w:color w:val="000000"/>
                <w:kern w:val="0"/>
                <w:sz w:val="20"/>
              </w:rPr>
            </w:pPr>
            <w:r>
              <w:rPr>
                <w:rFonts w:hint="eastAsia" w:ascii="宋体" w:hAnsi="宋体" w:cs="宋体"/>
                <w:color w:val="000000"/>
                <w:kern w:val="0"/>
                <w:sz w:val="20"/>
              </w:rPr>
              <w:t>定位精度±</w:t>
            </w:r>
            <w:r>
              <w:rPr>
                <w:rFonts w:ascii="宋体" w:hAnsi="宋体" w:cs="宋体"/>
                <w:color w:val="000000"/>
                <w:kern w:val="0"/>
                <w:sz w:val="20"/>
              </w:rPr>
              <w:t>1</w:t>
            </w:r>
            <w:r>
              <w:rPr>
                <w:rFonts w:hint="eastAsia" w:ascii="宋体" w:hAnsi="宋体" w:cs="宋体"/>
                <w:color w:val="000000"/>
                <w:kern w:val="0"/>
                <w:sz w:val="20"/>
              </w:rPr>
              <w:t>mm</w:t>
            </w:r>
            <w:r>
              <w:rPr>
                <w:rFonts w:ascii="宋体" w:hAnsi="宋体" w:cs="宋体"/>
                <w:color w:val="000000"/>
                <w:kern w:val="0"/>
                <w:sz w:val="20"/>
              </w:rPr>
              <w:t xml:space="preserve"> </w:t>
            </w:r>
          </w:p>
        </w:tc>
        <w:tc>
          <w:tcPr>
            <w:tcW w:w="709" w:type="dxa"/>
            <w:tcBorders>
              <w:top w:val="nil"/>
              <w:left w:val="nil"/>
              <w:bottom w:val="single" w:color="auto" w:sz="4" w:space="0"/>
              <w:right w:val="single" w:color="auto" w:sz="4" w:space="0"/>
            </w:tcBorders>
            <w:shd w:val="clear" w:color="auto" w:fill="auto"/>
            <w:noWrap/>
            <w:vAlign w:val="center"/>
          </w:tcPr>
          <w:p w14:paraId="79607C36">
            <w:pPr>
              <w:widowControl/>
              <w:jc w:val="center"/>
              <w:rPr>
                <w:rFonts w:ascii="宋体" w:hAnsi="宋体" w:cs="宋体"/>
                <w:color w:val="000000"/>
                <w:kern w:val="0"/>
                <w:sz w:val="20"/>
              </w:rPr>
            </w:pPr>
            <w:r>
              <w:rPr>
                <w:rFonts w:hint="eastAsia" w:ascii="宋体" w:hAnsi="宋体" w:cs="宋体"/>
                <w:color w:val="000000"/>
                <w:kern w:val="0"/>
                <w:sz w:val="20"/>
              </w:rPr>
              <w:t>台</w:t>
            </w:r>
          </w:p>
        </w:tc>
        <w:tc>
          <w:tcPr>
            <w:tcW w:w="425" w:type="dxa"/>
            <w:tcBorders>
              <w:top w:val="nil"/>
              <w:left w:val="nil"/>
              <w:bottom w:val="single" w:color="auto" w:sz="4" w:space="0"/>
              <w:right w:val="single" w:color="auto" w:sz="4" w:space="0"/>
            </w:tcBorders>
            <w:shd w:val="clear" w:color="auto" w:fill="auto"/>
            <w:noWrap/>
            <w:vAlign w:val="center"/>
          </w:tcPr>
          <w:p w14:paraId="35293E9F">
            <w:pPr>
              <w:widowControl/>
              <w:jc w:val="center"/>
              <w:rPr>
                <w:rFonts w:ascii="宋体" w:hAnsi="宋体" w:cs="宋体"/>
                <w:color w:val="000000"/>
                <w:kern w:val="0"/>
                <w:sz w:val="20"/>
              </w:rPr>
            </w:pPr>
            <w:r>
              <w:rPr>
                <w:rFonts w:hint="eastAsia" w:ascii="宋体" w:hAnsi="宋体" w:cs="宋体"/>
                <w:color w:val="000000"/>
                <w:kern w:val="0"/>
                <w:sz w:val="20"/>
              </w:rPr>
              <w:t>3</w:t>
            </w:r>
          </w:p>
        </w:tc>
        <w:tc>
          <w:tcPr>
            <w:tcW w:w="1631" w:type="dxa"/>
            <w:tcBorders>
              <w:top w:val="nil"/>
              <w:left w:val="nil"/>
              <w:bottom w:val="single" w:color="auto" w:sz="4" w:space="0"/>
              <w:right w:val="single" w:color="auto" w:sz="4" w:space="0"/>
            </w:tcBorders>
            <w:shd w:val="clear" w:color="auto" w:fill="auto"/>
            <w:noWrap/>
            <w:vAlign w:val="center"/>
          </w:tcPr>
          <w:p w14:paraId="7CE36D38">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746447B0">
        <w:tblPrEx>
          <w:tblCellMar>
            <w:top w:w="0" w:type="dxa"/>
            <w:left w:w="108" w:type="dxa"/>
            <w:bottom w:w="0" w:type="dxa"/>
            <w:right w:w="108" w:type="dxa"/>
          </w:tblCellMar>
        </w:tblPrEx>
        <w:trPr>
          <w:trHeight w:val="377" w:hRule="atLeast"/>
        </w:trPr>
        <w:tc>
          <w:tcPr>
            <w:tcW w:w="894" w:type="dxa"/>
            <w:tcBorders>
              <w:top w:val="nil"/>
              <w:left w:val="single" w:color="auto" w:sz="4" w:space="0"/>
              <w:bottom w:val="single" w:color="auto" w:sz="4" w:space="0"/>
              <w:right w:val="single" w:color="auto" w:sz="4" w:space="0"/>
            </w:tcBorders>
            <w:shd w:val="clear" w:color="auto" w:fill="auto"/>
            <w:vAlign w:val="center"/>
          </w:tcPr>
          <w:p w14:paraId="3B0F9B43">
            <w:pPr>
              <w:widowControl/>
              <w:jc w:val="center"/>
              <w:rPr>
                <w:rFonts w:ascii="宋体" w:hAnsi="宋体" w:cs="宋体"/>
                <w:kern w:val="0"/>
                <w:sz w:val="20"/>
              </w:rPr>
            </w:pPr>
            <w:r>
              <w:rPr>
                <w:rFonts w:ascii="宋体" w:hAnsi="宋体" w:cs="宋体"/>
                <w:kern w:val="0"/>
                <w:sz w:val="20"/>
              </w:rPr>
              <w:t>8</w:t>
            </w:r>
          </w:p>
        </w:tc>
        <w:tc>
          <w:tcPr>
            <w:tcW w:w="2650" w:type="dxa"/>
            <w:tcBorders>
              <w:top w:val="nil"/>
              <w:left w:val="nil"/>
              <w:bottom w:val="single" w:color="auto" w:sz="4" w:space="0"/>
              <w:right w:val="single" w:color="auto" w:sz="4" w:space="0"/>
            </w:tcBorders>
            <w:shd w:val="clear" w:color="auto" w:fill="auto"/>
            <w:vAlign w:val="center"/>
          </w:tcPr>
          <w:p w14:paraId="05342E10">
            <w:pPr>
              <w:widowControl/>
              <w:jc w:val="center"/>
              <w:rPr>
                <w:rFonts w:ascii="宋体" w:hAnsi="宋体" w:cs="宋体"/>
                <w:color w:val="000000"/>
                <w:kern w:val="0"/>
                <w:sz w:val="20"/>
              </w:rPr>
            </w:pPr>
            <w:r>
              <w:rPr>
                <w:rFonts w:hint="eastAsia" w:ascii="宋体" w:hAnsi="宋体" w:cs="宋体"/>
                <w:color w:val="000000"/>
                <w:kern w:val="0"/>
                <w:sz w:val="20"/>
              </w:rPr>
              <w:t>循环辊道线缓冲装置</w:t>
            </w:r>
          </w:p>
        </w:tc>
        <w:tc>
          <w:tcPr>
            <w:tcW w:w="3969" w:type="dxa"/>
            <w:tcBorders>
              <w:top w:val="nil"/>
              <w:left w:val="nil"/>
              <w:bottom w:val="single" w:color="auto" w:sz="4" w:space="0"/>
              <w:right w:val="single" w:color="auto" w:sz="4" w:space="0"/>
            </w:tcBorders>
            <w:shd w:val="clear" w:color="auto" w:fill="auto"/>
            <w:vAlign w:val="center"/>
          </w:tcPr>
          <w:p w14:paraId="419105B4">
            <w:pPr>
              <w:widowControl/>
              <w:jc w:val="center"/>
              <w:rPr>
                <w:rFonts w:ascii="宋体" w:hAnsi="宋体" w:cs="宋体"/>
                <w:color w:val="000000"/>
                <w:kern w:val="0"/>
                <w:sz w:val="20"/>
              </w:rPr>
            </w:pPr>
            <w:r>
              <w:rPr>
                <w:rFonts w:ascii="宋体" w:hAnsi="宋体" w:cs="宋体"/>
                <w:color w:val="000000"/>
                <w:kern w:val="0"/>
                <w:sz w:val="20"/>
              </w:rPr>
              <w:t>ZDTC50D</w:t>
            </w:r>
            <w:r>
              <w:rPr>
                <w:rFonts w:hint="eastAsia" w:ascii="宋体" w:hAnsi="宋体" w:cs="宋体"/>
                <w:color w:val="000000"/>
                <w:kern w:val="0"/>
                <w:sz w:val="20"/>
              </w:rPr>
              <w:t>双活塞长行程阻挡气缸及附件</w:t>
            </w:r>
          </w:p>
        </w:tc>
        <w:tc>
          <w:tcPr>
            <w:tcW w:w="709" w:type="dxa"/>
            <w:tcBorders>
              <w:top w:val="nil"/>
              <w:left w:val="nil"/>
              <w:bottom w:val="single" w:color="auto" w:sz="4" w:space="0"/>
              <w:right w:val="single" w:color="auto" w:sz="4" w:space="0"/>
            </w:tcBorders>
            <w:shd w:val="clear" w:color="auto" w:fill="auto"/>
            <w:noWrap/>
            <w:vAlign w:val="center"/>
          </w:tcPr>
          <w:p w14:paraId="01588D7D">
            <w:pPr>
              <w:widowControl/>
              <w:jc w:val="center"/>
              <w:rPr>
                <w:rFonts w:ascii="宋体" w:hAnsi="宋体" w:cs="宋体"/>
                <w:color w:val="000000"/>
                <w:kern w:val="0"/>
                <w:sz w:val="20"/>
              </w:rPr>
            </w:pPr>
            <w:r>
              <w:rPr>
                <w:rFonts w:hint="eastAsia" w:ascii="宋体" w:hAnsi="宋体" w:cs="宋体"/>
                <w:color w:val="000000"/>
                <w:kern w:val="0"/>
                <w:sz w:val="20"/>
              </w:rPr>
              <w:t>台</w:t>
            </w:r>
          </w:p>
        </w:tc>
        <w:tc>
          <w:tcPr>
            <w:tcW w:w="425" w:type="dxa"/>
            <w:tcBorders>
              <w:top w:val="nil"/>
              <w:left w:val="nil"/>
              <w:bottom w:val="single" w:color="auto" w:sz="4" w:space="0"/>
              <w:right w:val="single" w:color="auto" w:sz="4" w:space="0"/>
            </w:tcBorders>
            <w:shd w:val="clear" w:color="auto" w:fill="auto"/>
            <w:noWrap/>
            <w:vAlign w:val="center"/>
          </w:tcPr>
          <w:p w14:paraId="32A6D4BC">
            <w:pPr>
              <w:widowControl/>
              <w:jc w:val="center"/>
              <w:rPr>
                <w:rFonts w:ascii="宋体" w:hAnsi="宋体" w:cs="宋体"/>
                <w:color w:val="000000"/>
                <w:kern w:val="0"/>
                <w:sz w:val="20"/>
              </w:rPr>
            </w:pPr>
            <w:r>
              <w:rPr>
                <w:rFonts w:hint="eastAsia" w:ascii="宋体" w:hAnsi="宋体" w:cs="宋体"/>
                <w:color w:val="000000"/>
                <w:kern w:val="0"/>
                <w:sz w:val="20"/>
              </w:rPr>
              <w:t>4</w:t>
            </w:r>
          </w:p>
        </w:tc>
        <w:tc>
          <w:tcPr>
            <w:tcW w:w="1631" w:type="dxa"/>
            <w:tcBorders>
              <w:top w:val="nil"/>
              <w:left w:val="nil"/>
              <w:bottom w:val="single" w:color="auto" w:sz="4" w:space="0"/>
              <w:right w:val="single" w:color="auto" w:sz="4" w:space="0"/>
            </w:tcBorders>
            <w:shd w:val="clear" w:color="auto" w:fill="auto"/>
            <w:noWrap/>
            <w:vAlign w:val="center"/>
          </w:tcPr>
          <w:p w14:paraId="4747823C">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5624F976">
        <w:tblPrEx>
          <w:tblCellMar>
            <w:top w:w="0" w:type="dxa"/>
            <w:left w:w="108" w:type="dxa"/>
            <w:bottom w:w="0" w:type="dxa"/>
            <w:right w:w="108" w:type="dxa"/>
          </w:tblCellMar>
        </w:tblPrEx>
        <w:trPr>
          <w:trHeight w:val="268" w:hRule="atLeast"/>
        </w:trPr>
        <w:tc>
          <w:tcPr>
            <w:tcW w:w="894" w:type="dxa"/>
            <w:tcBorders>
              <w:top w:val="nil"/>
              <w:left w:val="single" w:color="auto" w:sz="4" w:space="0"/>
              <w:bottom w:val="single" w:color="auto" w:sz="4" w:space="0"/>
              <w:right w:val="single" w:color="auto" w:sz="4" w:space="0"/>
            </w:tcBorders>
            <w:shd w:val="clear" w:color="auto" w:fill="auto"/>
            <w:vAlign w:val="center"/>
          </w:tcPr>
          <w:p w14:paraId="6B9C1F60">
            <w:pPr>
              <w:widowControl/>
              <w:jc w:val="center"/>
              <w:rPr>
                <w:rFonts w:ascii="宋体" w:hAnsi="宋体" w:cs="宋体"/>
                <w:kern w:val="0"/>
                <w:sz w:val="20"/>
              </w:rPr>
            </w:pPr>
            <w:r>
              <w:rPr>
                <w:rFonts w:ascii="宋体" w:hAnsi="宋体" w:cs="宋体"/>
                <w:kern w:val="0"/>
                <w:sz w:val="20"/>
              </w:rPr>
              <w:t>9</w:t>
            </w:r>
          </w:p>
        </w:tc>
        <w:tc>
          <w:tcPr>
            <w:tcW w:w="2650" w:type="dxa"/>
            <w:tcBorders>
              <w:top w:val="nil"/>
              <w:left w:val="nil"/>
              <w:bottom w:val="single" w:color="auto" w:sz="4" w:space="0"/>
              <w:right w:val="single" w:color="auto" w:sz="4" w:space="0"/>
            </w:tcBorders>
            <w:shd w:val="clear" w:color="auto" w:fill="auto"/>
            <w:vAlign w:val="center"/>
          </w:tcPr>
          <w:p w14:paraId="2774E9A7">
            <w:pPr>
              <w:widowControl/>
              <w:jc w:val="center"/>
              <w:rPr>
                <w:rFonts w:ascii="宋体" w:hAnsi="宋体" w:cs="宋体"/>
                <w:color w:val="000000"/>
                <w:kern w:val="0"/>
                <w:sz w:val="20"/>
              </w:rPr>
            </w:pPr>
            <w:r>
              <w:rPr>
                <w:rFonts w:hint="eastAsia" w:ascii="宋体" w:hAnsi="宋体" w:cs="宋体"/>
                <w:color w:val="000000"/>
                <w:kern w:val="0"/>
                <w:sz w:val="20"/>
              </w:rPr>
              <w:t>砂芯定位</w:t>
            </w:r>
          </w:p>
        </w:tc>
        <w:tc>
          <w:tcPr>
            <w:tcW w:w="3969" w:type="dxa"/>
            <w:tcBorders>
              <w:top w:val="nil"/>
              <w:left w:val="nil"/>
              <w:bottom w:val="single" w:color="auto" w:sz="4" w:space="0"/>
              <w:right w:val="single" w:color="auto" w:sz="4" w:space="0"/>
            </w:tcBorders>
            <w:shd w:val="clear" w:color="auto" w:fill="auto"/>
            <w:vAlign w:val="center"/>
          </w:tcPr>
          <w:p w14:paraId="0A91DCC3">
            <w:pPr>
              <w:widowControl/>
              <w:jc w:val="center"/>
              <w:rPr>
                <w:rFonts w:ascii="宋体" w:hAnsi="宋体" w:cs="宋体"/>
                <w:color w:val="000000"/>
                <w:kern w:val="0"/>
                <w:sz w:val="20"/>
              </w:rPr>
            </w:pPr>
            <w:r>
              <w:rPr>
                <w:rFonts w:ascii="宋体" w:hAnsi="宋体" w:cs="宋体"/>
                <w:color w:val="000000"/>
                <w:kern w:val="0"/>
                <w:sz w:val="20"/>
              </w:rPr>
              <w:t>不锈钢</w:t>
            </w:r>
            <w:r>
              <w:rPr>
                <w:rFonts w:hint="eastAsia" w:ascii="宋体" w:hAnsi="宋体" w:cs="宋体"/>
                <w:color w:val="000000"/>
                <w:kern w:val="0"/>
                <w:sz w:val="20"/>
              </w:rPr>
              <w:t>定制防滑螺钉</w:t>
            </w:r>
          </w:p>
        </w:tc>
        <w:tc>
          <w:tcPr>
            <w:tcW w:w="709" w:type="dxa"/>
            <w:tcBorders>
              <w:top w:val="nil"/>
              <w:left w:val="nil"/>
              <w:bottom w:val="single" w:color="auto" w:sz="4" w:space="0"/>
              <w:right w:val="single" w:color="auto" w:sz="4" w:space="0"/>
            </w:tcBorders>
            <w:shd w:val="clear" w:color="auto" w:fill="auto"/>
            <w:noWrap/>
            <w:vAlign w:val="center"/>
          </w:tcPr>
          <w:p w14:paraId="496543D7">
            <w:pPr>
              <w:widowControl/>
              <w:jc w:val="center"/>
              <w:rPr>
                <w:rFonts w:ascii="宋体" w:hAnsi="宋体" w:cs="宋体"/>
                <w:color w:val="000000"/>
                <w:kern w:val="0"/>
                <w:sz w:val="20"/>
              </w:rPr>
            </w:pPr>
            <w:r>
              <w:rPr>
                <w:rFonts w:hint="eastAsia" w:ascii="宋体" w:hAnsi="宋体" w:cs="宋体"/>
                <w:color w:val="000000"/>
                <w:kern w:val="0"/>
                <w:sz w:val="20"/>
              </w:rPr>
              <w:t>套</w:t>
            </w:r>
          </w:p>
        </w:tc>
        <w:tc>
          <w:tcPr>
            <w:tcW w:w="425" w:type="dxa"/>
            <w:tcBorders>
              <w:top w:val="nil"/>
              <w:left w:val="nil"/>
              <w:bottom w:val="single" w:color="auto" w:sz="4" w:space="0"/>
              <w:right w:val="single" w:color="auto" w:sz="4" w:space="0"/>
            </w:tcBorders>
            <w:shd w:val="clear" w:color="auto" w:fill="auto"/>
            <w:noWrap/>
            <w:vAlign w:val="center"/>
          </w:tcPr>
          <w:p w14:paraId="35BB071A">
            <w:pPr>
              <w:widowControl/>
              <w:jc w:val="center"/>
              <w:rPr>
                <w:rFonts w:ascii="宋体" w:hAnsi="宋体" w:cs="宋体"/>
                <w:color w:val="000000"/>
                <w:kern w:val="0"/>
                <w:sz w:val="20"/>
              </w:rPr>
            </w:pPr>
            <w:r>
              <w:rPr>
                <w:rFonts w:hint="eastAsia" w:ascii="宋体" w:hAnsi="宋体" w:cs="宋体"/>
                <w:color w:val="000000"/>
                <w:kern w:val="0"/>
                <w:sz w:val="20"/>
              </w:rPr>
              <w:t>6</w:t>
            </w:r>
          </w:p>
        </w:tc>
        <w:tc>
          <w:tcPr>
            <w:tcW w:w="1631" w:type="dxa"/>
            <w:tcBorders>
              <w:top w:val="nil"/>
              <w:left w:val="nil"/>
              <w:bottom w:val="single" w:color="auto" w:sz="4" w:space="0"/>
              <w:right w:val="single" w:color="auto" w:sz="4" w:space="0"/>
            </w:tcBorders>
            <w:shd w:val="clear" w:color="auto" w:fill="auto"/>
            <w:noWrap/>
            <w:vAlign w:val="center"/>
          </w:tcPr>
          <w:p w14:paraId="580A52B5">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71566731">
        <w:tblPrEx>
          <w:tblCellMar>
            <w:top w:w="0" w:type="dxa"/>
            <w:left w:w="108" w:type="dxa"/>
            <w:bottom w:w="0" w:type="dxa"/>
            <w:right w:w="108" w:type="dxa"/>
          </w:tblCellMar>
        </w:tblPrEx>
        <w:trPr>
          <w:trHeight w:val="339"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4CEB9189">
            <w:pPr>
              <w:widowControl/>
              <w:jc w:val="center"/>
              <w:rPr>
                <w:rFonts w:ascii="宋体" w:hAnsi="宋体" w:cs="宋体"/>
                <w:kern w:val="0"/>
                <w:sz w:val="20"/>
              </w:rPr>
            </w:pPr>
            <w:r>
              <w:rPr>
                <w:rFonts w:ascii="宋体" w:hAnsi="宋体" w:cs="宋体"/>
                <w:kern w:val="0"/>
                <w:sz w:val="20"/>
              </w:rPr>
              <w:t>10</w:t>
            </w:r>
          </w:p>
        </w:tc>
        <w:tc>
          <w:tcPr>
            <w:tcW w:w="2650" w:type="dxa"/>
            <w:tcBorders>
              <w:top w:val="nil"/>
              <w:left w:val="nil"/>
              <w:bottom w:val="single" w:color="auto" w:sz="4" w:space="0"/>
              <w:right w:val="single" w:color="auto" w:sz="4" w:space="0"/>
            </w:tcBorders>
            <w:shd w:val="clear" w:color="auto" w:fill="auto"/>
            <w:vAlign w:val="center"/>
          </w:tcPr>
          <w:p w14:paraId="3CE8AF1D">
            <w:pPr>
              <w:widowControl/>
              <w:jc w:val="center"/>
              <w:rPr>
                <w:rFonts w:ascii="宋体" w:hAnsi="宋体" w:cs="宋体"/>
                <w:color w:val="000000"/>
                <w:kern w:val="0"/>
                <w:sz w:val="20"/>
              </w:rPr>
            </w:pPr>
            <w:r>
              <w:rPr>
                <w:rFonts w:hint="eastAsia" w:ascii="宋体" w:hAnsi="宋体" w:cs="宋体"/>
                <w:color w:val="000000"/>
                <w:kern w:val="0"/>
                <w:sz w:val="20"/>
              </w:rPr>
              <w:t>KUKA转运机器人搬迁、安装</w:t>
            </w:r>
          </w:p>
        </w:tc>
        <w:tc>
          <w:tcPr>
            <w:tcW w:w="3969" w:type="dxa"/>
            <w:tcBorders>
              <w:top w:val="nil"/>
              <w:left w:val="nil"/>
              <w:bottom w:val="single" w:color="auto" w:sz="4" w:space="0"/>
              <w:right w:val="single" w:color="auto" w:sz="4" w:space="0"/>
            </w:tcBorders>
            <w:shd w:val="clear" w:color="auto" w:fill="auto"/>
            <w:vAlign w:val="center"/>
          </w:tcPr>
          <w:p w14:paraId="5FCF9AD2">
            <w:pPr>
              <w:widowControl/>
              <w:rPr>
                <w:rFonts w:ascii="宋体" w:hAnsi="宋体" w:cs="宋体"/>
                <w:color w:val="000000"/>
                <w:kern w:val="0"/>
                <w:sz w:val="20"/>
              </w:rPr>
            </w:pPr>
            <w:r>
              <w:rPr>
                <w:rFonts w:hint="eastAsia" w:ascii="宋体" w:hAnsi="宋体" w:cs="宋体"/>
                <w:color w:val="000000"/>
                <w:kern w:val="0"/>
                <w:sz w:val="20"/>
              </w:rPr>
              <w:t>KUKA转运机器人拆卸并按招标方提供的位置就位、安装，含机器人底座、安装底板等附件</w:t>
            </w:r>
          </w:p>
        </w:tc>
        <w:tc>
          <w:tcPr>
            <w:tcW w:w="709" w:type="dxa"/>
            <w:tcBorders>
              <w:top w:val="nil"/>
              <w:left w:val="nil"/>
              <w:bottom w:val="single" w:color="auto" w:sz="4" w:space="0"/>
              <w:right w:val="single" w:color="auto" w:sz="4" w:space="0"/>
            </w:tcBorders>
            <w:shd w:val="clear" w:color="auto" w:fill="auto"/>
            <w:noWrap/>
            <w:vAlign w:val="center"/>
          </w:tcPr>
          <w:p w14:paraId="0B979895">
            <w:pPr>
              <w:widowControl/>
              <w:jc w:val="center"/>
              <w:rPr>
                <w:rFonts w:ascii="宋体" w:hAnsi="宋体" w:cs="宋体"/>
                <w:color w:val="000000"/>
                <w:kern w:val="0"/>
                <w:sz w:val="20"/>
              </w:rPr>
            </w:pPr>
            <w:r>
              <w:rPr>
                <w:rFonts w:hint="eastAsia" w:ascii="宋体" w:hAnsi="宋体" w:cs="宋体"/>
                <w:color w:val="000000"/>
                <w:kern w:val="0"/>
                <w:sz w:val="20"/>
              </w:rPr>
              <w:t>台　</w:t>
            </w:r>
          </w:p>
        </w:tc>
        <w:tc>
          <w:tcPr>
            <w:tcW w:w="425" w:type="dxa"/>
            <w:tcBorders>
              <w:top w:val="nil"/>
              <w:left w:val="nil"/>
              <w:bottom w:val="single" w:color="auto" w:sz="4" w:space="0"/>
              <w:right w:val="single" w:color="auto" w:sz="4" w:space="0"/>
            </w:tcBorders>
            <w:shd w:val="clear" w:color="auto" w:fill="auto"/>
            <w:noWrap/>
            <w:vAlign w:val="center"/>
          </w:tcPr>
          <w:p w14:paraId="76AFEC40">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vAlign w:val="center"/>
          </w:tcPr>
          <w:p w14:paraId="36C4BD6D">
            <w:pPr>
              <w:widowControl/>
              <w:jc w:val="center"/>
              <w:rPr>
                <w:rFonts w:ascii="宋体" w:hAnsi="宋体" w:cs="宋体"/>
                <w:color w:val="000000"/>
                <w:kern w:val="0"/>
                <w:sz w:val="20"/>
              </w:rPr>
            </w:pPr>
            <w:r>
              <w:rPr>
                <w:rFonts w:ascii="宋体" w:hAnsi="宋体" w:cs="宋体"/>
                <w:color w:val="000000"/>
                <w:kern w:val="0"/>
                <w:sz w:val="20"/>
              </w:rPr>
              <w:t>招标方配合吊装</w:t>
            </w:r>
          </w:p>
        </w:tc>
      </w:tr>
      <w:tr w14:paraId="34555E1A">
        <w:tblPrEx>
          <w:tblCellMar>
            <w:top w:w="0" w:type="dxa"/>
            <w:left w:w="108" w:type="dxa"/>
            <w:bottom w:w="0" w:type="dxa"/>
            <w:right w:w="108" w:type="dxa"/>
          </w:tblCellMar>
        </w:tblPrEx>
        <w:trPr>
          <w:trHeight w:val="480"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2A139EB4">
            <w:pPr>
              <w:widowControl/>
              <w:jc w:val="center"/>
              <w:rPr>
                <w:rFonts w:ascii="宋体" w:hAnsi="宋体" w:cs="宋体"/>
                <w:kern w:val="0"/>
                <w:sz w:val="20"/>
              </w:rPr>
            </w:pPr>
            <w:r>
              <w:rPr>
                <w:rFonts w:ascii="宋体" w:hAnsi="宋体" w:cs="宋体"/>
                <w:kern w:val="0"/>
                <w:sz w:val="20"/>
              </w:rPr>
              <w:t>11</w:t>
            </w:r>
          </w:p>
        </w:tc>
        <w:tc>
          <w:tcPr>
            <w:tcW w:w="2650" w:type="dxa"/>
            <w:tcBorders>
              <w:top w:val="nil"/>
              <w:left w:val="nil"/>
              <w:bottom w:val="single" w:color="auto" w:sz="4" w:space="0"/>
              <w:right w:val="single" w:color="auto" w:sz="4" w:space="0"/>
            </w:tcBorders>
            <w:shd w:val="clear" w:color="auto" w:fill="auto"/>
            <w:vAlign w:val="center"/>
          </w:tcPr>
          <w:p w14:paraId="02B11C8F">
            <w:pPr>
              <w:widowControl/>
              <w:jc w:val="center"/>
              <w:rPr>
                <w:rFonts w:ascii="宋体" w:hAnsi="宋体" w:cs="宋体"/>
                <w:color w:val="000000"/>
                <w:kern w:val="0"/>
                <w:sz w:val="20"/>
              </w:rPr>
            </w:pPr>
            <w:r>
              <w:rPr>
                <w:rFonts w:hint="eastAsia" w:ascii="宋体" w:hAnsi="宋体" w:cs="宋体"/>
                <w:color w:val="000000"/>
                <w:kern w:val="0"/>
                <w:sz w:val="20"/>
              </w:rPr>
              <w:t>机器人安全围栏</w:t>
            </w:r>
          </w:p>
        </w:tc>
        <w:tc>
          <w:tcPr>
            <w:tcW w:w="3969" w:type="dxa"/>
            <w:tcBorders>
              <w:top w:val="nil"/>
              <w:left w:val="nil"/>
              <w:bottom w:val="single" w:color="auto" w:sz="4" w:space="0"/>
              <w:right w:val="single" w:color="auto" w:sz="4" w:space="0"/>
            </w:tcBorders>
            <w:shd w:val="clear" w:color="auto" w:fill="auto"/>
            <w:vAlign w:val="center"/>
          </w:tcPr>
          <w:p w14:paraId="60A2AD12">
            <w:pPr>
              <w:widowControl/>
              <w:jc w:val="center"/>
              <w:rPr>
                <w:rFonts w:ascii="宋体" w:hAnsi="宋体" w:cs="宋体"/>
                <w:color w:val="000000"/>
                <w:kern w:val="0"/>
                <w:sz w:val="20"/>
              </w:rPr>
            </w:pPr>
            <w:r>
              <w:rPr>
                <w:rFonts w:hint="eastAsia" w:ascii="宋体" w:hAnsi="宋体" w:cs="宋体"/>
                <w:color w:val="000000"/>
                <w:kern w:val="0"/>
                <w:sz w:val="20"/>
              </w:rPr>
              <w:t>高2000mm，含安全光栅、安全门锁、滑轨门等；安全围栏品牌德拉科</w:t>
            </w:r>
          </w:p>
        </w:tc>
        <w:tc>
          <w:tcPr>
            <w:tcW w:w="709" w:type="dxa"/>
            <w:tcBorders>
              <w:top w:val="nil"/>
              <w:left w:val="nil"/>
              <w:bottom w:val="single" w:color="auto" w:sz="4" w:space="0"/>
              <w:right w:val="single" w:color="auto" w:sz="4" w:space="0"/>
            </w:tcBorders>
            <w:shd w:val="clear" w:color="auto" w:fill="auto"/>
            <w:noWrap/>
            <w:vAlign w:val="center"/>
          </w:tcPr>
          <w:p w14:paraId="5FF55125">
            <w:pPr>
              <w:widowControl/>
              <w:jc w:val="center"/>
              <w:rPr>
                <w:rFonts w:ascii="宋体" w:hAnsi="宋体" w:cs="宋体"/>
                <w:color w:val="000000"/>
                <w:kern w:val="0"/>
                <w:sz w:val="20"/>
              </w:rPr>
            </w:pPr>
            <w:r>
              <w:rPr>
                <w:rFonts w:hint="eastAsia" w:ascii="宋体" w:hAnsi="宋体" w:cs="宋体"/>
                <w:color w:val="000000"/>
                <w:kern w:val="0"/>
                <w:sz w:val="20"/>
              </w:rPr>
              <w:t>套</w:t>
            </w:r>
          </w:p>
        </w:tc>
        <w:tc>
          <w:tcPr>
            <w:tcW w:w="425" w:type="dxa"/>
            <w:tcBorders>
              <w:top w:val="nil"/>
              <w:left w:val="nil"/>
              <w:bottom w:val="single" w:color="auto" w:sz="4" w:space="0"/>
              <w:right w:val="single" w:color="auto" w:sz="4" w:space="0"/>
            </w:tcBorders>
            <w:shd w:val="clear" w:color="auto" w:fill="auto"/>
            <w:noWrap/>
            <w:vAlign w:val="center"/>
          </w:tcPr>
          <w:p w14:paraId="42739086">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0FF7311B">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3BFE842F">
        <w:tblPrEx>
          <w:tblCellMar>
            <w:top w:w="0" w:type="dxa"/>
            <w:left w:w="108" w:type="dxa"/>
            <w:bottom w:w="0" w:type="dxa"/>
            <w:right w:w="108" w:type="dxa"/>
          </w:tblCellMar>
        </w:tblPrEx>
        <w:trPr>
          <w:trHeight w:val="554"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66EC7DF2">
            <w:pPr>
              <w:widowControl/>
              <w:jc w:val="center"/>
              <w:rPr>
                <w:rFonts w:ascii="宋体" w:hAnsi="宋体" w:cs="宋体"/>
                <w:kern w:val="0"/>
                <w:sz w:val="20"/>
              </w:rPr>
            </w:pPr>
            <w:r>
              <w:rPr>
                <w:rFonts w:ascii="宋体" w:hAnsi="宋体" w:cs="宋体"/>
                <w:kern w:val="0"/>
                <w:sz w:val="20"/>
              </w:rPr>
              <w:t>12</w:t>
            </w:r>
          </w:p>
        </w:tc>
        <w:tc>
          <w:tcPr>
            <w:tcW w:w="2650" w:type="dxa"/>
            <w:tcBorders>
              <w:top w:val="nil"/>
              <w:left w:val="nil"/>
              <w:bottom w:val="single" w:color="auto" w:sz="4" w:space="0"/>
              <w:right w:val="single" w:color="auto" w:sz="4" w:space="0"/>
            </w:tcBorders>
            <w:shd w:val="clear" w:color="auto" w:fill="auto"/>
            <w:vAlign w:val="center"/>
          </w:tcPr>
          <w:p w14:paraId="7DC81087">
            <w:pPr>
              <w:widowControl/>
              <w:jc w:val="center"/>
              <w:rPr>
                <w:rFonts w:ascii="宋体" w:hAnsi="宋体" w:cs="宋体"/>
                <w:color w:val="000000"/>
                <w:kern w:val="0"/>
                <w:sz w:val="20"/>
              </w:rPr>
            </w:pPr>
            <w:r>
              <w:rPr>
                <w:rFonts w:hint="eastAsia" w:ascii="宋体" w:hAnsi="宋体" w:cs="宋体"/>
                <w:color w:val="000000"/>
                <w:kern w:val="0"/>
                <w:sz w:val="20"/>
              </w:rPr>
              <w:t>电气系统设计</w:t>
            </w:r>
          </w:p>
        </w:tc>
        <w:tc>
          <w:tcPr>
            <w:tcW w:w="3969" w:type="dxa"/>
            <w:tcBorders>
              <w:top w:val="nil"/>
              <w:left w:val="nil"/>
              <w:bottom w:val="single" w:color="auto" w:sz="4" w:space="0"/>
              <w:right w:val="single" w:color="auto" w:sz="4" w:space="0"/>
            </w:tcBorders>
            <w:shd w:val="clear" w:color="auto" w:fill="auto"/>
            <w:vAlign w:val="center"/>
          </w:tcPr>
          <w:p w14:paraId="449EDB68">
            <w:pPr>
              <w:widowControl/>
              <w:rPr>
                <w:rFonts w:ascii="宋体" w:hAnsi="宋体" w:cs="宋体"/>
                <w:color w:val="000000"/>
                <w:kern w:val="0"/>
                <w:sz w:val="20"/>
              </w:rPr>
            </w:pPr>
            <w:r>
              <w:rPr>
                <w:rFonts w:hint="eastAsia" w:ascii="宋体" w:hAnsi="宋体" w:cs="宋体"/>
                <w:color w:val="000000"/>
                <w:kern w:val="0"/>
                <w:sz w:val="20"/>
              </w:rPr>
              <w:t>1、新增设备电气控制设计；</w:t>
            </w:r>
            <w:r>
              <w:rPr>
                <w:rFonts w:hint="eastAsia" w:ascii="宋体" w:hAnsi="宋体" w:cs="宋体"/>
                <w:color w:val="000000"/>
                <w:kern w:val="0"/>
                <w:sz w:val="20"/>
              </w:rPr>
              <w:br w:type="textWrapping"/>
            </w:r>
            <w:r>
              <w:rPr>
                <w:rFonts w:hint="eastAsia" w:ascii="宋体" w:hAnsi="宋体" w:cs="宋体"/>
                <w:color w:val="000000"/>
                <w:kern w:val="0"/>
                <w:sz w:val="20"/>
              </w:rPr>
              <w:t>2、新增设备后对原设备图纸修改。</w:t>
            </w:r>
          </w:p>
        </w:tc>
        <w:tc>
          <w:tcPr>
            <w:tcW w:w="709" w:type="dxa"/>
            <w:tcBorders>
              <w:top w:val="nil"/>
              <w:left w:val="nil"/>
              <w:bottom w:val="single" w:color="auto" w:sz="4" w:space="0"/>
              <w:right w:val="single" w:color="auto" w:sz="4" w:space="0"/>
            </w:tcBorders>
            <w:shd w:val="clear" w:color="auto" w:fill="auto"/>
            <w:noWrap/>
            <w:vAlign w:val="center"/>
          </w:tcPr>
          <w:p w14:paraId="0410334E">
            <w:pPr>
              <w:widowControl/>
              <w:jc w:val="center"/>
              <w:rPr>
                <w:rFonts w:ascii="宋体" w:hAnsi="宋体" w:cs="宋体"/>
                <w:color w:val="000000"/>
                <w:kern w:val="0"/>
                <w:sz w:val="20"/>
              </w:rPr>
            </w:pPr>
            <w:r>
              <w:rPr>
                <w:rFonts w:hint="eastAsia" w:ascii="宋体" w:hAnsi="宋体" w:cs="宋体"/>
                <w:color w:val="000000"/>
                <w:kern w:val="0"/>
                <w:sz w:val="20"/>
              </w:rPr>
              <w:t>项</w:t>
            </w:r>
          </w:p>
        </w:tc>
        <w:tc>
          <w:tcPr>
            <w:tcW w:w="425" w:type="dxa"/>
            <w:tcBorders>
              <w:top w:val="nil"/>
              <w:left w:val="nil"/>
              <w:bottom w:val="single" w:color="auto" w:sz="4" w:space="0"/>
              <w:right w:val="single" w:color="auto" w:sz="4" w:space="0"/>
            </w:tcBorders>
            <w:shd w:val="clear" w:color="auto" w:fill="auto"/>
            <w:noWrap/>
            <w:vAlign w:val="center"/>
          </w:tcPr>
          <w:p w14:paraId="5A7B3E0A">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326AF951">
            <w:pPr>
              <w:widowControl/>
              <w:jc w:val="center"/>
              <w:rPr>
                <w:rFonts w:ascii="宋体" w:hAnsi="宋体" w:cs="宋体"/>
                <w:color w:val="000000"/>
                <w:kern w:val="0"/>
                <w:sz w:val="20"/>
              </w:rPr>
            </w:pPr>
            <w:r>
              <w:rPr>
                <w:rFonts w:hint="eastAsia" w:ascii="宋体" w:hAnsi="宋体" w:cs="宋体"/>
                <w:color w:val="000000"/>
                <w:kern w:val="0"/>
                <w:sz w:val="20"/>
              </w:rPr>
              <w:t>不含PLC和机器人的软件编程及现场程序调试　</w:t>
            </w:r>
          </w:p>
        </w:tc>
      </w:tr>
      <w:tr w14:paraId="2CD43C9E">
        <w:tblPrEx>
          <w:tblCellMar>
            <w:top w:w="0" w:type="dxa"/>
            <w:left w:w="108" w:type="dxa"/>
            <w:bottom w:w="0" w:type="dxa"/>
            <w:right w:w="108" w:type="dxa"/>
          </w:tblCellMar>
        </w:tblPrEx>
        <w:trPr>
          <w:trHeight w:val="586"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2D87D5D5">
            <w:pPr>
              <w:widowControl/>
              <w:jc w:val="center"/>
              <w:rPr>
                <w:rFonts w:ascii="宋体" w:hAnsi="宋体" w:cs="宋体"/>
                <w:kern w:val="0"/>
                <w:sz w:val="20"/>
              </w:rPr>
            </w:pPr>
            <w:r>
              <w:rPr>
                <w:rFonts w:ascii="宋体" w:hAnsi="宋体" w:cs="宋体"/>
                <w:kern w:val="0"/>
                <w:sz w:val="20"/>
              </w:rPr>
              <w:t>13</w:t>
            </w:r>
          </w:p>
        </w:tc>
        <w:tc>
          <w:tcPr>
            <w:tcW w:w="2650" w:type="dxa"/>
            <w:tcBorders>
              <w:top w:val="nil"/>
              <w:left w:val="nil"/>
              <w:bottom w:val="single" w:color="auto" w:sz="4" w:space="0"/>
              <w:right w:val="single" w:color="auto" w:sz="4" w:space="0"/>
            </w:tcBorders>
            <w:shd w:val="clear" w:color="auto" w:fill="auto"/>
            <w:vAlign w:val="center"/>
          </w:tcPr>
          <w:p w14:paraId="3A7BE394">
            <w:pPr>
              <w:widowControl/>
              <w:jc w:val="center"/>
              <w:rPr>
                <w:rFonts w:ascii="宋体" w:hAnsi="宋体" w:cs="宋体"/>
                <w:color w:val="000000"/>
                <w:kern w:val="0"/>
                <w:sz w:val="20"/>
              </w:rPr>
            </w:pPr>
            <w:r>
              <w:rPr>
                <w:rFonts w:hint="eastAsia" w:ascii="宋体" w:hAnsi="宋体" w:cs="宋体"/>
                <w:color w:val="000000"/>
                <w:kern w:val="0"/>
                <w:sz w:val="20"/>
              </w:rPr>
              <w:t>新增电控柜及配置电气元件</w:t>
            </w:r>
          </w:p>
        </w:tc>
        <w:tc>
          <w:tcPr>
            <w:tcW w:w="3969" w:type="dxa"/>
            <w:tcBorders>
              <w:top w:val="nil"/>
              <w:left w:val="nil"/>
              <w:bottom w:val="single" w:color="auto" w:sz="4" w:space="0"/>
              <w:right w:val="single" w:color="auto" w:sz="4" w:space="0"/>
            </w:tcBorders>
            <w:shd w:val="clear" w:color="auto" w:fill="auto"/>
            <w:vAlign w:val="center"/>
          </w:tcPr>
          <w:p w14:paraId="07F4AD6D">
            <w:pPr>
              <w:widowControl/>
              <w:rPr>
                <w:rFonts w:ascii="宋体" w:hAnsi="宋体" w:cs="宋体"/>
                <w:color w:val="000000"/>
                <w:kern w:val="0"/>
                <w:sz w:val="20"/>
              </w:rPr>
            </w:pPr>
            <w:r>
              <w:rPr>
                <w:rFonts w:hint="eastAsia" w:ascii="宋体" w:hAnsi="宋体" w:cs="宋体"/>
                <w:color w:val="000000"/>
                <w:kern w:val="0"/>
                <w:sz w:val="20"/>
              </w:rPr>
              <w:t>1.威图电控柜；2.西门子PLC及模块组；</w:t>
            </w:r>
            <w:r>
              <w:rPr>
                <w:rFonts w:hint="eastAsia" w:ascii="宋体" w:hAnsi="宋体" w:cs="宋体"/>
                <w:color w:val="000000"/>
                <w:kern w:val="0"/>
                <w:sz w:val="20"/>
              </w:rPr>
              <w:br w:type="textWrapping"/>
            </w:r>
            <w:r>
              <w:rPr>
                <w:rFonts w:hint="eastAsia" w:ascii="宋体" w:hAnsi="宋体" w:cs="宋体"/>
                <w:color w:val="000000"/>
                <w:kern w:val="0"/>
                <w:sz w:val="20"/>
              </w:rPr>
              <w:t>3.中间继电器、交流接触器，品牌施耐德或西门子；4、雷普端子排、卡迪夫线缆线束等。</w:t>
            </w:r>
          </w:p>
        </w:tc>
        <w:tc>
          <w:tcPr>
            <w:tcW w:w="709" w:type="dxa"/>
            <w:tcBorders>
              <w:top w:val="nil"/>
              <w:left w:val="nil"/>
              <w:bottom w:val="single" w:color="auto" w:sz="4" w:space="0"/>
              <w:right w:val="single" w:color="auto" w:sz="4" w:space="0"/>
            </w:tcBorders>
            <w:shd w:val="clear" w:color="auto" w:fill="auto"/>
            <w:noWrap/>
            <w:vAlign w:val="center"/>
          </w:tcPr>
          <w:p w14:paraId="4E8D457B">
            <w:pPr>
              <w:widowControl/>
              <w:jc w:val="center"/>
              <w:rPr>
                <w:rFonts w:ascii="宋体" w:hAnsi="宋体" w:cs="宋体"/>
                <w:color w:val="000000"/>
                <w:kern w:val="0"/>
                <w:sz w:val="20"/>
              </w:rPr>
            </w:pPr>
            <w:r>
              <w:rPr>
                <w:rFonts w:hint="eastAsia" w:ascii="宋体" w:hAnsi="宋体" w:cs="宋体"/>
                <w:color w:val="000000"/>
                <w:kern w:val="0"/>
                <w:sz w:val="20"/>
              </w:rPr>
              <w:t>套</w:t>
            </w:r>
          </w:p>
        </w:tc>
        <w:tc>
          <w:tcPr>
            <w:tcW w:w="425" w:type="dxa"/>
            <w:tcBorders>
              <w:top w:val="nil"/>
              <w:left w:val="nil"/>
              <w:bottom w:val="single" w:color="auto" w:sz="4" w:space="0"/>
              <w:right w:val="single" w:color="auto" w:sz="4" w:space="0"/>
            </w:tcBorders>
            <w:shd w:val="clear" w:color="auto" w:fill="auto"/>
            <w:noWrap/>
            <w:vAlign w:val="center"/>
          </w:tcPr>
          <w:p w14:paraId="0928CA47">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4B7270F6">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0B2D7A8B">
        <w:tblPrEx>
          <w:tblCellMar>
            <w:top w:w="0" w:type="dxa"/>
            <w:left w:w="108" w:type="dxa"/>
            <w:bottom w:w="0" w:type="dxa"/>
            <w:right w:w="108" w:type="dxa"/>
          </w:tblCellMar>
        </w:tblPrEx>
        <w:trPr>
          <w:trHeight w:val="329"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72C29333">
            <w:pPr>
              <w:widowControl/>
              <w:jc w:val="center"/>
              <w:rPr>
                <w:rFonts w:ascii="宋体" w:hAnsi="宋体" w:cs="宋体"/>
                <w:kern w:val="0"/>
                <w:sz w:val="20"/>
              </w:rPr>
            </w:pPr>
            <w:r>
              <w:rPr>
                <w:rFonts w:ascii="宋体" w:hAnsi="宋体" w:cs="宋体"/>
                <w:kern w:val="0"/>
                <w:sz w:val="20"/>
              </w:rPr>
              <w:t>14</w:t>
            </w:r>
          </w:p>
        </w:tc>
        <w:tc>
          <w:tcPr>
            <w:tcW w:w="2650" w:type="dxa"/>
            <w:tcBorders>
              <w:top w:val="nil"/>
              <w:left w:val="nil"/>
              <w:bottom w:val="single" w:color="auto" w:sz="4" w:space="0"/>
              <w:right w:val="single" w:color="auto" w:sz="4" w:space="0"/>
            </w:tcBorders>
            <w:shd w:val="clear" w:color="FFFFFF" w:fill="FFFFFF"/>
            <w:vAlign w:val="center"/>
          </w:tcPr>
          <w:p w14:paraId="6AA12E59">
            <w:pPr>
              <w:widowControl/>
              <w:jc w:val="center"/>
              <w:rPr>
                <w:rFonts w:ascii="宋体" w:hAnsi="宋体" w:cs="宋体"/>
                <w:kern w:val="0"/>
                <w:sz w:val="20"/>
              </w:rPr>
            </w:pPr>
            <w:r>
              <w:rPr>
                <w:rFonts w:hint="eastAsia" w:ascii="宋体" w:hAnsi="宋体" w:cs="宋体"/>
                <w:kern w:val="0"/>
                <w:sz w:val="20"/>
              </w:rPr>
              <w:t>传感器配置</w:t>
            </w:r>
          </w:p>
        </w:tc>
        <w:tc>
          <w:tcPr>
            <w:tcW w:w="3969" w:type="dxa"/>
            <w:tcBorders>
              <w:top w:val="nil"/>
              <w:left w:val="nil"/>
              <w:bottom w:val="single" w:color="auto" w:sz="4" w:space="0"/>
              <w:right w:val="single" w:color="auto" w:sz="4" w:space="0"/>
            </w:tcBorders>
            <w:shd w:val="clear" w:color="auto" w:fill="auto"/>
            <w:vAlign w:val="center"/>
          </w:tcPr>
          <w:p w14:paraId="3EA69F9C">
            <w:pPr>
              <w:widowControl/>
              <w:jc w:val="center"/>
              <w:rPr>
                <w:rFonts w:ascii="宋体" w:hAnsi="宋体" w:cs="宋体"/>
                <w:color w:val="000000"/>
                <w:kern w:val="0"/>
                <w:sz w:val="20"/>
              </w:rPr>
            </w:pPr>
            <w:r>
              <w:rPr>
                <w:rFonts w:hint="eastAsia" w:ascii="宋体" w:hAnsi="宋体" w:cs="宋体"/>
                <w:color w:val="000000"/>
                <w:kern w:val="0"/>
                <w:sz w:val="20"/>
              </w:rPr>
              <w:t>接近开关、光电开关，品牌：图尔克或P+F</w:t>
            </w:r>
          </w:p>
        </w:tc>
        <w:tc>
          <w:tcPr>
            <w:tcW w:w="709" w:type="dxa"/>
            <w:tcBorders>
              <w:top w:val="nil"/>
              <w:left w:val="nil"/>
              <w:bottom w:val="single" w:color="auto" w:sz="4" w:space="0"/>
              <w:right w:val="single" w:color="auto" w:sz="4" w:space="0"/>
            </w:tcBorders>
            <w:shd w:val="clear" w:color="auto" w:fill="auto"/>
            <w:noWrap/>
            <w:vAlign w:val="center"/>
          </w:tcPr>
          <w:p w14:paraId="133D8AB5">
            <w:pPr>
              <w:widowControl/>
              <w:jc w:val="center"/>
              <w:rPr>
                <w:rFonts w:ascii="宋体" w:hAnsi="宋体" w:cs="宋体"/>
                <w:color w:val="000000"/>
                <w:kern w:val="0"/>
                <w:sz w:val="20"/>
              </w:rPr>
            </w:pPr>
            <w:r>
              <w:rPr>
                <w:rFonts w:hint="eastAsia" w:ascii="宋体" w:hAnsi="宋体" w:cs="宋体"/>
                <w:color w:val="000000"/>
                <w:kern w:val="0"/>
                <w:sz w:val="20"/>
              </w:rPr>
              <w:t>套</w:t>
            </w:r>
          </w:p>
        </w:tc>
        <w:tc>
          <w:tcPr>
            <w:tcW w:w="425" w:type="dxa"/>
            <w:tcBorders>
              <w:top w:val="nil"/>
              <w:left w:val="nil"/>
              <w:bottom w:val="single" w:color="auto" w:sz="4" w:space="0"/>
              <w:right w:val="single" w:color="auto" w:sz="4" w:space="0"/>
            </w:tcBorders>
            <w:shd w:val="clear" w:color="auto" w:fill="auto"/>
            <w:noWrap/>
            <w:vAlign w:val="center"/>
          </w:tcPr>
          <w:p w14:paraId="2D808AED">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73CE2B07">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66DFDB53">
        <w:tblPrEx>
          <w:tblCellMar>
            <w:top w:w="0" w:type="dxa"/>
            <w:left w:w="108" w:type="dxa"/>
            <w:bottom w:w="0" w:type="dxa"/>
            <w:right w:w="108" w:type="dxa"/>
          </w:tblCellMar>
        </w:tblPrEx>
        <w:trPr>
          <w:trHeight w:val="480"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0AC9D4C5">
            <w:pPr>
              <w:widowControl/>
              <w:jc w:val="center"/>
              <w:rPr>
                <w:rFonts w:ascii="宋体" w:hAnsi="宋体" w:cs="宋体"/>
                <w:kern w:val="0"/>
                <w:sz w:val="20"/>
              </w:rPr>
            </w:pPr>
            <w:r>
              <w:rPr>
                <w:rFonts w:ascii="宋体" w:hAnsi="宋体" w:cs="宋体"/>
                <w:kern w:val="0"/>
                <w:sz w:val="20"/>
              </w:rPr>
              <w:t>15</w:t>
            </w:r>
          </w:p>
        </w:tc>
        <w:tc>
          <w:tcPr>
            <w:tcW w:w="2650" w:type="dxa"/>
            <w:tcBorders>
              <w:top w:val="nil"/>
              <w:left w:val="nil"/>
              <w:bottom w:val="single" w:color="auto" w:sz="4" w:space="0"/>
              <w:right w:val="single" w:color="auto" w:sz="4" w:space="0"/>
            </w:tcBorders>
            <w:shd w:val="clear" w:color="auto" w:fill="auto"/>
            <w:vAlign w:val="center"/>
          </w:tcPr>
          <w:p w14:paraId="5FAF8010">
            <w:pPr>
              <w:widowControl/>
              <w:jc w:val="center"/>
              <w:rPr>
                <w:rFonts w:ascii="宋体" w:hAnsi="宋体" w:cs="宋体"/>
                <w:color w:val="000000"/>
                <w:kern w:val="0"/>
                <w:sz w:val="20"/>
              </w:rPr>
            </w:pPr>
            <w:r>
              <w:rPr>
                <w:rFonts w:hint="eastAsia" w:ascii="宋体" w:hAnsi="宋体" w:cs="宋体"/>
                <w:color w:val="000000"/>
                <w:kern w:val="0"/>
                <w:sz w:val="20"/>
              </w:rPr>
              <w:t>电缆、桥架、线管等</w:t>
            </w:r>
          </w:p>
        </w:tc>
        <w:tc>
          <w:tcPr>
            <w:tcW w:w="3969" w:type="dxa"/>
            <w:tcBorders>
              <w:top w:val="nil"/>
              <w:left w:val="nil"/>
              <w:bottom w:val="single" w:color="auto" w:sz="4" w:space="0"/>
              <w:right w:val="single" w:color="auto" w:sz="4" w:space="0"/>
            </w:tcBorders>
            <w:shd w:val="clear" w:color="auto" w:fill="auto"/>
            <w:vAlign w:val="center"/>
          </w:tcPr>
          <w:p w14:paraId="56B57C39">
            <w:pPr>
              <w:widowControl/>
              <w:jc w:val="center"/>
              <w:rPr>
                <w:rFonts w:ascii="宋体" w:hAnsi="宋体" w:cs="宋体"/>
                <w:color w:val="000000"/>
                <w:kern w:val="0"/>
                <w:sz w:val="20"/>
              </w:rPr>
            </w:pPr>
            <w:r>
              <w:rPr>
                <w:rFonts w:hint="eastAsia" w:ascii="宋体" w:hAnsi="宋体" w:cs="宋体"/>
                <w:color w:val="000000"/>
                <w:kern w:val="0"/>
                <w:sz w:val="20"/>
              </w:rPr>
              <w:t>新增设备部件与原有设备之间的连接电缆及安装辅件</w:t>
            </w:r>
          </w:p>
        </w:tc>
        <w:tc>
          <w:tcPr>
            <w:tcW w:w="709" w:type="dxa"/>
            <w:tcBorders>
              <w:top w:val="nil"/>
              <w:left w:val="nil"/>
              <w:bottom w:val="single" w:color="auto" w:sz="4" w:space="0"/>
              <w:right w:val="single" w:color="auto" w:sz="4" w:space="0"/>
            </w:tcBorders>
            <w:shd w:val="clear" w:color="auto" w:fill="auto"/>
            <w:noWrap/>
            <w:vAlign w:val="center"/>
          </w:tcPr>
          <w:p w14:paraId="654CF5E1">
            <w:pPr>
              <w:widowControl/>
              <w:jc w:val="center"/>
              <w:rPr>
                <w:rFonts w:ascii="宋体" w:hAnsi="宋体" w:cs="宋体"/>
                <w:color w:val="000000"/>
                <w:kern w:val="0"/>
                <w:sz w:val="20"/>
              </w:rPr>
            </w:pPr>
            <w:r>
              <w:rPr>
                <w:rFonts w:hint="eastAsia" w:ascii="宋体" w:hAnsi="宋体" w:cs="宋体"/>
                <w:color w:val="000000"/>
                <w:kern w:val="0"/>
                <w:sz w:val="20"/>
              </w:rPr>
              <w:t>套</w:t>
            </w:r>
          </w:p>
        </w:tc>
        <w:tc>
          <w:tcPr>
            <w:tcW w:w="425" w:type="dxa"/>
            <w:tcBorders>
              <w:top w:val="nil"/>
              <w:left w:val="nil"/>
              <w:bottom w:val="single" w:color="auto" w:sz="4" w:space="0"/>
              <w:right w:val="single" w:color="auto" w:sz="4" w:space="0"/>
            </w:tcBorders>
            <w:shd w:val="clear" w:color="auto" w:fill="auto"/>
            <w:noWrap/>
            <w:vAlign w:val="center"/>
          </w:tcPr>
          <w:p w14:paraId="57EDFC36">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38323AC9">
            <w:pPr>
              <w:widowControl/>
              <w:jc w:val="center"/>
              <w:rPr>
                <w:rFonts w:ascii="宋体" w:hAnsi="宋体" w:cs="宋体"/>
                <w:color w:val="000000"/>
                <w:kern w:val="0"/>
                <w:sz w:val="20"/>
              </w:rPr>
            </w:pPr>
            <w:r>
              <w:rPr>
                <w:rFonts w:hint="eastAsia" w:ascii="宋体" w:hAnsi="宋体" w:cs="宋体"/>
                <w:color w:val="000000"/>
                <w:kern w:val="0"/>
                <w:sz w:val="20"/>
              </w:rPr>
              <w:t>　</w:t>
            </w:r>
          </w:p>
        </w:tc>
      </w:tr>
      <w:tr w14:paraId="502ADE4E">
        <w:tblPrEx>
          <w:tblCellMar>
            <w:top w:w="0" w:type="dxa"/>
            <w:left w:w="108" w:type="dxa"/>
            <w:bottom w:w="0" w:type="dxa"/>
            <w:right w:w="108" w:type="dxa"/>
          </w:tblCellMar>
        </w:tblPrEx>
        <w:trPr>
          <w:trHeight w:val="480"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6011922A">
            <w:pPr>
              <w:widowControl/>
              <w:jc w:val="center"/>
              <w:rPr>
                <w:rFonts w:ascii="宋体" w:hAnsi="宋体" w:cs="宋体"/>
                <w:kern w:val="0"/>
                <w:sz w:val="20"/>
              </w:rPr>
            </w:pPr>
            <w:r>
              <w:rPr>
                <w:rFonts w:ascii="宋体" w:hAnsi="宋体" w:cs="宋体"/>
                <w:kern w:val="0"/>
                <w:sz w:val="20"/>
              </w:rPr>
              <w:t>16</w:t>
            </w:r>
          </w:p>
        </w:tc>
        <w:tc>
          <w:tcPr>
            <w:tcW w:w="2650" w:type="dxa"/>
            <w:tcBorders>
              <w:top w:val="nil"/>
              <w:left w:val="nil"/>
              <w:bottom w:val="single" w:color="auto" w:sz="4" w:space="0"/>
              <w:right w:val="single" w:color="auto" w:sz="4" w:space="0"/>
            </w:tcBorders>
            <w:shd w:val="clear" w:color="auto" w:fill="auto"/>
            <w:vAlign w:val="center"/>
          </w:tcPr>
          <w:p w14:paraId="62F2FC85">
            <w:pPr>
              <w:widowControl/>
              <w:jc w:val="center"/>
              <w:rPr>
                <w:rFonts w:ascii="宋体" w:hAnsi="宋体" w:cs="宋体"/>
                <w:color w:val="000000"/>
                <w:kern w:val="0"/>
                <w:sz w:val="20"/>
              </w:rPr>
            </w:pPr>
            <w:r>
              <w:rPr>
                <w:rFonts w:hint="eastAsia" w:ascii="宋体" w:hAnsi="宋体" w:cs="宋体"/>
                <w:color w:val="000000"/>
                <w:kern w:val="0"/>
                <w:sz w:val="20"/>
              </w:rPr>
              <w:t>设备基础</w:t>
            </w:r>
          </w:p>
        </w:tc>
        <w:tc>
          <w:tcPr>
            <w:tcW w:w="3969" w:type="dxa"/>
            <w:tcBorders>
              <w:top w:val="nil"/>
              <w:left w:val="nil"/>
              <w:bottom w:val="single" w:color="auto" w:sz="4" w:space="0"/>
              <w:right w:val="single" w:color="auto" w:sz="4" w:space="0"/>
            </w:tcBorders>
            <w:shd w:val="clear" w:color="auto" w:fill="auto"/>
            <w:vAlign w:val="center"/>
          </w:tcPr>
          <w:p w14:paraId="416283A8">
            <w:pPr>
              <w:widowControl/>
              <w:jc w:val="center"/>
              <w:rPr>
                <w:rFonts w:ascii="宋体" w:hAnsi="宋体" w:cs="宋体"/>
                <w:color w:val="000000"/>
                <w:kern w:val="0"/>
                <w:sz w:val="20"/>
              </w:rPr>
            </w:pPr>
            <w:r>
              <w:rPr>
                <w:rFonts w:hint="eastAsia" w:ascii="宋体" w:hAnsi="宋体" w:cs="宋体"/>
                <w:color w:val="000000"/>
                <w:kern w:val="0"/>
                <w:sz w:val="20"/>
              </w:rPr>
              <w:t>1、表干炉升降台防水地坑；2、线槽、液压管路地槽等；3、表干炉后升降台移位安装及原升降台地坑盖板</w:t>
            </w:r>
          </w:p>
        </w:tc>
        <w:tc>
          <w:tcPr>
            <w:tcW w:w="709" w:type="dxa"/>
            <w:tcBorders>
              <w:top w:val="nil"/>
              <w:left w:val="nil"/>
              <w:bottom w:val="single" w:color="auto" w:sz="4" w:space="0"/>
              <w:right w:val="single" w:color="auto" w:sz="4" w:space="0"/>
            </w:tcBorders>
            <w:shd w:val="clear" w:color="auto" w:fill="auto"/>
            <w:noWrap/>
            <w:vAlign w:val="center"/>
          </w:tcPr>
          <w:p w14:paraId="7B00D46E">
            <w:pPr>
              <w:widowControl/>
              <w:jc w:val="center"/>
              <w:rPr>
                <w:rFonts w:ascii="宋体" w:hAnsi="宋体" w:cs="宋体"/>
                <w:color w:val="000000"/>
                <w:kern w:val="0"/>
                <w:sz w:val="20"/>
              </w:rPr>
            </w:pPr>
            <w:r>
              <w:rPr>
                <w:rFonts w:hint="eastAsia" w:ascii="宋体" w:hAnsi="宋体" w:cs="宋体"/>
                <w:color w:val="000000"/>
                <w:kern w:val="0"/>
                <w:sz w:val="20"/>
              </w:rPr>
              <w:t>套</w:t>
            </w:r>
          </w:p>
        </w:tc>
        <w:tc>
          <w:tcPr>
            <w:tcW w:w="425" w:type="dxa"/>
            <w:tcBorders>
              <w:top w:val="nil"/>
              <w:left w:val="nil"/>
              <w:bottom w:val="single" w:color="auto" w:sz="4" w:space="0"/>
              <w:right w:val="single" w:color="auto" w:sz="4" w:space="0"/>
            </w:tcBorders>
            <w:shd w:val="clear" w:color="auto" w:fill="auto"/>
            <w:noWrap/>
            <w:vAlign w:val="center"/>
          </w:tcPr>
          <w:p w14:paraId="2688E33B">
            <w:pPr>
              <w:widowControl/>
              <w:jc w:val="center"/>
              <w:rPr>
                <w:rFonts w:ascii="宋体" w:hAnsi="宋体" w:cs="宋体"/>
                <w:color w:val="000000"/>
                <w:kern w:val="0"/>
                <w:sz w:val="20"/>
              </w:rPr>
            </w:pPr>
            <w:r>
              <w:rPr>
                <w:rFonts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478DAE05">
            <w:pPr>
              <w:widowControl/>
              <w:rPr>
                <w:rFonts w:ascii="宋体" w:hAnsi="宋体" w:cs="宋体"/>
                <w:color w:val="000000"/>
                <w:kern w:val="0"/>
                <w:sz w:val="20"/>
              </w:rPr>
            </w:pPr>
            <w:r>
              <w:rPr>
                <w:rFonts w:hint="eastAsia" w:ascii="宋体" w:hAnsi="宋体" w:cs="宋体"/>
                <w:color w:val="000000"/>
                <w:kern w:val="0"/>
                <w:sz w:val="20"/>
              </w:rPr>
              <w:t>　</w:t>
            </w:r>
          </w:p>
        </w:tc>
      </w:tr>
      <w:tr w14:paraId="45CD1941">
        <w:tblPrEx>
          <w:tblCellMar>
            <w:top w:w="0" w:type="dxa"/>
            <w:left w:w="108" w:type="dxa"/>
            <w:bottom w:w="0" w:type="dxa"/>
            <w:right w:w="108" w:type="dxa"/>
          </w:tblCellMar>
        </w:tblPrEx>
        <w:trPr>
          <w:trHeight w:val="373"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496F7D16">
            <w:pPr>
              <w:widowControl/>
              <w:jc w:val="center"/>
              <w:rPr>
                <w:rFonts w:ascii="宋体" w:hAnsi="宋体" w:cs="宋体"/>
                <w:kern w:val="0"/>
                <w:sz w:val="20"/>
              </w:rPr>
            </w:pPr>
            <w:r>
              <w:rPr>
                <w:rFonts w:ascii="宋体" w:hAnsi="宋体" w:cs="宋体"/>
                <w:kern w:val="0"/>
                <w:sz w:val="20"/>
              </w:rPr>
              <w:t>17</w:t>
            </w:r>
          </w:p>
        </w:tc>
        <w:tc>
          <w:tcPr>
            <w:tcW w:w="2650" w:type="dxa"/>
            <w:tcBorders>
              <w:top w:val="nil"/>
              <w:left w:val="nil"/>
              <w:bottom w:val="single" w:color="auto" w:sz="4" w:space="0"/>
              <w:right w:val="single" w:color="auto" w:sz="4" w:space="0"/>
            </w:tcBorders>
            <w:shd w:val="clear" w:color="auto" w:fill="auto"/>
            <w:vAlign w:val="center"/>
          </w:tcPr>
          <w:p w14:paraId="6E0743C0">
            <w:pPr>
              <w:widowControl/>
              <w:jc w:val="center"/>
              <w:rPr>
                <w:rFonts w:ascii="宋体" w:hAnsi="宋体" w:cs="宋体"/>
                <w:color w:val="000000"/>
                <w:kern w:val="0"/>
                <w:sz w:val="20"/>
              </w:rPr>
            </w:pPr>
            <w:r>
              <w:rPr>
                <w:rFonts w:hint="eastAsia" w:ascii="宋体" w:hAnsi="宋体" w:cs="宋体"/>
                <w:color w:val="000000"/>
                <w:kern w:val="0"/>
                <w:sz w:val="20"/>
              </w:rPr>
              <w:t>供电电缆及敷设</w:t>
            </w:r>
          </w:p>
        </w:tc>
        <w:tc>
          <w:tcPr>
            <w:tcW w:w="3969" w:type="dxa"/>
            <w:tcBorders>
              <w:top w:val="nil"/>
              <w:left w:val="nil"/>
              <w:bottom w:val="single" w:color="auto" w:sz="4" w:space="0"/>
              <w:right w:val="single" w:color="auto" w:sz="4" w:space="0"/>
            </w:tcBorders>
            <w:shd w:val="clear" w:color="auto" w:fill="auto"/>
            <w:vAlign w:val="center"/>
          </w:tcPr>
          <w:p w14:paraId="2A1C6453">
            <w:pPr>
              <w:widowControl/>
              <w:jc w:val="center"/>
              <w:rPr>
                <w:rFonts w:ascii="宋体" w:hAnsi="宋体" w:cs="宋体"/>
                <w:color w:val="000000"/>
                <w:kern w:val="0"/>
                <w:sz w:val="20"/>
              </w:rPr>
            </w:pPr>
            <w:r>
              <w:rPr>
                <w:rFonts w:hint="eastAsia" w:ascii="宋体" w:hAnsi="宋体" w:cs="宋体"/>
                <w:color w:val="000000"/>
                <w:kern w:val="0"/>
                <w:sz w:val="20"/>
              </w:rPr>
              <w:t>表干炉电柜到新增设备电控柜之间的供电电缆及敷设</w:t>
            </w:r>
          </w:p>
        </w:tc>
        <w:tc>
          <w:tcPr>
            <w:tcW w:w="709" w:type="dxa"/>
            <w:tcBorders>
              <w:top w:val="nil"/>
              <w:left w:val="nil"/>
              <w:bottom w:val="single" w:color="auto" w:sz="4" w:space="0"/>
              <w:right w:val="single" w:color="auto" w:sz="4" w:space="0"/>
            </w:tcBorders>
            <w:shd w:val="clear" w:color="auto" w:fill="auto"/>
            <w:noWrap/>
            <w:vAlign w:val="center"/>
          </w:tcPr>
          <w:p w14:paraId="0E82F618">
            <w:pPr>
              <w:widowControl/>
              <w:jc w:val="center"/>
              <w:rPr>
                <w:rFonts w:ascii="宋体" w:hAnsi="宋体" w:cs="宋体"/>
                <w:color w:val="000000"/>
                <w:kern w:val="0"/>
                <w:sz w:val="20"/>
              </w:rPr>
            </w:pPr>
            <w:r>
              <w:rPr>
                <w:rFonts w:hint="eastAsia" w:ascii="宋体" w:hAnsi="宋体" w:cs="宋体"/>
                <w:color w:val="000000"/>
                <w:kern w:val="0"/>
                <w:sz w:val="20"/>
              </w:rPr>
              <w:t>套</w:t>
            </w:r>
          </w:p>
        </w:tc>
        <w:tc>
          <w:tcPr>
            <w:tcW w:w="425" w:type="dxa"/>
            <w:tcBorders>
              <w:top w:val="nil"/>
              <w:left w:val="nil"/>
              <w:bottom w:val="single" w:color="auto" w:sz="4" w:space="0"/>
              <w:right w:val="single" w:color="auto" w:sz="4" w:space="0"/>
            </w:tcBorders>
            <w:shd w:val="clear" w:color="auto" w:fill="auto"/>
            <w:noWrap/>
            <w:vAlign w:val="center"/>
          </w:tcPr>
          <w:p w14:paraId="0DBBB0C9">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5CB6BE2A">
            <w:pPr>
              <w:widowControl/>
              <w:rPr>
                <w:rFonts w:ascii="宋体" w:hAnsi="宋体" w:cs="宋体"/>
                <w:color w:val="000000"/>
                <w:kern w:val="0"/>
                <w:sz w:val="20"/>
              </w:rPr>
            </w:pPr>
            <w:r>
              <w:rPr>
                <w:rFonts w:hint="eastAsia" w:ascii="宋体" w:hAnsi="宋体" w:cs="宋体"/>
                <w:color w:val="000000"/>
                <w:kern w:val="0"/>
                <w:sz w:val="20"/>
              </w:rPr>
              <w:t>　</w:t>
            </w:r>
          </w:p>
        </w:tc>
      </w:tr>
      <w:tr w14:paraId="24DF0499">
        <w:tblPrEx>
          <w:tblCellMar>
            <w:top w:w="0" w:type="dxa"/>
            <w:left w:w="108" w:type="dxa"/>
            <w:bottom w:w="0" w:type="dxa"/>
            <w:right w:w="108" w:type="dxa"/>
          </w:tblCellMar>
        </w:tblPrEx>
        <w:trPr>
          <w:trHeight w:val="284"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2E6FA1B8">
            <w:pPr>
              <w:widowControl/>
              <w:jc w:val="center"/>
              <w:rPr>
                <w:rFonts w:ascii="宋体" w:hAnsi="宋体" w:cs="宋体"/>
                <w:b/>
                <w:bCs/>
                <w:kern w:val="0"/>
                <w:sz w:val="20"/>
              </w:rPr>
            </w:pPr>
            <w:r>
              <w:rPr>
                <w:rFonts w:ascii="宋体" w:hAnsi="宋体" w:cs="宋体"/>
                <w:b/>
                <w:bCs/>
                <w:kern w:val="0"/>
                <w:sz w:val="20"/>
              </w:rPr>
              <w:t>18</w:t>
            </w:r>
          </w:p>
        </w:tc>
        <w:tc>
          <w:tcPr>
            <w:tcW w:w="2650" w:type="dxa"/>
            <w:tcBorders>
              <w:top w:val="nil"/>
              <w:left w:val="nil"/>
              <w:bottom w:val="single" w:color="auto" w:sz="4" w:space="0"/>
              <w:right w:val="single" w:color="auto" w:sz="4" w:space="0"/>
            </w:tcBorders>
            <w:shd w:val="clear" w:color="auto" w:fill="auto"/>
            <w:vAlign w:val="center"/>
          </w:tcPr>
          <w:p w14:paraId="09755B4D">
            <w:pPr>
              <w:widowControl/>
              <w:jc w:val="center"/>
              <w:rPr>
                <w:rFonts w:ascii="宋体" w:hAnsi="宋体" w:cs="宋体"/>
                <w:color w:val="000000"/>
                <w:kern w:val="0"/>
                <w:sz w:val="20"/>
              </w:rPr>
            </w:pPr>
            <w:r>
              <w:rPr>
                <w:rFonts w:hint="eastAsia" w:ascii="宋体" w:hAnsi="宋体" w:cs="宋体"/>
                <w:color w:val="000000"/>
                <w:kern w:val="0"/>
                <w:sz w:val="20"/>
              </w:rPr>
              <w:t>包装运输</w:t>
            </w:r>
          </w:p>
        </w:tc>
        <w:tc>
          <w:tcPr>
            <w:tcW w:w="3969" w:type="dxa"/>
            <w:tcBorders>
              <w:top w:val="nil"/>
              <w:left w:val="nil"/>
              <w:bottom w:val="single" w:color="auto" w:sz="4" w:space="0"/>
              <w:right w:val="single" w:color="auto" w:sz="4" w:space="0"/>
            </w:tcBorders>
            <w:shd w:val="clear" w:color="auto" w:fill="auto"/>
            <w:vAlign w:val="center"/>
          </w:tcPr>
          <w:p w14:paraId="10DA4596">
            <w:pPr>
              <w:widowControl/>
              <w:jc w:val="center"/>
              <w:rPr>
                <w:rFonts w:ascii="宋体" w:hAnsi="宋体" w:cs="宋体"/>
                <w:color w:val="000000"/>
                <w:kern w:val="0"/>
                <w:sz w:val="20"/>
              </w:rPr>
            </w:pPr>
            <w:r>
              <w:rPr>
                <w:rFonts w:hint="eastAsia" w:ascii="宋体" w:hAnsi="宋体" w:cs="宋体"/>
                <w:color w:val="000000"/>
                <w:kern w:val="0"/>
                <w:sz w:val="20"/>
              </w:rPr>
              <w:t>设备包装并发送到萧山的运费</w:t>
            </w:r>
          </w:p>
        </w:tc>
        <w:tc>
          <w:tcPr>
            <w:tcW w:w="709" w:type="dxa"/>
            <w:tcBorders>
              <w:top w:val="nil"/>
              <w:left w:val="nil"/>
              <w:bottom w:val="single" w:color="auto" w:sz="4" w:space="0"/>
              <w:right w:val="single" w:color="auto" w:sz="4" w:space="0"/>
            </w:tcBorders>
            <w:shd w:val="clear" w:color="auto" w:fill="auto"/>
            <w:noWrap/>
            <w:vAlign w:val="center"/>
          </w:tcPr>
          <w:p w14:paraId="1F17FE98">
            <w:pPr>
              <w:widowControl/>
              <w:jc w:val="center"/>
              <w:rPr>
                <w:rFonts w:ascii="宋体" w:hAnsi="宋体" w:cs="宋体"/>
                <w:color w:val="000000"/>
                <w:kern w:val="0"/>
                <w:sz w:val="20"/>
              </w:rPr>
            </w:pPr>
            <w:r>
              <w:rPr>
                <w:rFonts w:hint="eastAsia" w:ascii="宋体" w:hAnsi="宋体" w:cs="宋体"/>
                <w:color w:val="000000"/>
                <w:kern w:val="0"/>
                <w:sz w:val="20"/>
              </w:rPr>
              <w:t>项</w:t>
            </w:r>
          </w:p>
        </w:tc>
        <w:tc>
          <w:tcPr>
            <w:tcW w:w="425" w:type="dxa"/>
            <w:tcBorders>
              <w:top w:val="nil"/>
              <w:left w:val="nil"/>
              <w:bottom w:val="single" w:color="auto" w:sz="4" w:space="0"/>
              <w:right w:val="single" w:color="auto" w:sz="4" w:space="0"/>
            </w:tcBorders>
            <w:shd w:val="clear" w:color="auto" w:fill="auto"/>
            <w:noWrap/>
            <w:vAlign w:val="center"/>
          </w:tcPr>
          <w:p w14:paraId="3FCD2DCB">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005AC002">
            <w:pPr>
              <w:widowControl/>
              <w:rPr>
                <w:rFonts w:ascii="宋体" w:hAnsi="宋体" w:cs="宋体"/>
                <w:color w:val="000000"/>
                <w:kern w:val="0"/>
                <w:sz w:val="20"/>
              </w:rPr>
            </w:pPr>
          </w:p>
        </w:tc>
      </w:tr>
      <w:tr w14:paraId="3D5936D4">
        <w:tblPrEx>
          <w:tblCellMar>
            <w:top w:w="0" w:type="dxa"/>
            <w:left w:w="108" w:type="dxa"/>
            <w:bottom w:w="0" w:type="dxa"/>
            <w:right w:w="108" w:type="dxa"/>
          </w:tblCellMar>
        </w:tblPrEx>
        <w:trPr>
          <w:trHeight w:val="499"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2075692D">
            <w:pPr>
              <w:widowControl/>
              <w:jc w:val="center"/>
              <w:rPr>
                <w:rFonts w:ascii="宋体" w:hAnsi="宋体" w:cs="宋体"/>
                <w:b/>
                <w:bCs/>
                <w:kern w:val="0"/>
                <w:sz w:val="20"/>
              </w:rPr>
            </w:pPr>
            <w:r>
              <w:rPr>
                <w:rFonts w:ascii="宋体" w:hAnsi="宋体" w:cs="宋体"/>
                <w:b/>
                <w:bCs/>
                <w:kern w:val="0"/>
                <w:sz w:val="20"/>
              </w:rPr>
              <w:t>19</w:t>
            </w:r>
          </w:p>
        </w:tc>
        <w:tc>
          <w:tcPr>
            <w:tcW w:w="2650" w:type="dxa"/>
            <w:tcBorders>
              <w:top w:val="nil"/>
              <w:left w:val="nil"/>
              <w:bottom w:val="single" w:color="auto" w:sz="4" w:space="0"/>
              <w:right w:val="single" w:color="auto" w:sz="4" w:space="0"/>
            </w:tcBorders>
            <w:shd w:val="clear" w:color="auto" w:fill="auto"/>
            <w:vAlign w:val="center"/>
          </w:tcPr>
          <w:p w14:paraId="02C20765">
            <w:pPr>
              <w:widowControl/>
              <w:jc w:val="center"/>
              <w:rPr>
                <w:rFonts w:ascii="宋体" w:hAnsi="宋体" w:cs="宋体"/>
                <w:color w:val="000000"/>
                <w:kern w:val="0"/>
                <w:sz w:val="20"/>
              </w:rPr>
            </w:pPr>
            <w:r>
              <w:rPr>
                <w:rFonts w:hint="eastAsia" w:ascii="宋体" w:hAnsi="宋体" w:cs="宋体"/>
                <w:color w:val="000000"/>
                <w:kern w:val="0"/>
                <w:sz w:val="20"/>
              </w:rPr>
              <w:t>安装调试</w:t>
            </w:r>
          </w:p>
        </w:tc>
        <w:tc>
          <w:tcPr>
            <w:tcW w:w="3969" w:type="dxa"/>
            <w:tcBorders>
              <w:top w:val="nil"/>
              <w:left w:val="nil"/>
              <w:bottom w:val="single" w:color="auto" w:sz="4" w:space="0"/>
              <w:right w:val="single" w:color="auto" w:sz="4" w:space="0"/>
            </w:tcBorders>
            <w:shd w:val="clear" w:color="auto" w:fill="auto"/>
            <w:vAlign w:val="center"/>
          </w:tcPr>
          <w:p w14:paraId="7AF13CBD">
            <w:pPr>
              <w:widowControl/>
              <w:jc w:val="center"/>
              <w:rPr>
                <w:rFonts w:ascii="宋体" w:hAnsi="宋体" w:cs="宋体"/>
                <w:color w:val="000000"/>
                <w:kern w:val="0"/>
                <w:sz w:val="20"/>
              </w:rPr>
            </w:pPr>
            <w:r>
              <w:rPr>
                <w:rFonts w:hint="eastAsia" w:ascii="宋体" w:hAnsi="宋体" w:cs="宋体"/>
                <w:color w:val="000000"/>
                <w:kern w:val="0"/>
                <w:sz w:val="20"/>
              </w:rPr>
              <w:t>包括：新增设备安装调试、试生产、培训及终验收后短期陪产等。</w:t>
            </w:r>
          </w:p>
        </w:tc>
        <w:tc>
          <w:tcPr>
            <w:tcW w:w="709" w:type="dxa"/>
            <w:tcBorders>
              <w:top w:val="nil"/>
              <w:left w:val="nil"/>
              <w:bottom w:val="single" w:color="auto" w:sz="4" w:space="0"/>
              <w:right w:val="single" w:color="auto" w:sz="4" w:space="0"/>
            </w:tcBorders>
            <w:shd w:val="clear" w:color="auto" w:fill="auto"/>
            <w:noWrap/>
            <w:vAlign w:val="center"/>
          </w:tcPr>
          <w:p w14:paraId="634001F7">
            <w:pPr>
              <w:widowControl/>
              <w:jc w:val="center"/>
              <w:rPr>
                <w:rFonts w:ascii="宋体" w:hAnsi="宋体" w:cs="宋体"/>
                <w:color w:val="000000"/>
                <w:kern w:val="0"/>
                <w:sz w:val="20"/>
              </w:rPr>
            </w:pPr>
            <w:r>
              <w:rPr>
                <w:rFonts w:hint="eastAsia" w:ascii="宋体" w:hAnsi="宋体" w:cs="宋体"/>
                <w:color w:val="000000"/>
                <w:kern w:val="0"/>
                <w:sz w:val="20"/>
              </w:rPr>
              <w:t>项</w:t>
            </w:r>
          </w:p>
        </w:tc>
        <w:tc>
          <w:tcPr>
            <w:tcW w:w="425" w:type="dxa"/>
            <w:tcBorders>
              <w:top w:val="nil"/>
              <w:left w:val="nil"/>
              <w:bottom w:val="single" w:color="auto" w:sz="4" w:space="0"/>
              <w:right w:val="single" w:color="auto" w:sz="4" w:space="0"/>
            </w:tcBorders>
            <w:shd w:val="clear" w:color="auto" w:fill="auto"/>
            <w:noWrap/>
            <w:vAlign w:val="center"/>
          </w:tcPr>
          <w:p w14:paraId="01F7CEC3">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0E8CDB91">
            <w:pPr>
              <w:widowControl/>
              <w:rPr>
                <w:rFonts w:ascii="宋体" w:hAnsi="宋体" w:cs="宋体"/>
                <w:color w:val="000000"/>
                <w:kern w:val="0"/>
                <w:sz w:val="20"/>
              </w:rPr>
            </w:pPr>
            <w:r>
              <w:rPr>
                <w:rFonts w:hint="eastAsia" w:ascii="宋体" w:hAnsi="宋体" w:cs="宋体"/>
                <w:color w:val="000000"/>
                <w:kern w:val="0"/>
                <w:sz w:val="20"/>
              </w:rPr>
              <w:t>不含PLC和机器人的软件编程及现场程序调试。</w:t>
            </w:r>
          </w:p>
        </w:tc>
      </w:tr>
      <w:tr w14:paraId="700652D4">
        <w:tblPrEx>
          <w:tblCellMar>
            <w:top w:w="0" w:type="dxa"/>
            <w:left w:w="108" w:type="dxa"/>
            <w:bottom w:w="0" w:type="dxa"/>
            <w:right w:w="108" w:type="dxa"/>
          </w:tblCellMar>
        </w:tblPrEx>
        <w:trPr>
          <w:trHeight w:val="311"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463DE2E1">
            <w:pPr>
              <w:widowControl/>
              <w:jc w:val="center"/>
              <w:rPr>
                <w:rFonts w:ascii="宋体" w:hAnsi="宋体" w:cs="宋体"/>
                <w:b/>
                <w:bCs/>
                <w:kern w:val="0"/>
                <w:sz w:val="20"/>
              </w:rPr>
            </w:pPr>
            <w:r>
              <w:rPr>
                <w:rFonts w:ascii="宋体" w:hAnsi="宋体" w:cs="宋体"/>
                <w:b/>
                <w:bCs/>
                <w:kern w:val="0"/>
                <w:sz w:val="20"/>
              </w:rPr>
              <w:t>20</w:t>
            </w:r>
          </w:p>
        </w:tc>
        <w:tc>
          <w:tcPr>
            <w:tcW w:w="2650" w:type="dxa"/>
            <w:tcBorders>
              <w:top w:val="nil"/>
              <w:left w:val="nil"/>
              <w:bottom w:val="single" w:color="auto" w:sz="4" w:space="0"/>
              <w:right w:val="single" w:color="auto" w:sz="4" w:space="0"/>
            </w:tcBorders>
            <w:shd w:val="clear" w:color="auto" w:fill="auto"/>
            <w:vAlign w:val="center"/>
          </w:tcPr>
          <w:p w14:paraId="0817C00D">
            <w:pPr>
              <w:widowControl/>
              <w:jc w:val="center"/>
              <w:rPr>
                <w:rFonts w:ascii="宋体" w:hAnsi="宋体" w:cs="宋体"/>
                <w:color w:val="000000"/>
                <w:kern w:val="0"/>
                <w:sz w:val="20"/>
              </w:rPr>
            </w:pPr>
            <w:r>
              <w:rPr>
                <w:rFonts w:ascii="宋体" w:hAnsi="宋体" w:cs="宋体"/>
                <w:color w:val="000000"/>
                <w:kern w:val="0"/>
                <w:sz w:val="20"/>
              </w:rPr>
              <w:t>随机备件</w:t>
            </w:r>
          </w:p>
        </w:tc>
        <w:tc>
          <w:tcPr>
            <w:tcW w:w="3969" w:type="dxa"/>
            <w:tcBorders>
              <w:top w:val="nil"/>
              <w:left w:val="nil"/>
              <w:bottom w:val="single" w:color="auto" w:sz="4" w:space="0"/>
              <w:right w:val="single" w:color="auto" w:sz="4" w:space="0"/>
            </w:tcBorders>
            <w:shd w:val="clear" w:color="auto" w:fill="auto"/>
            <w:vAlign w:val="center"/>
          </w:tcPr>
          <w:p w14:paraId="55559D33">
            <w:pPr>
              <w:widowControl/>
              <w:jc w:val="center"/>
              <w:rPr>
                <w:rFonts w:ascii="宋体" w:hAnsi="宋体" w:cs="宋体"/>
                <w:color w:val="FF0000"/>
                <w:kern w:val="0"/>
                <w:sz w:val="20"/>
              </w:rPr>
            </w:pPr>
          </w:p>
        </w:tc>
        <w:tc>
          <w:tcPr>
            <w:tcW w:w="709" w:type="dxa"/>
            <w:tcBorders>
              <w:top w:val="nil"/>
              <w:left w:val="nil"/>
              <w:bottom w:val="single" w:color="auto" w:sz="4" w:space="0"/>
              <w:right w:val="single" w:color="auto" w:sz="4" w:space="0"/>
            </w:tcBorders>
            <w:shd w:val="clear" w:color="auto" w:fill="auto"/>
            <w:noWrap/>
            <w:vAlign w:val="center"/>
          </w:tcPr>
          <w:p w14:paraId="69A43B65">
            <w:pPr>
              <w:widowControl/>
              <w:jc w:val="center"/>
              <w:rPr>
                <w:rFonts w:ascii="宋体" w:hAnsi="宋体" w:cs="宋体"/>
                <w:color w:val="000000"/>
                <w:kern w:val="0"/>
                <w:sz w:val="20"/>
              </w:rPr>
            </w:pPr>
            <w:r>
              <w:rPr>
                <w:rFonts w:hint="eastAsia" w:ascii="宋体" w:hAnsi="宋体" w:cs="宋体"/>
                <w:color w:val="000000"/>
                <w:kern w:val="0"/>
                <w:sz w:val="20"/>
              </w:rPr>
              <w:t>套</w:t>
            </w:r>
          </w:p>
        </w:tc>
        <w:tc>
          <w:tcPr>
            <w:tcW w:w="425" w:type="dxa"/>
            <w:tcBorders>
              <w:top w:val="nil"/>
              <w:left w:val="nil"/>
              <w:bottom w:val="single" w:color="auto" w:sz="4" w:space="0"/>
              <w:right w:val="single" w:color="auto" w:sz="4" w:space="0"/>
            </w:tcBorders>
            <w:shd w:val="clear" w:color="auto" w:fill="auto"/>
            <w:noWrap/>
            <w:vAlign w:val="center"/>
          </w:tcPr>
          <w:p w14:paraId="5F6AEC2D">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631" w:type="dxa"/>
            <w:tcBorders>
              <w:top w:val="nil"/>
              <w:left w:val="nil"/>
              <w:bottom w:val="single" w:color="auto" w:sz="4" w:space="0"/>
              <w:right w:val="single" w:color="auto" w:sz="4" w:space="0"/>
            </w:tcBorders>
            <w:shd w:val="clear" w:color="auto" w:fill="auto"/>
            <w:noWrap/>
            <w:vAlign w:val="center"/>
          </w:tcPr>
          <w:p w14:paraId="3CD29B0E">
            <w:pPr>
              <w:widowControl/>
              <w:rPr>
                <w:rFonts w:ascii="宋体" w:hAnsi="宋体" w:cs="宋体"/>
                <w:color w:val="000000"/>
                <w:kern w:val="0"/>
                <w:sz w:val="20"/>
              </w:rPr>
            </w:pPr>
            <w:r>
              <w:rPr>
                <w:rFonts w:hint="eastAsia" w:ascii="宋体" w:hAnsi="宋体" w:cs="宋体"/>
                <w:color w:val="000000"/>
                <w:kern w:val="0"/>
                <w:sz w:val="20"/>
              </w:rPr>
              <w:t>　</w:t>
            </w:r>
          </w:p>
        </w:tc>
      </w:tr>
      <w:tr w14:paraId="45CD018B">
        <w:tblPrEx>
          <w:tblCellMar>
            <w:top w:w="0" w:type="dxa"/>
            <w:left w:w="108" w:type="dxa"/>
            <w:bottom w:w="0" w:type="dxa"/>
            <w:right w:w="108" w:type="dxa"/>
          </w:tblCellMar>
        </w:tblPrEx>
        <w:trPr>
          <w:trHeight w:val="255"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3A55B7BC">
            <w:pPr>
              <w:widowControl/>
              <w:jc w:val="center"/>
              <w:rPr>
                <w:rFonts w:ascii="宋体" w:hAnsi="宋体" w:cs="宋体"/>
                <w:b/>
                <w:bCs/>
                <w:kern w:val="0"/>
                <w:sz w:val="20"/>
              </w:rPr>
            </w:pPr>
            <w:r>
              <w:rPr>
                <w:rFonts w:ascii="宋体" w:hAnsi="宋体" w:cs="宋体"/>
                <w:b/>
                <w:bCs/>
                <w:kern w:val="0"/>
                <w:sz w:val="20"/>
              </w:rPr>
              <w:t>21</w:t>
            </w:r>
          </w:p>
        </w:tc>
        <w:tc>
          <w:tcPr>
            <w:tcW w:w="2650" w:type="dxa"/>
            <w:tcBorders>
              <w:top w:val="nil"/>
              <w:left w:val="nil"/>
              <w:bottom w:val="single" w:color="auto" w:sz="4" w:space="0"/>
              <w:right w:val="single" w:color="auto" w:sz="4" w:space="0"/>
            </w:tcBorders>
            <w:shd w:val="clear" w:color="auto" w:fill="auto"/>
            <w:vAlign w:val="center"/>
          </w:tcPr>
          <w:p w14:paraId="48803B68">
            <w:pPr>
              <w:widowControl/>
              <w:jc w:val="center"/>
              <w:rPr>
                <w:rFonts w:ascii="宋体" w:hAnsi="宋体" w:cs="宋体"/>
                <w:color w:val="000000"/>
                <w:kern w:val="0"/>
                <w:sz w:val="20"/>
              </w:rPr>
            </w:pPr>
            <w:r>
              <w:rPr>
                <w:rFonts w:ascii="宋体" w:hAnsi="宋体" w:cs="宋体"/>
                <w:color w:val="000000"/>
                <w:kern w:val="0"/>
                <w:sz w:val="20"/>
              </w:rPr>
              <w:t>技术资料</w:t>
            </w:r>
          </w:p>
        </w:tc>
        <w:tc>
          <w:tcPr>
            <w:tcW w:w="3969" w:type="dxa"/>
            <w:tcBorders>
              <w:top w:val="nil"/>
              <w:left w:val="nil"/>
              <w:bottom w:val="single" w:color="auto" w:sz="4" w:space="0"/>
              <w:right w:val="single" w:color="auto" w:sz="4" w:space="0"/>
            </w:tcBorders>
            <w:shd w:val="clear" w:color="auto" w:fill="auto"/>
            <w:vAlign w:val="center"/>
          </w:tcPr>
          <w:p w14:paraId="399E5F6A">
            <w:pPr>
              <w:widowControl/>
              <w:rPr>
                <w:rFonts w:ascii="宋体" w:hAnsi="宋体" w:cs="宋体"/>
                <w:color w:val="000000"/>
                <w:kern w:val="0"/>
                <w:sz w:val="20"/>
              </w:rPr>
            </w:pPr>
            <w:r>
              <w:rPr>
                <w:rFonts w:ascii="宋体" w:hAnsi="宋体" w:cs="宋体"/>
                <w:color w:val="000000"/>
                <w:kern w:val="0"/>
                <w:sz w:val="20"/>
              </w:rPr>
              <w:t>3</w:t>
            </w:r>
            <w:r>
              <w:rPr>
                <w:rFonts w:hint="eastAsia" w:ascii="宋体" w:hAnsi="宋体" w:cs="宋体"/>
                <w:color w:val="000000"/>
                <w:kern w:val="0"/>
                <w:sz w:val="20"/>
              </w:rPr>
              <w:t>份纸质</w:t>
            </w:r>
            <w:r>
              <w:rPr>
                <w:rFonts w:ascii="宋体" w:hAnsi="宋体" w:cs="宋体"/>
                <w:color w:val="000000"/>
                <w:kern w:val="0"/>
                <w:sz w:val="20"/>
              </w:rPr>
              <w:t>及1份</w:t>
            </w:r>
            <w:r>
              <w:rPr>
                <w:rFonts w:hint="eastAsia" w:ascii="宋体" w:hAnsi="宋体" w:cs="宋体"/>
                <w:color w:val="000000"/>
                <w:kern w:val="0"/>
                <w:sz w:val="20"/>
              </w:rPr>
              <w:t>电子版</w:t>
            </w:r>
          </w:p>
        </w:tc>
        <w:tc>
          <w:tcPr>
            <w:tcW w:w="709" w:type="dxa"/>
            <w:tcBorders>
              <w:top w:val="nil"/>
              <w:left w:val="nil"/>
              <w:bottom w:val="single" w:color="auto" w:sz="4" w:space="0"/>
              <w:right w:val="single" w:color="auto" w:sz="4" w:space="0"/>
            </w:tcBorders>
            <w:shd w:val="clear" w:color="auto" w:fill="auto"/>
            <w:noWrap/>
            <w:vAlign w:val="center"/>
          </w:tcPr>
          <w:p w14:paraId="2E383EEE">
            <w:pPr>
              <w:widowControl/>
              <w:jc w:val="center"/>
              <w:rPr>
                <w:rFonts w:ascii="宋体" w:hAnsi="宋体" w:cs="宋体"/>
                <w:color w:val="000000"/>
                <w:kern w:val="0"/>
                <w:sz w:val="20"/>
              </w:rPr>
            </w:pPr>
          </w:p>
        </w:tc>
        <w:tc>
          <w:tcPr>
            <w:tcW w:w="425" w:type="dxa"/>
            <w:tcBorders>
              <w:top w:val="nil"/>
              <w:left w:val="nil"/>
              <w:bottom w:val="single" w:color="auto" w:sz="4" w:space="0"/>
              <w:right w:val="single" w:color="auto" w:sz="4" w:space="0"/>
            </w:tcBorders>
            <w:shd w:val="clear" w:color="auto" w:fill="auto"/>
            <w:noWrap/>
            <w:vAlign w:val="center"/>
          </w:tcPr>
          <w:p w14:paraId="19005603">
            <w:pPr>
              <w:widowControl/>
              <w:jc w:val="center"/>
              <w:rPr>
                <w:rFonts w:ascii="宋体" w:hAnsi="宋体" w:cs="宋体"/>
                <w:color w:val="000000"/>
                <w:kern w:val="0"/>
                <w:sz w:val="20"/>
              </w:rPr>
            </w:pPr>
          </w:p>
        </w:tc>
        <w:tc>
          <w:tcPr>
            <w:tcW w:w="1631" w:type="dxa"/>
            <w:tcBorders>
              <w:top w:val="nil"/>
              <w:left w:val="nil"/>
              <w:bottom w:val="single" w:color="auto" w:sz="4" w:space="0"/>
              <w:right w:val="single" w:color="auto" w:sz="4" w:space="0"/>
            </w:tcBorders>
            <w:shd w:val="clear" w:color="auto" w:fill="auto"/>
            <w:noWrap/>
            <w:vAlign w:val="center"/>
          </w:tcPr>
          <w:p w14:paraId="5A871A38">
            <w:pPr>
              <w:widowControl/>
              <w:rPr>
                <w:rFonts w:ascii="宋体" w:hAnsi="宋体" w:cs="宋体"/>
                <w:color w:val="000000"/>
                <w:kern w:val="0"/>
                <w:sz w:val="20"/>
              </w:rPr>
            </w:pPr>
          </w:p>
        </w:tc>
      </w:tr>
      <w:tr w14:paraId="2C9D8F61">
        <w:tblPrEx>
          <w:tblCellMar>
            <w:top w:w="0" w:type="dxa"/>
            <w:left w:w="108" w:type="dxa"/>
            <w:bottom w:w="0" w:type="dxa"/>
            <w:right w:w="108" w:type="dxa"/>
          </w:tblCellMar>
        </w:tblPrEx>
        <w:trPr>
          <w:trHeight w:val="414" w:hRule="atLeast"/>
        </w:trPr>
        <w:tc>
          <w:tcPr>
            <w:tcW w:w="894" w:type="dxa"/>
            <w:tcBorders>
              <w:top w:val="nil"/>
              <w:left w:val="single" w:color="auto" w:sz="4" w:space="0"/>
              <w:bottom w:val="single" w:color="auto" w:sz="4" w:space="0"/>
              <w:right w:val="single" w:color="auto" w:sz="4" w:space="0"/>
            </w:tcBorders>
            <w:shd w:val="clear" w:color="FFFFFF" w:fill="FFFFFF"/>
            <w:vAlign w:val="center"/>
          </w:tcPr>
          <w:p w14:paraId="5EEFF475">
            <w:pPr>
              <w:widowControl/>
              <w:jc w:val="center"/>
              <w:rPr>
                <w:rFonts w:ascii="宋体" w:hAnsi="宋体" w:cs="宋体"/>
                <w:b/>
                <w:bCs/>
                <w:kern w:val="0"/>
                <w:sz w:val="20"/>
              </w:rPr>
            </w:pPr>
            <w:r>
              <w:rPr>
                <w:rFonts w:ascii="宋体" w:hAnsi="宋体" w:cs="宋体"/>
                <w:b/>
                <w:bCs/>
                <w:kern w:val="0"/>
                <w:sz w:val="20"/>
              </w:rPr>
              <w:t>22</w:t>
            </w:r>
          </w:p>
        </w:tc>
        <w:tc>
          <w:tcPr>
            <w:tcW w:w="2650" w:type="dxa"/>
            <w:tcBorders>
              <w:top w:val="nil"/>
              <w:left w:val="nil"/>
              <w:bottom w:val="single" w:color="auto" w:sz="4" w:space="0"/>
              <w:right w:val="single" w:color="auto" w:sz="4" w:space="0"/>
            </w:tcBorders>
            <w:shd w:val="clear" w:color="auto" w:fill="auto"/>
            <w:vAlign w:val="center"/>
          </w:tcPr>
          <w:p w14:paraId="7F0EE20D">
            <w:pPr>
              <w:widowControl/>
              <w:jc w:val="center"/>
              <w:rPr>
                <w:rFonts w:ascii="宋体" w:hAnsi="宋体" w:cs="宋体"/>
                <w:color w:val="000000"/>
                <w:kern w:val="0"/>
                <w:sz w:val="20"/>
              </w:rPr>
            </w:pPr>
            <w:r>
              <w:rPr>
                <w:rFonts w:hint="eastAsia" w:ascii="宋体" w:hAnsi="宋体" w:cs="宋体"/>
                <w:color w:val="000000"/>
                <w:kern w:val="0"/>
                <w:sz w:val="20"/>
              </w:rPr>
              <w:t>投标方认为须提供的其他货物</w:t>
            </w:r>
          </w:p>
        </w:tc>
        <w:tc>
          <w:tcPr>
            <w:tcW w:w="3969" w:type="dxa"/>
            <w:tcBorders>
              <w:top w:val="nil"/>
              <w:left w:val="nil"/>
              <w:bottom w:val="single" w:color="auto" w:sz="4" w:space="0"/>
              <w:right w:val="single" w:color="auto" w:sz="4" w:space="0"/>
            </w:tcBorders>
            <w:shd w:val="clear" w:color="auto" w:fill="auto"/>
            <w:vAlign w:val="center"/>
          </w:tcPr>
          <w:p w14:paraId="0F636F95">
            <w:pPr>
              <w:widowControl/>
              <w:rPr>
                <w:rFonts w:ascii="宋体" w:hAnsi="宋体" w:cs="宋体"/>
                <w:color w:val="000000"/>
                <w:kern w:val="0"/>
                <w:sz w:val="20"/>
              </w:rPr>
            </w:pPr>
          </w:p>
        </w:tc>
        <w:tc>
          <w:tcPr>
            <w:tcW w:w="709" w:type="dxa"/>
            <w:tcBorders>
              <w:top w:val="nil"/>
              <w:left w:val="nil"/>
              <w:bottom w:val="single" w:color="auto" w:sz="4" w:space="0"/>
              <w:right w:val="single" w:color="auto" w:sz="4" w:space="0"/>
            </w:tcBorders>
            <w:shd w:val="clear" w:color="auto" w:fill="auto"/>
            <w:noWrap/>
            <w:vAlign w:val="center"/>
          </w:tcPr>
          <w:p w14:paraId="7D926881">
            <w:pPr>
              <w:widowControl/>
              <w:jc w:val="center"/>
              <w:rPr>
                <w:rFonts w:ascii="宋体" w:hAnsi="宋体" w:cs="宋体"/>
                <w:color w:val="000000"/>
                <w:kern w:val="0"/>
                <w:sz w:val="20"/>
              </w:rPr>
            </w:pPr>
            <w:r>
              <w:rPr>
                <w:rFonts w:hint="eastAsia" w:ascii="宋体" w:hAnsi="宋体" w:cs="宋体"/>
                <w:color w:val="000000"/>
                <w:kern w:val="0"/>
                <w:sz w:val="20"/>
              </w:rPr>
              <w:t>项</w:t>
            </w:r>
          </w:p>
        </w:tc>
        <w:tc>
          <w:tcPr>
            <w:tcW w:w="425" w:type="dxa"/>
            <w:tcBorders>
              <w:top w:val="nil"/>
              <w:left w:val="nil"/>
              <w:bottom w:val="single" w:color="auto" w:sz="4" w:space="0"/>
              <w:right w:val="single" w:color="auto" w:sz="4" w:space="0"/>
            </w:tcBorders>
            <w:shd w:val="clear" w:color="auto" w:fill="auto"/>
            <w:noWrap/>
            <w:vAlign w:val="center"/>
          </w:tcPr>
          <w:p w14:paraId="64F6468F">
            <w:pPr>
              <w:widowControl/>
              <w:jc w:val="center"/>
              <w:rPr>
                <w:rFonts w:ascii="宋体" w:hAnsi="宋体" w:cs="宋体"/>
                <w:color w:val="000000"/>
                <w:kern w:val="0"/>
                <w:sz w:val="20"/>
              </w:rPr>
            </w:pPr>
            <w:r>
              <w:rPr>
                <w:rFonts w:hint="eastAsia" w:ascii="宋体" w:hAnsi="宋体" w:cs="宋体"/>
                <w:color w:val="000000"/>
                <w:kern w:val="0"/>
                <w:sz w:val="20"/>
              </w:rPr>
              <w:t>1　</w:t>
            </w:r>
          </w:p>
        </w:tc>
        <w:tc>
          <w:tcPr>
            <w:tcW w:w="1631" w:type="dxa"/>
            <w:tcBorders>
              <w:top w:val="nil"/>
              <w:left w:val="nil"/>
              <w:bottom w:val="single" w:color="auto" w:sz="4" w:space="0"/>
              <w:right w:val="single" w:color="auto" w:sz="4" w:space="0"/>
            </w:tcBorders>
            <w:shd w:val="clear" w:color="auto" w:fill="auto"/>
            <w:noWrap/>
            <w:vAlign w:val="center"/>
          </w:tcPr>
          <w:p w14:paraId="61419905">
            <w:pPr>
              <w:widowControl/>
              <w:rPr>
                <w:rFonts w:ascii="宋体" w:hAnsi="宋体" w:cs="宋体"/>
                <w:color w:val="000000"/>
                <w:kern w:val="0"/>
                <w:sz w:val="20"/>
              </w:rPr>
            </w:pPr>
            <w:r>
              <w:rPr>
                <w:rFonts w:hint="eastAsia" w:ascii="宋体" w:hAnsi="宋体" w:cs="宋体"/>
                <w:color w:val="000000"/>
                <w:kern w:val="0"/>
                <w:sz w:val="20"/>
              </w:rPr>
              <w:t>　</w:t>
            </w:r>
          </w:p>
        </w:tc>
      </w:tr>
    </w:tbl>
    <w:p w14:paraId="7744A92A">
      <w:pPr>
        <w:rPr>
          <w:sz w:val="24"/>
          <w:szCs w:val="24"/>
        </w:rPr>
      </w:pPr>
      <w:r>
        <w:rPr>
          <w:rFonts w:hint="eastAsia"/>
          <w:sz w:val="24"/>
          <w:szCs w:val="24"/>
        </w:rPr>
        <w:t>二、一般界定</w:t>
      </w:r>
    </w:p>
    <w:p w14:paraId="631599F1">
      <w:pPr>
        <w:rPr>
          <w:sz w:val="24"/>
          <w:szCs w:val="24"/>
        </w:rPr>
      </w:pPr>
      <w:r>
        <w:rPr>
          <w:rFonts w:hint="eastAsia"/>
          <w:sz w:val="24"/>
          <w:szCs w:val="24"/>
        </w:rPr>
        <w:t>1、供货范围包括本技术标书“采购货物概况” 所列及所要求的货物。</w:t>
      </w:r>
    </w:p>
    <w:p w14:paraId="431F63AB">
      <w:pPr>
        <w:rPr>
          <w:sz w:val="24"/>
          <w:szCs w:val="24"/>
        </w:rPr>
      </w:pPr>
      <w:r>
        <w:rPr>
          <w:rFonts w:hint="eastAsia"/>
          <w:sz w:val="24"/>
          <w:szCs w:val="24"/>
        </w:rPr>
        <w:t>2、供货范围包括为保证货物（或生产线）正常安装、调试和验收完成及以前所必需的整套配件、附件及材料、油料、控制软件及程序或指令等。</w:t>
      </w:r>
    </w:p>
    <w:p w14:paraId="7E932059">
      <w:pPr>
        <w:rPr>
          <w:sz w:val="24"/>
          <w:szCs w:val="24"/>
        </w:rPr>
      </w:pPr>
      <w:r>
        <w:rPr>
          <w:rFonts w:hint="eastAsia"/>
          <w:sz w:val="24"/>
          <w:szCs w:val="24"/>
        </w:rPr>
        <w:t>如果终验收完成后，投标方有需要收回的配件、附件、材料、油料等，应当在投标档的技术偏离条款中，予以详细说明；否则视同包括在供货范围之内。</w:t>
      </w:r>
    </w:p>
    <w:p w14:paraId="3AB6A252">
      <w:pPr>
        <w:rPr>
          <w:sz w:val="24"/>
          <w:szCs w:val="24"/>
        </w:rPr>
      </w:pPr>
      <w:r>
        <w:rPr>
          <w:rFonts w:hint="eastAsia"/>
          <w:sz w:val="24"/>
          <w:szCs w:val="24"/>
        </w:rPr>
        <w:t>3、供货范围包括货物（或生产线）维护维修所必需的专用工具。</w:t>
      </w:r>
    </w:p>
    <w:p w14:paraId="7E1286DB">
      <w:pPr>
        <w:rPr>
          <w:sz w:val="24"/>
          <w:szCs w:val="24"/>
        </w:rPr>
      </w:pPr>
      <w:r>
        <w:rPr>
          <w:rFonts w:hint="eastAsia"/>
          <w:sz w:val="24"/>
          <w:szCs w:val="24"/>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10F7629B">
      <w:pPr>
        <w:ind w:firstLine="480" w:firstLineChars="200"/>
        <w:rPr>
          <w:sz w:val="24"/>
          <w:szCs w:val="24"/>
        </w:rPr>
      </w:pPr>
      <w:r>
        <w:rPr>
          <w:rFonts w:hint="eastAsia"/>
          <w:sz w:val="24"/>
          <w:szCs w:val="24"/>
        </w:rPr>
        <w:t>如投标方难以提供或无优势提供以及属于选用配置的，则应当在投标档的技术偏离条款中，予以详细说明并注明投标报价未包含该部分的货值。</w:t>
      </w:r>
    </w:p>
    <w:p w14:paraId="1F167A5D">
      <w:pPr>
        <w:rPr>
          <w:sz w:val="24"/>
          <w:szCs w:val="24"/>
        </w:rPr>
      </w:pPr>
      <w:r>
        <w:rPr>
          <w:rFonts w:hint="eastAsia"/>
          <w:sz w:val="24"/>
          <w:szCs w:val="24"/>
        </w:rPr>
        <w:t>5、供货范围包括为保证货物（或生产线）自身正常运行所必需的、满足使用地点环境条件的通风、冷却、降温等必需设施。</w:t>
      </w:r>
    </w:p>
    <w:p w14:paraId="1F3C7614">
      <w:pPr>
        <w:rPr>
          <w:sz w:val="24"/>
          <w:szCs w:val="24"/>
        </w:rPr>
      </w:pPr>
      <w:r>
        <w:rPr>
          <w:rFonts w:hint="eastAsia"/>
          <w:sz w:val="24"/>
          <w:szCs w:val="24"/>
        </w:rPr>
        <w:t>6、供货范围还包括如下界定（货物）：</w:t>
      </w:r>
    </w:p>
    <w:p w14:paraId="67FA7591">
      <w:pPr>
        <w:rPr>
          <w:sz w:val="24"/>
          <w:szCs w:val="24"/>
        </w:rPr>
      </w:pPr>
      <w:r>
        <w:rPr>
          <w:rFonts w:hint="eastAsia"/>
          <w:sz w:val="24"/>
          <w:szCs w:val="24"/>
        </w:rPr>
        <w:t>① 招标方只提供货物（或生产线）所需的厂房；只提供符合本技术标书中“采购货物概况”和“使用环境”章节所列明质量的电力、自来水、压缩空气、蒸汽、天然气管线至系统界面，如：系统电力界面的接线端，水、气、汽等外围管线端联接法兰外端面。投标方负责货物拆箱、货物到厂房的吊装、就位。</w:t>
      </w:r>
    </w:p>
    <w:p w14:paraId="3C0528EA">
      <w:pPr>
        <w:rPr>
          <w:sz w:val="24"/>
          <w:szCs w:val="24"/>
        </w:rPr>
      </w:pPr>
      <w:r>
        <w:rPr>
          <w:rFonts w:hint="eastAsia"/>
          <w:sz w:val="24"/>
          <w:szCs w:val="24"/>
        </w:rPr>
        <w:t>② 供货范围包括货物（或生产线）正常运行所必需的全套连线设备、材料等。如货物端联接法兰外端面之内的、电气系统界面压线板（插座等）之内的设备、材料、联接螺栓、垫片等。</w:t>
      </w:r>
    </w:p>
    <w:p w14:paraId="25C8974C">
      <w:pPr>
        <w:rPr>
          <w:sz w:val="24"/>
          <w:szCs w:val="24"/>
        </w:rPr>
      </w:pPr>
      <w:r>
        <w:rPr>
          <w:rFonts w:hint="eastAsia"/>
          <w:sz w:val="24"/>
          <w:szCs w:val="24"/>
        </w:rPr>
        <w:t>③ 供货范围包括货物（或生产线）正常运行、使用所需要的过桥、护栏、防护网、盖板等辅助设施。</w:t>
      </w:r>
    </w:p>
    <w:p w14:paraId="021F1ABF">
      <w:pPr>
        <w:rPr>
          <w:color w:val="000000"/>
          <w:sz w:val="24"/>
          <w:szCs w:val="24"/>
        </w:rPr>
      </w:pPr>
      <w:r>
        <w:rPr>
          <w:rFonts w:hint="eastAsia"/>
          <w:sz w:val="24"/>
          <w:szCs w:val="24"/>
        </w:rPr>
        <w:t>④ 供货范围包括招标档中无明确具体要求而投标方认为具备的其他货物。但是，在投标档报价明细中，该部分货物单独报价（该报价含运杂费及税费等其他费用，而且不再作为其他报价涉及的其他费用的计算基数）</w:t>
      </w:r>
      <w:r>
        <w:rPr>
          <w:rFonts w:hint="eastAsia"/>
          <w:color w:val="000000"/>
          <w:sz w:val="24"/>
          <w:szCs w:val="24"/>
        </w:rPr>
        <w:t>。</w:t>
      </w:r>
    </w:p>
    <w:p w14:paraId="50CAAC95">
      <w:pPr>
        <w:rPr>
          <w:sz w:val="24"/>
          <w:szCs w:val="24"/>
        </w:rPr>
      </w:pPr>
      <w:r>
        <w:rPr>
          <w:rFonts w:hint="eastAsia"/>
          <w:sz w:val="24"/>
          <w:szCs w:val="24"/>
        </w:rPr>
        <w:t>三、备品备件、易损件和专用耗材供货范围</w:t>
      </w:r>
    </w:p>
    <w:p w14:paraId="18D0A35E">
      <w:pPr>
        <w:rPr>
          <w:sz w:val="24"/>
          <w:szCs w:val="24"/>
        </w:rPr>
      </w:pPr>
      <w:r>
        <w:rPr>
          <w:rFonts w:hint="eastAsia"/>
          <w:sz w:val="24"/>
          <w:szCs w:val="24"/>
        </w:rPr>
        <w:t>1、招标方招标档所指备品备件、易损件和专用耗材，是招标方为保证设备质保期之后正常运行一年所自备自用的备品备件、易损件和专用耗材；</w:t>
      </w:r>
    </w:p>
    <w:p w14:paraId="0E73C66C">
      <w:pPr>
        <w:rPr>
          <w:sz w:val="24"/>
          <w:szCs w:val="24"/>
        </w:rPr>
      </w:pPr>
      <w:r>
        <w:rPr>
          <w:rFonts w:hint="eastAsia"/>
          <w:sz w:val="24"/>
          <w:szCs w:val="24"/>
        </w:rPr>
        <w:t>2、投标方应提供设备维修所必需的专用工具，并附详细清单（包括名称、型号、规格、单位、数量、生产厂家、单价、总价等条目）；</w:t>
      </w:r>
    </w:p>
    <w:p w14:paraId="33CFA394">
      <w:pPr>
        <w:rPr>
          <w:sz w:val="24"/>
          <w:szCs w:val="24"/>
        </w:rPr>
      </w:pPr>
      <w:r>
        <w:rPr>
          <w:rFonts w:hint="eastAsia"/>
          <w:sz w:val="24"/>
          <w:szCs w:val="24"/>
        </w:rPr>
        <w:t>3、投标方应提供易损件和专用耗材的制造图纸及其技术要求等资料；</w:t>
      </w:r>
    </w:p>
    <w:p w14:paraId="277DA896">
      <w:pPr>
        <w:rPr>
          <w:sz w:val="24"/>
          <w:szCs w:val="24"/>
        </w:rPr>
      </w:pPr>
      <w:r>
        <w:rPr>
          <w:rFonts w:hint="eastAsia"/>
          <w:sz w:val="24"/>
          <w:szCs w:val="24"/>
        </w:rPr>
        <w:t>4、投标方须提供一份常用的零部件及外购件（含易损件、易耗品等）型号、零件图、价格表及供货周期。标准设备和非标设备的工装备件清单、投标方、联系方式、价格，在合同签订之后四个月内提交给招标方。</w:t>
      </w:r>
    </w:p>
    <w:p w14:paraId="4416E96B">
      <w:pPr>
        <w:rPr>
          <w:sz w:val="24"/>
          <w:szCs w:val="24"/>
        </w:rPr>
      </w:pPr>
      <w:r>
        <w:rPr>
          <w:rFonts w:hint="eastAsia"/>
          <w:sz w:val="24"/>
          <w:szCs w:val="24"/>
        </w:rPr>
        <w:t>5、备品备件、易损件和专用耗材，其费用应分类单列，并计入投标总报价之内。</w:t>
      </w:r>
    </w:p>
    <w:p w14:paraId="02476A23">
      <w:pPr>
        <w:rPr>
          <w:sz w:val="24"/>
          <w:szCs w:val="24"/>
        </w:rPr>
      </w:pPr>
      <w:r>
        <w:rPr>
          <w:rFonts w:hint="eastAsia"/>
          <w:sz w:val="24"/>
          <w:szCs w:val="24"/>
        </w:rPr>
        <w:t>四、技术资料供货范围</w:t>
      </w:r>
    </w:p>
    <w:p w14:paraId="03E074D9">
      <w:pPr>
        <w:rPr>
          <w:sz w:val="24"/>
          <w:szCs w:val="24"/>
        </w:rPr>
      </w:pPr>
      <w:r>
        <w:rPr>
          <w:rFonts w:hint="eastAsia"/>
          <w:sz w:val="24"/>
          <w:szCs w:val="24"/>
        </w:rPr>
        <w:t>1、在终验收前，提供确定的维修所需要且招标方可以自行采购的外购件、外协件、电气元件及主要原材料的供货厂家明细表。</w:t>
      </w:r>
    </w:p>
    <w:p w14:paraId="27E54E81">
      <w:pPr>
        <w:rPr>
          <w:sz w:val="24"/>
          <w:szCs w:val="24"/>
        </w:rPr>
      </w:pPr>
      <w:r>
        <w:rPr>
          <w:rFonts w:hint="eastAsia"/>
          <w:sz w:val="24"/>
          <w:szCs w:val="24"/>
        </w:rPr>
        <w:t>2、在终验收后的第一笔货款支付日之前，提供包括货物的备品备件、易损件和专用耗材的图纸及技术参数、技术要求等资料。</w:t>
      </w:r>
    </w:p>
    <w:p w14:paraId="39E158C0">
      <w:pPr>
        <w:rPr>
          <w:sz w:val="24"/>
          <w:szCs w:val="24"/>
        </w:rPr>
      </w:pPr>
      <w:r>
        <w:rPr>
          <w:rFonts w:hint="eastAsia"/>
          <w:sz w:val="24"/>
          <w:szCs w:val="24"/>
        </w:rPr>
        <w:t>3、在终验收后的第一笔货款支付日之前，提供关于采购货物的使用说明书、合格证等技术资料。</w:t>
      </w:r>
    </w:p>
    <w:p w14:paraId="6192E0FB">
      <w:pPr>
        <w:rPr>
          <w:sz w:val="24"/>
          <w:szCs w:val="24"/>
        </w:rPr>
      </w:pPr>
      <w:r>
        <w:rPr>
          <w:rFonts w:hint="eastAsia"/>
          <w:sz w:val="24"/>
          <w:szCs w:val="24"/>
        </w:rPr>
        <w:t>4、在终验收后的第一笔货款支付日之前，提供关于采购货物（或生产线）的电气资料（包括接线图、原理图、布线图、梯形图等）。</w:t>
      </w:r>
    </w:p>
    <w:p w14:paraId="44FD6715">
      <w:pPr>
        <w:rPr>
          <w:sz w:val="24"/>
          <w:szCs w:val="24"/>
        </w:rPr>
      </w:pPr>
      <w:r>
        <w:rPr>
          <w:rFonts w:hint="eastAsia"/>
          <w:sz w:val="24"/>
          <w:szCs w:val="24"/>
        </w:rPr>
        <w:t>5、本条款所列的技术资料、图片等，投标方应各</w:t>
      </w:r>
      <w:r>
        <w:rPr>
          <w:rFonts w:hint="eastAsia"/>
          <w:color w:val="000000"/>
          <w:sz w:val="24"/>
          <w:szCs w:val="24"/>
        </w:rPr>
        <w:t>提供3套、1套</w:t>
      </w:r>
      <w:r>
        <w:rPr>
          <w:rFonts w:hint="eastAsia"/>
          <w:sz w:val="24"/>
          <w:szCs w:val="24"/>
        </w:rPr>
        <w:t>为电子版；每份技术档应装有目录清单，电子版及纸板内容编排一致，方便查阅。</w:t>
      </w:r>
    </w:p>
    <w:p w14:paraId="05A19935">
      <w:pPr>
        <w:jc w:val="center"/>
        <w:rPr>
          <w:sz w:val="24"/>
          <w:szCs w:val="24"/>
        </w:rPr>
      </w:pPr>
      <w:r>
        <w:rPr>
          <w:rFonts w:hint="eastAsia"/>
          <w:sz w:val="24"/>
          <w:szCs w:val="24"/>
        </w:rPr>
        <w:t>第二节  供货方式</w:t>
      </w:r>
    </w:p>
    <w:p w14:paraId="7AA5ADA4">
      <w:pPr>
        <w:rPr>
          <w:sz w:val="24"/>
          <w:szCs w:val="24"/>
        </w:rPr>
      </w:pPr>
      <w:r>
        <w:rPr>
          <w:rFonts w:hint="eastAsia"/>
          <w:sz w:val="24"/>
          <w:szCs w:val="24"/>
        </w:rPr>
        <w:t>一、供货方式</w:t>
      </w:r>
    </w:p>
    <w:p w14:paraId="0C4B3A18">
      <w:pPr>
        <w:ind w:firstLine="480" w:firstLineChars="200"/>
        <w:rPr>
          <w:sz w:val="24"/>
          <w:szCs w:val="24"/>
        </w:rPr>
      </w:pPr>
      <w:r>
        <w:rPr>
          <w:sz w:val="24"/>
          <w:szCs w:val="24"/>
        </w:rPr>
        <w:t>本次招标货物至少包括以下货物及服务：非标或特需设计，制造，必要的卖方现场预验收，至交货地点的运输（含定点装卸），安装，调试</w:t>
      </w:r>
      <w:r>
        <w:rPr>
          <w:rFonts w:hint="eastAsia"/>
          <w:sz w:val="24"/>
          <w:szCs w:val="24"/>
        </w:rPr>
        <w:t>（不含机器人调试、PLC编程及现场程序调试）</w:t>
      </w:r>
      <w:r>
        <w:rPr>
          <w:sz w:val="24"/>
          <w:szCs w:val="24"/>
        </w:rPr>
        <w:t>，买方安装地竣工验收服务，货物移交，约定培训等全流程范围。</w:t>
      </w:r>
    </w:p>
    <w:p w14:paraId="6BCA4751">
      <w:pPr>
        <w:rPr>
          <w:sz w:val="24"/>
          <w:szCs w:val="24"/>
        </w:rPr>
      </w:pPr>
      <w:r>
        <w:rPr>
          <w:rFonts w:hint="eastAsia"/>
          <w:sz w:val="24"/>
          <w:szCs w:val="24"/>
        </w:rPr>
        <w:t>二、供货地点</w:t>
      </w:r>
    </w:p>
    <w:p w14:paraId="5375AFE5">
      <w:pPr>
        <w:rPr>
          <w:sz w:val="24"/>
          <w:szCs w:val="24"/>
        </w:rPr>
      </w:pPr>
      <w:r>
        <w:rPr>
          <w:rFonts w:hint="eastAsia"/>
          <w:sz w:val="24"/>
          <w:szCs w:val="24"/>
        </w:rPr>
        <w:t>中国重汽集团杭州发动机有限公司</w:t>
      </w:r>
      <w:r>
        <w:rPr>
          <w:sz w:val="24"/>
          <w:szCs w:val="24"/>
        </w:rPr>
        <w:t>。</w:t>
      </w:r>
    </w:p>
    <w:p w14:paraId="52A83ACC">
      <w:pPr>
        <w:rPr>
          <w:sz w:val="24"/>
          <w:szCs w:val="24"/>
        </w:rPr>
      </w:pPr>
      <w:r>
        <w:rPr>
          <w:rFonts w:hint="eastAsia"/>
          <w:sz w:val="24"/>
          <w:szCs w:val="24"/>
        </w:rPr>
        <w:t>三、供货时间：</w:t>
      </w:r>
    </w:p>
    <w:p w14:paraId="7A22BB51">
      <w:pPr>
        <w:rPr>
          <w:sz w:val="24"/>
          <w:szCs w:val="24"/>
        </w:rPr>
      </w:pPr>
      <w:r>
        <w:rPr>
          <w:rFonts w:hint="eastAsia"/>
          <w:sz w:val="24"/>
          <w:szCs w:val="24"/>
        </w:rPr>
        <w:t>自合同签定生效之日起，</w:t>
      </w:r>
      <w:r>
        <w:rPr>
          <w:color w:val="FF0000"/>
          <w:sz w:val="24"/>
          <w:szCs w:val="24"/>
          <w:u w:val="single"/>
        </w:rPr>
        <w:t>6</w:t>
      </w:r>
      <w:r>
        <w:rPr>
          <w:rFonts w:hint="eastAsia"/>
          <w:color w:val="FF0000"/>
          <w:sz w:val="24"/>
          <w:szCs w:val="24"/>
          <w:u w:val="single"/>
        </w:rPr>
        <w:t>0</w:t>
      </w:r>
      <w:r>
        <w:rPr>
          <w:rFonts w:hint="eastAsia"/>
          <w:sz w:val="24"/>
          <w:szCs w:val="24"/>
        </w:rPr>
        <w:t>个日历日之内交货至供货地点。</w:t>
      </w:r>
    </w:p>
    <w:p w14:paraId="3875C72E">
      <w:pPr>
        <w:rPr>
          <w:sz w:val="24"/>
          <w:szCs w:val="24"/>
        </w:rPr>
      </w:pPr>
      <w:r>
        <w:rPr>
          <w:rFonts w:hint="eastAsia"/>
          <w:sz w:val="24"/>
          <w:szCs w:val="24"/>
        </w:rPr>
        <w:t>接续</w:t>
      </w:r>
      <w:r>
        <w:rPr>
          <w:color w:val="FF0000"/>
          <w:sz w:val="24"/>
          <w:szCs w:val="24"/>
          <w:u w:val="single"/>
        </w:rPr>
        <w:t>4</w:t>
      </w:r>
      <w:r>
        <w:rPr>
          <w:rFonts w:hint="eastAsia"/>
          <w:color w:val="FF0000"/>
          <w:sz w:val="24"/>
          <w:szCs w:val="24"/>
          <w:u w:val="single"/>
        </w:rPr>
        <w:t>0</w:t>
      </w:r>
      <w:r>
        <w:rPr>
          <w:rFonts w:hint="eastAsia"/>
          <w:sz w:val="24"/>
          <w:szCs w:val="24"/>
          <w:u w:val="single"/>
        </w:rPr>
        <w:t xml:space="preserve"> </w:t>
      </w:r>
      <w:r>
        <w:rPr>
          <w:rFonts w:hint="eastAsia"/>
          <w:sz w:val="24"/>
          <w:szCs w:val="24"/>
        </w:rPr>
        <w:t>个日历日之内完成供货范围内安装工作并配合招标方完成机器人调试、PLC编程及现场程序调试。</w:t>
      </w:r>
    </w:p>
    <w:p w14:paraId="7CA1B03A">
      <w:pPr>
        <w:rPr>
          <w:sz w:val="24"/>
          <w:szCs w:val="24"/>
        </w:rPr>
      </w:pPr>
      <w:r>
        <w:rPr>
          <w:rFonts w:hint="eastAsia"/>
          <w:sz w:val="24"/>
          <w:szCs w:val="24"/>
        </w:rPr>
        <w:t>接续</w:t>
      </w:r>
      <w:r>
        <w:rPr>
          <w:color w:val="FF0000"/>
          <w:sz w:val="24"/>
          <w:szCs w:val="24"/>
          <w:u w:val="single"/>
        </w:rPr>
        <w:t>1</w:t>
      </w:r>
      <w:r>
        <w:rPr>
          <w:rFonts w:hint="eastAsia"/>
          <w:color w:val="FF0000"/>
          <w:sz w:val="24"/>
          <w:szCs w:val="24"/>
          <w:u w:val="single"/>
        </w:rPr>
        <w:t>0</w:t>
      </w:r>
      <w:r>
        <w:rPr>
          <w:rFonts w:hint="eastAsia"/>
          <w:sz w:val="24"/>
          <w:szCs w:val="24"/>
        </w:rPr>
        <w:t>个日历日之内完成终验收。</w:t>
      </w:r>
    </w:p>
    <w:p w14:paraId="56405E5D">
      <w:pPr>
        <w:rPr>
          <w:sz w:val="24"/>
          <w:szCs w:val="24"/>
        </w:rPr>
      </w:pPr>
      <w:r>
        <w:rPr>
          <w:rFonts w:hint="eastAsia"/>
          <w:sz w:val="24"/>
          <w:szCs w:val="24"/>
        </w:rPr>
        <w:t>四、包装</w:t>
      </w:r>
    </w:p>
    <w:p w14:paraId="7F0039D0">
      <w:pPr>
        <w:rPr>
          <w:sz w:val="24"/>
          <w:szCs w:val="24"/>
        </w:rPr>
      </w:pPr>
      <w:r>
        <w:rPr>
          <w:sz w:val="24"/>
          <w:szCs w:val="24"/>
        </w:rPr>
        <w:t>1、所提供货物（或设备）的包装，应遵照国家标准和有关包装、包皮的技术条件，或按照最好的商业惯例进行包装。</w:t>
      </w:r>
    </w:p>
    <w:p w14:paraId="0EA8ED17">
      <w:pPr>
        <w:rPr>
          <w:sz w:val="24"/>
          <w:szCs w:val="24"/>
        </w:rPr>
      </w:pPr>
      <w:r>
        <w:rPr>
          <w:sz w:val="24"/>
          <w:szCs w:val="24"/>
        </w:rPr>
        <w:t>2、包装应能满足所需要采取的运输方式（船运、汽运或铁路运输）、多次吊装卸装、卸货以及长期露天堆放要求，应能防止雨淋、受潮、生锈、腐蚀、受振、受磁以及机械和化学因素等引起的损坏。</w:t>
      </w:r>
    </w:p>
    <w:p w14:paraId="63792537">
      <w:pPr>
        <w:rPr>
          <w:sz w:val="24"/>
          <w:szCs w:val="24"/>
        </w:rPr>
      </w:pPr>
      <w:r>
        <w:rPr>
          <w:sz w:val="24"/>
          <w:szCs w:val="24"/>
        </w:rPr>
        <w:t>3、所提供货物（或设备）的包装，应能防止其一般性被窃或受外力破坏；一般不得采用有大缝隙的板条包装。</w:t>
      </w:r>
    </w:p>
    <w:p w14:paraId="09FE9416">
      <w:pPr>
        <w:rPr>
          <w:sz w:val="24"/>
          <w:szCs w:val="24"/>
        </w:rPr>
      </w:pPr>
      <w:r>
        <w:rPr>
          <w:sz w:val="24"/>
          <w:szCs w:val="24"/>
        </w:rPr>
        <w:t>4、应对包装件做必要的加固和固定，以防止运输可能造成的损坏。</w:t>
      </w:r>
    </w:p>
    <w:p w14:paraId="5866721D">
      <w:pPr>
        <w:rPr>
          <w:sz w:val="24"/>
          <w:szCs w:val="24"/>
        </w:rPr>
      </w:pPr>
      <w:r>
        <w:rPr>
          <w:sz w:val="24"/>
          <w:szCs w:val="24"/>
        </w:rPr>
        <w:t>5、每个包装件应有装箱单，并至少标明名称、型号规格、数量、净重和毛重、投标方（或供货商）名称和制造日期等相关内容。</w:t>
      </w:r>
    </w:p>
    <w:p w14:paraId="0E0485FB">
      <w:pPr>
        <w:rPr>
          <w:sz w:val="24"/>
          <w:szCs w:val="24"/>
        </w:rPr>
      </w:pPr>
      <w:r>
        <w:rPr>
          <w:sz w:val="24"/>
          <w:szCs w:val="24"/>
        </w:rPr>
        <w:t>6、每个包装箱应有明显标志，并具有中文书写的合同号、装运标志、发货和到货地点名称、发货人和收货人名称、货物名称和项目号、箱号和外型尺寸等内容。</w:t>
      </w:r>
    </w:p>
    <w:p w14:paraId="171B3717">
      <w:pPr>
        <w:rPr>
          <w:sz w:val="24"/>
          <w:szCs w:val="24"/>
        </w:rPr>
      </w:pPr>
      <w:r>
        <w:rPr>
          <w:sz w:val="24"/>
          <w:szCs w:val="24"/>
        </w:rPr>
        <w:t>7、应按照不同的装运要求在包装箱上标明“小心轻放”、“箭头向上”、“防潮”、“防磁”、“不准平放”等标志，以及其他适用的国标通用标志。</w:t>
      </w:r>
    </w:p>
    <w:p w14:paraId="48BC2C4C">
      <w:pPr>
        <w:rPr>
          <w:sz w:val="24"/>
          <w:szCs w:val="24"/>
        </w:rPr>
      </w:pPr>
      <w:r>
        <w:rPr>
          <w:sz w:val="24"/>
          <w:szCs w:val="24"/>
        </w:rPr>
        <w:t>8、包装箱应连续编号，不应出现重复编号。</w:t>
      </w:r>
    </w:p>
    <w:p w14:paraId="707FD7C1">
      <w:pPr>
        <w:rPr>
          <w:sz w:val="24"/>
          <w:szCs w:val="24"/>
        </w:rPr>
      </w:pPr>
      <w:r>
        <w:rPr>
          <w:sz w:val="24"/>
          <w:szCs w:val="24"/>
        </w:rPr>
        <w:t>9、在不受到外界破坏情况下，包装应保证自交货日起一年内货物（或设备）完好无损。</w:t>
      </w:r>
    </w:p>
    <w:p w14:paraId="58B58E27">
      <w:pPr>
        <w:rPr>
          <w:sz w:val="24"/>
          <w:szCs w:val="24"/>
        </w:rPr>
      </w:pPr>
      <w:r>
        <w:rPr>
          <w:rFonts w:hint="eastAsia"/>
          <w:sz w:val="24"/>
          <w:szCs w:val="24"/>
        </w:rPr>
        <w:t>五、运输</w:t>
      </w:r>
    </w:p>
    <w:p w14:paraId="664E4DAD">
      <w:pPr>
        <w:rPr>
          <w:sz w:val="24"/>
          <w:szCs w:val="24"/>
        </w:rPr>
      </w:pPr>
      <w:r>
        <w:rPr>
          <w:sz w:val="24"/>
          <w:szCs w:val="24"/>
        </w:rPr>
        <w:t>1、应负责将货物（或设备）运到目的地，并必须做到货物（或设备）在任何运输过程中不受损坏和遗失。</w:t>
      </w:r>
    </w:p>
    <w:p w14:paraId="40353E7F">
      <w:pPr>
        <w:rPr>
          <w:sz w:val="24"/>
          <w:szCs w:val="24"/>
        </w:rPr>
      </w:pPr>
      <w:r>
        <w:rPr>
          <w:sz w:val="24"/>
          <w:szCs w:val="24"/>
        </w:rPr>
        <w:t>2、一般情况下，经由铁路、公路运输的包装件尺寸和重量不应超过国家所规定的尺寸限制。特殊情况应予以说明。</w:t>
      </w:r>
    </w:p>
    <w:p w14:paraId="20BDFB35">
      <w:pPr>
        <w:rPr>
          <w:sz w:val="24"/>
          <w:szCs w:val="24"/>
        </w:rPr>
      </w:pPr>
      <w:r>
        <w:rPr>
          <w:sz w:val="24"/>
          <w:szCs w:val="24"/>
        </w:rPr>
        <w:t>3、在每批货物（或设备）发出后，应立即通知买方；通知中应指明：合同号、货运单号、件数、重量和货物（或设备）发出日期等相关内容。</w:t>
      </w:r>
    </w:p>
    <w:p w14:paraId="276E9292">
      <w:pPr>
        <w:rPr>
          <w:sz w:val="24"/>
          <w:szCs w:val="24"/>
        </w:rPr>
      </w:pPr>
      <w:r>
        <w:rPr>
          <w:sz w:val="24"/>
          <w:szCs w:val="24"/>
        </w:rPr>
        <w:t>4、货物（或设备）运抵交货地点后，应负责货物（或设备）的卸货、搬运、保管等事宜；或按照合同约定。</w:t>
      </w:r>
    </w:p>
    <w:p w14:paraId="2E522FD9">
      <w:pPr>
        <w:rPr>
          <w:sz w:val="24"/>
          <w:szCs w:val="24"/>
        </w:rPr>
      </w:pPr>
      <w:r>
        <w:rPr>
          <w:sz w:val="24"/>
          <w:szCs w:val="24"/>
        </w:rPr>
        <w:t>第</w:t>
      </w:r>
      <w:r>
        <w:rPr>
          <w:rFonts w:hint="eastAsia"/>
          <w:sz w:val="24"/>
          <w:szCs w:val="24"/>
        </w:rPr>
        <w:t>四</w:t>
      </w:r>
      <w:r>
        <w:rPr>
          <w:sz w:val="24"/>
          <w:szCs w:val="24"/>
        </w:rPr>
        <w:t>章  质保期及售后服务</w:t>
      </w:r>
    </w:p>
    <w:p w14:paraId="6E33C8B0">
      <w:pPr>
        <w:rPr>
          <w:sz w:val="24"/>
          <w:szCs w:val="24"/>
        </w:rPr>
      </w:pPr>
      <w:r>
        <w:rPr>
          <w:rFonts w:hint="eastAsia"/>
          <w:sz w:val="24"/>
          <w:szCs w:val="24"/>
        </w:rPr>
        <w:t>一、质保期及质保要求</w:t>
      </w:r>
    </w:p>
    <w:p w14:paraId="25881F9A">
      <w:pPr>
        <w:rPr>
          <w:sz w:val="24"/>
          <w:szCs w:val="24"/>
        </w:rPr>
      </w:pPr>
      <w:r>
        <w:rPr>
          <w:sz w:val="24"/>
          <w:szCs w:val="24"/>
        </w:rPr>
        <w:t>1、全部供货范围内的设备、材料、零配件和工器具等，除合同特别约定外，其质保期均自终验收签字生效之日起</w:t>
      </w:r>
      <w:r>
        <w:rPr>
          <w:rFonts w:hint="eastAsia"/>
          <w:sz w:val="24"/>
          <w:szCs w:val="24"/>
          <w:u w:val="single"/>
        </w:rPr>
        <w:t xml:space="preserve"> </w:t>
      </w:r>
      <w:r>
        <w:rPr>
          <w:sz w:val="24"/>
          <w:szCs w:val="24"/>
          <w:u w:val="single"/>
        </w:rPr>
        <w:t>12</w:t>
      </w:r>
      <w:r>
        <w:rPr>
          <w:rFonts w:hint="eastAsia"/>
          <w:sz w:val="24"/>
          <w:szCs w:val="24"/>
          <w:u w:val="single"/>
        </w:rPr>
        <w:t xml:space="preserve"> </w:t>
      </w:r>
      <w:r>
        <w:rPr>
          <w:sz w:val="24"/>
          <w:szCs w:val="24"/>
        </w:rPr>
        <w:t>个月。</w:t>
      </w:r>
    </w:p>
    <w:p w14:paraId="7366C27A">
      <w:pPr>
        <w:rPr>
          <w:sz w:val="24"/>
          <w:szCs w:val="24"/>
        </w:rPr>
      </w:pPr>
      <w:r>
        <w:rPr>
          <w:sz w:val="24"/>
          <w:szCs w:val="24"/>
        </w:rPr>
        <w:t>投标货物或涉及的关键总成和零件，如果有更长时间质保期，允许更改并说明，此将有利于投标方。设计使用寿命短于质保期的易损件除外，但属于易损件的，应当有明确说明。</w:t>
      </w:r>
    </w:p>
    <w:p w14:paraId="3B20649A">
      <w:pPr>
        <w:rPr>
          <w:sz w:val="24"/>
          <w:szCs w:val="24"/>
        </w:rPr>
      </w:pPr>
      <w:r>
        <w:rPr>
          <w:sz w:val="24"/>
          <w:szCs w:val="24"/>
        </w:rPr>
        <w:t>2、质保期之内，如果货物出现设备、总成、关键零部件或者多处一般零部件的二次以上的更换或维修行为，则质保期自更换或维修行为结束、货物重新正常运行使用之日起重新计算。</w:t>
      </w:r>
    </w:p>
    <w:p w14:paraId="1A23D281">
      <w:pPr>
        <w:rPr>
          <w:sz w:val="24"/>
          <w:szCs w:val="24"/>
        </w:rPr>
      </w:pPr>
      <w:r>
        <w:rPr>
          <w:sz w:val="24"/>
          <w:szCs w:val="24"/>
        </w:rPr>
        <w:t>3、质保期内免费提供零部件和及时有效的服务。质保期内因货物本身缺陷造成的各种故障，卖方应负责免费维修和服务。</w:t>
      </w:r>
    </w:p>
    <w:p w14:paraId="7BDDE184">
      <w:pPr>
        <w:rPr>
          <w:sz w:val="24"/>
          <w:szCs w:val="24"/>
        </w:rPr>
      </w:pPr>
      <w:r>
        <w:rPr>
          <w:sz w:val="24"/>
          <w:szCs w:val="24"/>
        </w:rPr>
        <w:t>4、质保期终止之日起一年内重复出现的质保期之内出现的故障，仍属质保范围而且应当免费。</w:t>
      </w:r>
    </w:p>
    <w:p w14:paraId="2A9FFDBD">
      <w:pPr>
        <w:rPr>
          <w:sz w:val="24"/>
          <w:szCs w:val="24"/>
        </w:rPr>
      </w:pPr>
      <w:r>
        <w:rPr>
          <w:rFonts w:hint="eastAsia"/>
          <w:sz w:val="24"/>
          <w:szCs w:val="24"/>
        </w:rPr>
        <w:t>二、技术及培训服务</w:t>
      </w:r>
    </w:p>
    <w:p w14:paraId="38F5C59B">
      <w:pPr>
        <w:rPr>
          <w:sz w:val="24"/>
          <w:szCs w:val="24"/>
        </w:rPr>
      </w:pPr>
      <w:r>
        <w:rPr>
          <w:sz w:val="24"/>
          <w:szCs w:val="24"/>
        </w:rPr>
        <w:t>1</w:t>
      </w:r>
      <w:r>
        <w:rPr>
          <w:rFonts w:hint="eastAsia"/>
          <w:sz w:val="24"/>
          <w:szCs w:val="24"/>
        </w:rPr>
        <w:t>、应负责在买方货物使用现场，对技术、维修和操作人员提供免费的理论、技术和操作、维修等方面的技术指导和培训，并接受买方有关人员的技术咨询。培训工作日不少于</w:t>
      </w:r>
      <w:r>
        <w:rPr>
          <w:rFonts w:hint="eastAsia"/>
          <w:sz w:val="24"/>
          <w:szCs w:val="24"/>
          <w:u w:val="single"/>
        </w:rPr>
        <w:t>3</w:t>
      </w:r>
      <w:r>
        <w:rPr>
          <w:rFonts w:hint="eastAsia"/>
          <w:sz w:val="24"/>
          <w:szCs w:val="24"/>
        </w:rPr>
        <w:t>个工作日。</w:t>
      </w:r>
    </w:p>
    <w:p w14:paraId="5A49ADC6">
      <w:pPr>
        <w:rPr>
          <w:color w:val="FF0000"/>
          <w:sz w:val="24"/>
          <w:szCs w:val="24"/>
        </w:rPr>
      </w:pPr>
      <w:r>
        <w:rPr>
          <w:sz w:val="24"/>
          <w:szCs w:val="24"/>
        </w:rPr>
        <w:t>2、应免费提供</w:t>
      </w:r>
      <w:r>
        <w:rPr>
          <w:rFonts w:hint="eastAsia"/>
          <w:sz w:val="24"/>
          <w:szCs w:val="24"/>
        </w:rPr>
        <w:t>设备操作、维护保养及典型故障排除等方面</w:t>
      </w:r>
      <w:r>
        <w:rPr>
          <w:sz w:val="24"/>
          <w:szCs w:val="24"/>
        </w:rPr>
        <w:t>的培训资料。</w:t>
      </w:r>
    </w:p>
    <w:p w14:paraId="06E813FA">
      <w:pPr>
        <w:rPr>
          <w:sz w:val="24"/>
          <w:szCs w:val="24"/>
        </w:rPr>
      </w:pPr>
      <w:r>
        <w:rPr>
          <w:sz w:val="24"/>
          <w:szCs w:val="24"/>
        </w:rPr>
        <w:t>3、应按要求免费积极协助和提供买方以及买方所委托的工程设计单位有关人员所需要的、与货物有关的工程设计资料、技术咨询等。</w:t>
      </w:r>
    </w:p>
    <w:p w14:paraId="1E8307A5">
      <w:pPr>
        <w:rPr>
          <w:sz w:val="24"/>
          <w:szCs w:val="24"/>
        </w:rPr>
      </w:pPr>
      <w:r>
        <w:rPr>
          <w:sz w:val="24"/>
          <w:szCs w:val="24"/>
        </w:rPr>
        <w:t>4、若卖方提供货物涉及到外购外协货物、而且该货物的技术质量等较为关键时，卖方应能保证得到配套厂家的技术支持，并免费为买方提供技术服务。</w:t>
      </w:r>
    </w:p>
    <w:p w14:paraId="7EBFEC11">
      <w:pPr>
        <w:rPr>
          <w:sz w:val="24"/>
          <w:szCs w:val="24"/>
        </w:rPr>
      </w:pPr>
      <w:r>
        <w:rPr>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524FDE40">
      <w:pPr>
        <w:rPr>
          <w:sz w:val="24"/>
          <w:szCs w:val="24"/>
        </w:rPr>
      </w:pPr>
      <w:r>
        <w:rPr>
          <w:rFonts w:hint="eastAsia"/>
          <w:sz w:val="24"/>
          <w:szCs w:val="24"/>
        </w:rPr>
        <w:t>三、安装调试及验收服务</w:t>
      </w:r>
    </w:p>
    <w:p w14:paraId="7690C2ED">
      <w:pPr>
        <w:rPr>
          <w:sz w:val="24"/>
          <w:szCs w:val="24"/>
        </w:rPr>
      </w:pPr>
      <w:r>
        <w:rPr>
          <w:sz w:val="24"/>
          <w:szCs w:val="24"/>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14:paraId="4CEF3D89">
      <w:pPr>
        <w:rPr>
          <w:sz w:val="24"/>
          <w:szCs w:val="24"/>
        </w:rPr>
      </w:pPr>
      <w:r>
        <w:rPr>
          <w:sz w:val="24"/>
          <w:szCs w:val="24"/>
        </w:rPr>
        <w:t>2、若卖方提供的货物涉及到外购外协货物、而且该货物的技术质量等较为关键时，应保证能得到供应商的技术支持，并免费为买方提供安装使用现场的指导与培训。</w:t>
      </w:r>
    </w:p>
    <w:p w14:paraId="30CB33C4">
      <w:pPr>
        <w:rPr>
          <w:sz w:val="24"/>
          <w:szCs w:val="24"/>
        </w:rPr>
      </w:pPr>
      <w:r>
        <w:rPr>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626C4BD8">
      <w:pPr>
        <w:rPr>
          <w:sz w:val="24"/>
          <w:szCs w:val="24"/>
        </w:rPr>
      </w:pPr>
      <w:r>
        <w:rPr>
          <w:sz w:val="24"/>
          <w:szCs w:val="24"/>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14:paraId="51240FA0">
      <w:pPr>
        <w:rPr>
          <w:sz w:val="24"/>
          <w:szCs w:val="24"/>
        </w:rPr>
      </w:pPr>
      <w:r>
        <w:rPr>
          <w:sz w:val="24"/>
          <w:szCs w:val="24"/>
        </w:rPr>
        <w:t>5、卖方应当向买方提供货物试验、验收的有关标准、规范和方法，同时提供货物涉及并使用的软件合法性证明。</w:t>
      </w:r>
    </w:p>
    <w:p w14:paraId="02E28CD8">
      <w:pPr>
        <w:rPr>
          <w:sz w:val="24"/>
          <w:szCs w:val="24"/>
        </w:rPr>
      </w:pPr>
      <w:r>
        <w:rPr>
          <w:sz w:val="24"/>
          <w:szCs w:val="24"/>
        </w:rPr>
        <w:t>6、服务缺陷视同货物缺陷和履约延期。</w:t>
      </w:r>
    </w:p>
    <w:p w14:paraId="71B20F16">
      <w:pPr>
        <w:rPr>
          <w:sz w:val="24"/>
          <w:szCs w:val="24"/>
        </w:rPr>
      </w:pPr>
      <w:r>
        <w:rPr>
          <w:rFonts w:hint="eastAsia"/>
          <w:sz w:val="24"/>
          <w:szCs w:val="24"/>
        </w:rPr>
        <w:t>四、售后服务</w:t>
      </w:r>
    </w:p>
    <w:p w14:paraId="12004F7A">
      <w:pPr>
        <w:rPr>
          <w:sz w:val="24"/>
          <w:szCs w:val="24"/>
        </w:rPr>
      </w:pPr>
      <w:r>
        <w:rPr>
          <w:sz w:val="24"/>
          <w:szCs w:val="24"/>
        </w:rPr>
        <w:t>1、卖方提供的货物涉及的所有售后服务均由卖方负责。如果发生问题并且收到通知，卖方应当在2小时内予以答复。</w:t>
      </w:r>
    </w:p>
    <w:p w14:paraId="06B03680">
      <w:pPr>
        <w:rPr>
          <w:sz w:val="24"/>
          <w:szCs w:val="24"/>
        </w:rPr>
      </w:pPr>
      <w:r>
        <w:rPr>
          <w:sz w:val="24"/>
          <w:szCs w:val="24"/>
        </w:rPr>
        <w:t>2、</w:t>
      </w:r>
      <w:r>
        <w:rPr>
          <w:rFonts w:hint="eastAsia"/>
          <w:sz w:val="24"/>
          <w:szCs w:val="24"/>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sz w:val="24"/>
          <w:szCs w:val="24"/>
        </w:rPr>
        <w:t>。</w:t>
      </w:r>
    </w:p>
    <w:p w14:paraId="40B8C17A">
      <w:pPr>
        <w:rPr>
          <w:sz w:val="24"/>
          <w:szCs w:val="24"/>
        </w:rPr>
      </w:pPr>
      <w:r>
        <w:rPr>
          <w:sz w:val="24"/>
          <w:szCs w:val="24"/>
        </w:rPr>
        <w:t>3、卖方派往买方使用现场的人员，应具有较高的业务素质；现场解决问题时，不得无故拖延或推迟，应为买方提供最佳的服务。</w:t>
      </w:r>
    </w:p>
    <w:p w14:paraId="17C0B110">
      <w:pPr>
        <w:rPr>
          <w:sz w:val="24"/>
          <w:szCs w:val="24"/>
        </w:rPr>
      </w:pPr>
      <w:r>
        <w:rPr>
          <w:rFonts w:hint="eastAsia"/>
          <w:sz w:val="24"/>
          <w:szCs w:val="24"/>
        </w:rPr>
        <w:t>五、其他服务</w:t>
      </w:r>
    </w:p>
    <w:p w14:paraId="041A885B">
      <w:pPr>
        <w:rPr>
          <w:sz w:val="24"/>
          <w:szCs w:val="24"/>
        </w:rPr>
      </w:pPr>
      <w:r>
        <w:rPr>
          <w:sz w:val="24"/>
          <w:szCs w:val="24"/>
        </w:rPr>
        <w:t>1、若卖方所提供货物有需要进口的，卖方一般应自行、自费办理；必要时，买卖双方共同办理。</w:t>
      </w:r>
    </w:p>
    <w:p w14:paraId="518D228F">
      <w:pPr>
        <w:rPr>
          <w:sz w:val="24"/>
          <w:szCs w:val="24"/>
        </w:rPr>
      </w:pPr>
      <w:r>
        <w:rPr>
          <w:sz w:val="24"/>
          <w:szCs w:val="24"/>
        </w:rPr>
        <w:t>2、除招标档、投标档、答疑档、技术协议、合同等约定之外，卖方应免费负责必要的或强制性的货物的检验、试验、化验等直接费用。</w:t>
      </w:r>
    </w:p>
    <w:p w14:paraId="3520718D">
      <w:pPr>
        <w:rPr>
          <w:sz w:val="24"/>
          <w:szCs w:val="24"/>
        </w:rPr>
      </w:pPr>
      <w:r>
        <w:rPr>
          <w:sz w:val="24"/>
          <w:szCs w:val="24"/>
        </w:rPr>
        <w:t>3、本章节条款所列“免费”，并非指定不可收费，而是指招标档、投标档、答疑档、技术交流档、技术协议书和合同等范围之外，投标方不可另行收取的费用。</w:t>
      </w:r>
    </w:p>
    <w:p w14:paraId="3B03EA5D">
      <w:pPr>
        <w:jc w:val="center"/>
        <w:rPr>
          <w:sz w:val="24"/>
          <w:szCs w:val="24"/>
        </w:rPr>
      </w:pPr>
      <w:r>
        <w:rPr>
          <w:rFonts w:eastAsia="黑体"/>
          <w:bCs/>
          <w:sz w:val="24"/>
          <w:szCs w:val="24"/>
        </w:rPr>
        <w:br w:type="page"/>
      </w:r>
    </w:p>
    <w:p w14:paraId="3700352E">
      <w:pPr>
        <w:spacing w:line="360" w:lineRule="auto"/>
        <w:ind w:firstLine="2711" w:firstLineChars="750"/>
        <w:rPr>
          <w:sz w:val="36"/>
          <w:szCs w:val="36"/>
        </w:rPr>
      </w:pPr>
      <w:r>
        <w:rPr>
          <w:rFonts w:hint="eastAsia" w:ascii="宋体" w:hAnsi="宋体"/>
          <w:b/>
          <w:sz w:val="36"/>
          <w:szCs w:val="36"/>
        </w:rPr>
        <w:t>第六部分</w:t>
      </w:r>
      <w:r>
        <w:rPr>
          <w:rFonts w:hint="eastAsia" w:ascii="宋体" w:hAnsi="宋体"/>
          <w:sz w:val="36"/>
          <w:szCs w:val="36"/>
        </w:rPr>
        <w:t xml:space="preserve">  </w:t>
      </w:r>
      <w:r>
        <w:rPr>
          <w:b/>
          <w:sz w:val="36"/>
          <w:szCs w:val="36"/>
        </w:rPr>
        <w:t>预验收和终验收</w:t>
      </w:r>
    </w:p>
    <w:p w14:paraId="08BE3D1F">
      <w:pPr>
        <w:rPr>
          <w:sz w:val="24"/>
          <w:szCs w:val="24"/>
        </w:rPr>
      </w:pPr>
      <w:r>
        <w:rPr>
          <w:rFonts w:hint="eastAsia"/>
          <w:sz w:val="24"/>
          <w:szCs w:val="24"/>
        </w:rPr>
        <w:t>一、验收依据和验收标准</w:t>
      </w:r>
    </w:p>
    <w:p w14:paraId="607F1645">
      <w:pPr>
        <w:rPr>
          <w:sz w:val="24"/>
          <w:szCs w:val="24"/>
        </w:rPr>
      </w:pPr>
      <w:r>
        <w:rPr>
          <w:sz w:val="24"/>
          <w:szCs w:val="24"/>
        </w:rPr>
        <w:t>1、验收标准一般以技术协议书和合同规定验收。无论技术协议书和合同，是否全部并准确列明验收所涉及的相关标准，均作为验收标准之一。</w:t>
      </w:r>
    </w:p>
    <w:p w14:paraId="6F04F67D">
      <w:pPr>
        <w:rPr>
          <w:sz w:val="24"/>
          <w:szCs w:val="24"/>
        </w:rPr>
      </w:pPr>
      <w:r>
        <w:rPr>
          <w:sz w:val="24"/>
          <w:szCs w:val="24"/>
        </w:rPr>
        <w:t>2、如果验收过程中，发现招标档、投标档、答疑档、技术交流档等与技术协议书、合同存在差异，原则上以涉及条款中对买方最有利条款为验收依据。</w:t>
      </w:r>
    </w:p>
    <w:p w14:paraId="4832B161">
      <w:pPr>
        <w:rPr>
          <w:sz w:val="24"/>
          <w:szCs w:val="24"/>
        </w:rPr>
      </w:pPr>
      <w:r>
        <w:rPr>
          <w:rFonts w:hint="eastAsia"/>
          <w:sz w:val="24"/>
          <w:szCs w:val="24"/>
        </w:rPr>
        <w:t>二、检验</w:t>
      </w:r>
    </w:p>
    <w:p w14:paraId="55C3DE82">
      <w:pPr>
        <w:ind w:firstLine="480" w:firstLineChars="200"/>
        <w:rPr>
          <w:sz w:val="24"/>
          <w:szCs w:val="24"/>
        </w:rPr>
      </w:pPr>
      <w:r>
        <w:rPr>
          <w:sz w:val="24"/>
          <w:szCs w:val="24"/>
        </w:rPr>
        <w:t>如果采购货物涉及必要的或必需的检验，投标方应当在投标档中明确可能涉及的检验费用，并将该费用包含在投标总报价之内；不作针对性澄清或说明的，视同包含在投标总价之内。基本约定如下：</w:t>
      </w:r>
    </w:p>
    <w:p w14:paraId="0936F93B">
      <w:pPr>
        <w:rPr>
          <w:sz w:val="24"/>
          <w:szCs w:val="24"/>
        </w:rPr>
      </w:pPr>
      <w:r>
        <w:rPr>
          <w:sz w:val="24"/>
          <w:szCs w:val="24"/>
        </w:rPr>
        <w:t>1、国产货物的检验一般由买卖双方共同进行或按照合同要求进行。</w:t>
      </w:r>
    </w:p>
    <w:p w14:paraId="6B268A24">
      <w:pPr>
        <w:rPr>
          <w:sz w:val="24"/>
          <w:szCs w:val="24"/>
        </w:rPr>
      </w:pPr>
      <w:r>
        <w:rPr>
          <w:sz w:val="24"/>
          <w:szCs w:val="24"/>
        </w:rPr>
        <w:t>2、进口货物的检验，卖方需要按照下述要求进行：</w:t>
      </w:r>
    </w:p>
    <w:p w14:paraId="2C957150">
      <w:pPr>
        <w:rPr>
          <w:sz w:val="24"/>
          <w:szCs w:val="24"/>
        </w:rPr>
      </w:pPr>
      <w:r>
        <w:rPr>
          <w:sz w:val="24"/>
          <w:szCs w:val="24"/>
        </w:rPr>
        <w:t>2.1  进口货物发货前，应对货物的质量、型号、规格、性能和数量/重量作精密、全面的检验，并出具证明书，证明所供货物符合合同规定。</w:t>
      </w:r>
    </w:p>
    <w:p w14:paraId="7A46E854">
      <w:pPr>
        <w:rPr>
          <w:sz w:val="24"/>
          <w:szCs w:val="24"/>
        </w:rPr>
      </w:pPr>
      <w:r>
        <w:rPr>
          <w:sz w:val="24"/>
          <w:szCs w:val="24"/>
        </w:rPr>
        <w:t>2.2  应依据合同规定的要求，提供买卖双方达成一致的货物的验收标准和装箱单，作为买方检验的依据。</w:t>
      </w:r>
    </w:p>
    <w:p w14:paraId="421CB0B3">
      <w:pPr>
        <w:rPr>
          <w:sz w:val="24"/>
          <w:szCs w:val="24"/>
        </w:rPr>
      </w:pPr>
      <w:r>
        <w:rPr>
          <w:sz w:val="24"/>
          <w:szCs w:val="24"/>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393FAD92">
      <w:pPr>
        <w:pStyle w:val="2"/>
      </w:pPr>
    </w:p>
    <w:p w14:paraId="034E1D3F">
      <w:pPr>
        <w:pStyle w:val="2"/>
      </w:pPr>
    </w:p>
    <w:p w14:paraId="5B174CF4">
      <w:pPr>
        <w:pStyle w:val="2"/>
      </w:pPr>
    </w:p>
    <w:p w14:paraId="74C8DF47">
      <w:pPr>
        <w:pStyle w:val="2"/>
      </w:pPr>
    </w:p>
    <w:p w14:paraId="3C450923">
      <w:pPr>
        <w:spacing w:line="360" w:lineRule="auto"/>
        <w:rPr>
          <w:sz w:val="24"/>
          <w:szCs w:val="24"/>
        </w:rPr>
      </w:pPr>
      <w:r>
        <w:rPr>
          <w:rFonts w:hint="eastAsia"/>
          <w:sz w:val="24"/>
          <w:szCs w:val="24"/>
        </w:rPr>
        <w:t xml:space="preserve">三、 </w:t>
      </w:r>
      <w:r>
        <w:rPr>
          <w:sz w:val="24"/>
          <w:szCs w:val="24"/>
        </w:rPr>
        <w:t>预验收和终验收</w:t>
      </w:r>
    </w:p>
    <w:p w14:paraId="1682E6A7">
      <w:pPr>
        <w:spacing w:line="360" w:lineRule="auto"/>
        <w:rPr>
          <w:sz w:val="24"/>
          <w:szCs w:val="24"/>
        </w:rPr>
      </w:pPr>
      <w:r>
        <w:rPr>
          <w:sz w:val="24"/>
          <w:szCs w:val="24"/>
        </w:rPr>
        <w:t>1</w:t>
      </w:r>
      <w:r>
        <w:rPr>
          <w:rFonts w:hint="eastAsia"/>
          <w:sz w:val="24"/>
          <w:szCs w:val="24"/>
        </w:rPr>
        <w:t>、</w:t>
      </w:r>
      <w:r>
        <w:rPr>
          <w:sz w:val="24"/>
          <w:szCs w:val="24"/>
        </w:rPr>
        <w:t xml:space="preserve"> 预验收一般条件</w:t>
      </w:r>
    </w:p>
    <w:p w14:paraId="6AF42DE3">
      <w:pPr>
        <w:spacing w:line="360" w:lineRule="auto"/>
        <w:rPr>
          <w:sz w:val="24"/>
          <w:szCs w:val="24"/>
        </w:rPr>
      </w:pPr>
      <w:r>
        <w:rPr>
          <w:rFonts w:hint="eastAsia"/>
          <w:sz w:val="24"/>
          <w:szCs w:val="24"/>
        </w:rPr>
        <w:t>（1）</w:t>
      </w:r>
      <w:r>
        <w:rPr>
          <w:sz w:val="24"/>
          <w:szCs w:val="24"/>
        </w:rPr>
        <w:t>卖方已经按照“供货范围”要求提供了预验收资料，并且资料齐全、完整和有效。</w:t>
      </w:r>
    </w:p>
    <w:p w14:paraId="5F6660E8">
      <w:pPr>
        <w:spacing w:line="360" w:lineRule="auto"/>
        <w:rPr>
          <w:sz w:val="24"/>
          <w:szCs w:val="24"/>
        </w:rPr>
      </w:pPr>
      <w:r>
        <w:rPr>
          <w:rFonts w:hint="eastAsia"/>
          <w:sz w:val="24"/>
          <w:szCs w:val="24"/>
        </w:rPr>
        <w:t>（2）</w:t>
      </w:r>
      <w:r>
        <w:rPr>
          <w:sz w:val="24"/>
          <w:szCs w:val="24"/>
        </w:rPr>
        <w:t>货物应完整且所有的零部件应该安装牢固，外观无损伤，所有的焊缝饱满、无残渣等缺陷。</w:t>
      </w:r>
    </w:p>
    <w:p w14:paraId="481332EC">
      <w:pPr>
        <w:pStyle w:val="2"/>
        <w:rPr>
          <w:sz w:val="24"/>
          <w:szCs w:val="24"/>
        </w:rPr>
      </w:pPr>
      <w:r>
        <w:rPr>
          <w:rFonts w:hint="eastAsia"/>
          <w:sz w:val="24"/>
          <w:szCs w:val="24"/>
        </w:rPr>
        <w:t>（3）2套砂芯定位校准装置、3套托板定位装置、4套循环辊道线缓冲装置、1副615缸盖芯转运夹具发货前须手动通气测试，所有运动部件要求运行顺畅，动作无误。</w:t>
      </w:r>
    </w:p>
    <w:p w14:paraId="7CB84182">
      <w:pPr>
        <w:spacing w:line="360" w:lineRule="auto"/>
        <w:rPr>
          <w:sz w:val="24"/>
          <w:szCs w:val="24"/>
        </w:rPr>
      </w:pPr>
      <w:r>
        <w:rPr>
          <w:rFonts w:hint="eastAsia"/>
          <w:sz w:val="24"/>
          <w:szCs w:val="24"/>
        </w:rPr>
        <w:t>（4）</w:t>
      </w:r>
      <w:r>
        <w:rPr>
          <w:sz w:val="24"/>
          <w:szCs w:val="24"/>
        </w:rPr>
        <w:t>所有的传动部分、管路和线路等，接头应完整、可靠地联接；应排列有序（正确、牢固、整齐），有必要的防护，无皱褶、收缩和裂缝等不良现象。</w:t>
      </w:r>
    </w:p>
    <w:p w14:paraId="5D268CE1">
      <w:pPr>
        <w:spacing w:line="360" w:lineRule="auto"/>
        <w:rPr>
          <w:sz w:val="24"/>
          <w:szCs w:val="24"/>
        </w:rPr>
      </w:pPr>
      <w:r>
        <w:rPr>
          <w:rFonts w:hint="eastAsia"/>
          <w:sz w:val="24"/>
          <w:szCs w:val="24"/>
        </w:rPr>
        <w:t>（5）</w:t>
      </w:r>
      <w:r>
        <w:rPr>
          <w:sz w:val="24"/>
          <w:szCs w:val="24"/>
        </w:rPr>
        <w:t>货物的润滑系统工作正常、可靠，润滑点易于到达。</w:t>
      </w:r>
    </w:p>
    <w:p w14:paraId="064102DB">
      <w:pPr>
        <w:spacing w:line="360" w:lineRule="auto"/>
        <w:rPr>
          <w:sz w:val="24"/>
          <w:szCs w:val="24"/>
        </w:rPr>
      </w:pPr>
      <w:r>
        <w:rPr>
          <w:rFonts w:hint="eastAsia"/>
          <w:sz w:val="24"/>
          <w:szCs w:val="24"/>
        </w:rPr>
        <w:t>（6）</w:t>
      </w:r>
      <w:r>
        <w:rPr>
          <w:sz w:val="24"/>
          <w:szCs w:val="24"/>
        </w:rPr>
        <w:t>货物的油漆质量应饱满、有光泽，无掉漆、无色差、无“桔皮”等不良现象（特殊标志除外）。</w:t>
      </w:r>
    </w:p>
    <w:p w14:paraId="6AEC8D62">
      <w:pPr>
        <w:spacing w:line="360" w:lineRule="auto"/>
        <w:rPr>
          <w:sz w:val="24"/>
          <w:szCs w:val="24"/>
        </w:rPr>
      </w:pPr>
      <w:r>
        <w:rPr>
          <w:rFonts w:hint="eastAsia"/>
          <w:sz w:val="24"/>
          <w:szCs w:val="24"/>
        </w:rPr>
        <w:t>（7）</w:t>
      </w:r>
      <w:r>
        <w:rPr>
          <w:sz w:val="24"/>
          <w:szCs w:val="24"/>
        </w:rPr>
        <w:t>货物标牌完整、清晰、明确。</w:t>
      </w:r>
    </w:p>
    <w:p w14:paraId="2740C6BC">
      <w:pPr>
        <w:spacing w:line="360" w:lineRule="auto"/>
        <w:rPr>
          <w:sz w:val="24"/>
          <w:szCs w:val="24"/>
        </w:rPr>
      </w:pPr>
      <w:r>
        <w:rPr>
          <w:rFonts w:hint="eastAsia"/>
          <w:sz w:val="24"/>
          <w:szCs w:val="24"/>
        </w:rPr>
        <w:t>（8）</w:t>
      </w:r>
      <w:r>
        <w:rPr>
          <w:sz w:val="24"/>
          <w:szCs w:val="24"/>
        </w:rPr>
        <w:t>货物的安全要求符合中国最新的相关法律、法规、标准和规范以及合同要求。</w:t>
      </w:r>
    </w:p>
    <w:p w14:paraId="6F0468B0">
      <w:pPr>
        <w:spacing w:line="360" w:lineRule="auto"/>
        <w:rPr>
          <w:sz w:val="24"/>
          <w:szCs w:val="24"/>
        </w:rPr>
      </w:pPr>
      <w:r>
        <w:rPr>
          <w:sz w:val="24"/>
          <w:szCs w:val="24"/>
        </w:rPr>
        <w:t>2</w:t>
      </w:r>
      <w:r>
        <w:rPr>
          <w:rFonts w:hint="eastAsia"/>
          <w:sz w:val="24"/>
          <w:szCs w:val="24"/>
        </w:rPr>
        <w:t>、</w:t>
      </w:r>
      <w:r>
        <w:rPr>
          <w:sz w:val="24"/>
          <w:szCs w:val="24"/>
        </w:rPr>
        <w:t>终验收一般条件</w:t>
      </w:r>
    </w:p>
    <w:p w14:paraId="0AF6C852">
      <w:pPr>
        <w:spacing w:line="360" w:lineRule="auto"/>
        <w:rPr>
          <w:sz w:val="24"/>
          <w:szCs w:val="24"/>
        </w:rPr>
      </w:pPr>
      <w:r>
        <w:rPr>
          <w:rFonts w:hint="eastAsia"/>
          <w:sz w:val="24"/>
          <w:szCs w:val="24"/>
        </w:rPr>
        <w:t>（1）</w:t>
      </w:r>
      <w:r>
        <w:rPr>
          <w:sz w:val="24"/>
          <w:szCs w:val="24"/>
        </w:rPr>
        <w:t xml:space="preserve"> 经过预验收而且没有出现新的质量问题，或者满足预验收条款。</w:t>
      </w:r>
    </w:p>
    <w:p w14:paraId="4658DC87">
      <w:pPr>
        <w:spacing w:line="360" w:lineRule="auto"/>
        <w:rPr>
          <w:sz w:val="24"/>
          <w:szCs w:val="24"/>
        </w:rPr>
      </w:pPr>
      <w:r>
        <w:rPr>
          <w:rFonts w:hint="eastAsia"/>
          <w:sz w:val="24"/>
          <w:szCs w:val="24"/>
        </w:rPr>
        <w:t>（</w:t>
      </w:r>
      <w:r>
        <w:rPr>
          <w:sz w:val="24"/>
          <w:szCs w:val="24"/>
        </w:rPr>
        <w:t>2</w:t>
      </w:r>
      <w:r>
        <w:rPr>
          <w:rFonts w:hint="eastAsia"/>
          <w:sz w:val="24"/>
          <w:szCs w:val="24"/>
        </w:rPr>
        <w:t>）</w:t>
      </w:r>
      <w:r>
        <w:rPr>
          <w:sz w:val="24"/>
          <w:szCs w:val="24"/>
        </w:rPr>
        <w:t>货物正常运行时，噪声等环境影响因素满足国家和当地环保主管部门规定，安全措施落实、有效。</w:t>
      </w:r>
    </w:p>
    <w:p w14:paraId="2E17E612">
      <w:pPr>
        <w:spacing w:line="360" w:lineRule="auto"/>
        <w:rPr>
          <w:sz w:val="24"/>
          <w:szCs w:val="24"/>
        </w:rPr>
      </w:pPr>
      <w:r>
        <w:rPr>
          <w:rFonts w:hint="eastAsia"/>
          <w:sz w:val="24"/>
          <w:szCs w:val="24"/>
        </w:rPr>
        <w:t>（</w:t>
      </w:r>
      <w:r>
        <w:rPr>
          <w:sz w:val="24"/>
          <w:szCs w:val="24"/>
        </w:rPr>
        <w:t>3</w:t>
      </w:r>
      <w:r>
        <w:rPr>
          <w:rFonts w:hint="eastAsia"/>
          <w:sz w:val="24"/>
          <w:szCs w:val="24"/>
        </w:rPr>
        <w:t>）</w:t>
      </w:r>
      <w:r>
        <w:rPr>
          <w:sz w:val="24"/>
          <w:szCs w:val="24"/>
        </w:rPr>
        <w:t>计量仪器、仪表配套合理，采用中国的法定计量单位，计量准确、灵敏可靠。保证设计指标和仪器说明书的参数的实现。</w:t>
      </w:r>
    </w:p>
    <w:p w14:paraId="6C18CE6F">
      <w:pPr>
        <w:spacing w:line="360" w:lineRule="auto"/>
        <w:rPr>
          <w:sz w:val="24"/>
          <w:szCs w:val="24"/>
        </w:rPr>
      </w:pPr>
      <w:r>
        <w:rPr>
          <w:rFonts w:hint="eastAsia"/>
          <w:sz w:val="24"/>
          <w:szCs w:val="24"/>
        </w:rPr>
        <w:t>（</w:t>
      </w:r>
      <w:r>
        <w:rPr>
          <w:sz w:val="24"/>
          <w:szCs w:val="24"/>
        </w:rPr>
        <w:t>4</w:t>
      </w:r>
      <w:r>
        <w:rPr>
          <w:rFonts w:hint="eastAsia"/>
          <w:sz w:val="24"/>
          <w:szCs w:val="24"/>
        </w:rPr>
        <w:t>）</w:t>
      </w:r>
      <w:r>
        <w:rPr>
          <w:sz w:val="24"/>
          <w:szCs w:val="24"/>
        </w:rPr>
        <w:t>试运行期间或之后无维修、调整等行为（特殊情况除外）。</w:t>
      </w:r>
    </w:p>
    <w:p w14:paraId="26E4D35F">
      <w:pPr>
        <w:spacing w:line="360" w:lineRule="auto"/>
        <w:rPr>
          <w:sz w:val="24"/>
          <w:szCs w:val="24"/>
        </w:rPr>
      </w:pPr>
      <w:r>
        <w:rPr>
          <w:rFonts w:hint="eastAsia"/>
          <w:sz w:val="24"/>
          <w:szCs w:val="24"/>
        </w:rPr>
        <w:t>（</w:t>
      </w:r>
      <w:r>
        <w:rPr>
          <w:sz w:val="24"/>
          <w:szCs w:val="24"/>
        </w:rPr>
        <w:t>5</w:t>
      </w:r>
      <w:r>
        <w:rPr>
          <w:rFonts w:hint="eastAsia"/>
          <w:sz w:val="24"/>
          <w:szCs w:val="24"/>
        </w:rPr>
        <w:t>）能自动连续运行</w:t>
      </w:r>
      <w:r>
        <w:rPr>
          <w:sz w:val="24"/>
          <w:szCs w:val="24"/>
        </w:rPr>
        <w:t>，</w:t>
      </w:r>
      <w:r>
        <w:rPr>
          <w:rFonts w:hint="eastAsia"/>
          <w:sz w:val="24"/>
          <w:szCs w:val="24"/>
        </w:rPr>
        <w:t>主要工艺参数</w:t>
      </w:r>
      <w:r>
        <w:rPr>
          <w:sz w:val="24"/>
          <w:szCs w:val="24"/>
        </w:rPr>
        <w:t>达到签订的技术协议书和合同规定的终验收标准。</w:t>
      </w:r>
    </w:p>
    <w:p w14:paraId="4ABECDBE">
      <w:pPr>
        <w:spacing w:line="360" w:lineRule="auto"/>
        <w:rPr>
          <w:sz w:val="24"/>
          <w:szCs w:val="24"/>
        </w:rPr>
      </w:pPr>
      <w:r>
        <w:rPr>
          <w:sz w:val="24"/>
          <w:szCs w:val="24"/>
        </w:rPr>
        <w:t>3</w:t>
      </w:r>
      <w:r>
        <w:rPr>
          <w:rFonts w:hint="eastAsia"/>
          <w:sz w:val="24"/>
          <w:szCs w:val="24"/>
        </w:rPr>
        <w:t>、</w:t>
      </w:r>
      <w:r>
        <w:rPr>
          <w:sz w:val="24"/>
          <w:szCs w:val="24"/>
        </w:rPr>
        <w:t>终验收基本要求</w:t>
      </w:r>
    </w:p>
    <w:p w14:paraId="192503BC">
      <w:pPr>
        <w:spacing w:line="360" w:lineRule="auto"/>
        <w:rPr>
          <w:sz w:val="24"/>
          <w:szCs w:val="24"/>
        </w:rPr>
      </w:pPr>
      <w:r>
        <w:rPr>
          <w:rFonts w:hint="eastAsia"/>
          <w:sz w:val="24"/>
          <w:szCs w:val="24"/>
        </w:rPr>
        <w:t>（1）</w:t>
      </w:r>
      <w:r>
        <w:rPr>
          <w:sz w:val="24"/>
          <w:szCs w:val="24"/>
        </w:rPr>
        <w:t>升降台</w:t>
      </w:r>
      <w:r>
        <w:rPr>
          <w:rFonts w:hint="eastAsia"/>
          <w:sz w:val="24"/>
          <w:szCs w:val="24"/>
        </w:rPr>
        <w:t>、机器人夹具快换定位储存系统、砂芯转运中转台、砂芯定位校准装置、托板定位装置、循环辊道线缓冲装置、安全围栏等新增设备完成安装并与现有设备（</w:t>
      </w:r>
      <w:r>
        <w:rPr>
          <w:sz w:val="24"/>
          <w:szCs w:val="24"/>
        </w:rPr>
        <w:t>2条组芯线、1台表干炉、1条循环辊道线、1条砂芯合芯输送及下芯系统、BMD造型线、5台机器人等）</w:t>
      </w:r>
      <w:r>
        <w:rPr>
          <w:rFonts w:hint="eastAsia"/>
          <w:sz w:val="24"/>
          <w:szCs w:val="24"/>
        </w:rPr>
        <w:t>已完成数据交换接口并可联动生产。</w:t>
      </w:r>
    </w:p>
    <w:p w14:paraId="7F71A422">
      <w:pPr>
        <w:spacing w:line="360" w:lineRule="auto"/>
        <w:rPr>
          <w:sz w:val="24"/>
          <w:szCs w:val="24"/>
        </w:rPr>
      </w:pPr>
      <w:r>
        <w:rPr>
          <w:rFonts w:hint="eastAsia"/>
          <w:sz w:val="24"/>
          <w:szCs w:val="24"/>
        </w:rPr>
        <w:t>（</w:t>
      </w:r>
      <w:r>
        <w:rPr>
          <w:sz w:val="24"/>
          <w:szCs w:val="24"/>
        </w:rPr>
        <w:t>2</w:t>
      </w:r>
      <w:r>
        <w:rPr>
          <w:rFonts w:hint="eastAsia"/>
          <w:sz w:val="24"/>
          <w:szCs w:val="24"/>
        </w:rPr>
        <w:t>）主要工艺参数</w:t>
      </w:r>
      <w:r>
        <w:rPr>
          <w:sz w:val="24"/>
          <w:szCs w:val="24"/>
        </w:rPr>
        <w:t>达到签订的技术协议和合同规定的终验收标准</w:t>
      </w:r>
      <w:r>
        <w:rPr>
          <w:rFonts w:hint="eastAsia"/>
          <w:sz w:val="24"/>
          <w:szCs w:val="24"/>
        </w:rPr>
        <w:t>。</w:t>
      </w:r>
    </w:p>
    <w:p w14:paraId="2C0AF5E3">
      <w:pPr>
        <w:pStyle w:val="2"/>
        <w:rPr>
          <w:sz w:val="24"/>
          <w:szCs w:val="24"/>
        </w:rPr>
      </w:pPr>
      <w:r>
        <w:rPr>
          <w:rFonts w:hint="eastAsia"/>
          <w:sz w:val="24"/>
          <w:szCs w:val="24"/>
        </w:rPr>
        <w:t>（</w:t>
      </w:r>
      <w:r>
        <w:rPr>
          <w:sz w:val="24"/>
          <w:szCs w:val="24"/>
        </w:rPr>
        <w:t>3</w:t>
      </w:r>
      <w:r>
        <w:rPr>
          <w:rFonts w:hint="eastAsia"/>
          <w:sz w:val="24"/>
          <w:szCs w:val="24"/>
        </w:rPr>
        <w:t>）</w:t>
      </w:r>
      <w:r>
        <w:rPr>
          <w:sz w:val="24"/>
          <w:szCs w:val="24"/>
        </w:rPr>
        <w:t>整线</w:t>
      </w:r>
      <w:r>
        <w:rPr>
          <w:rFonts w:hint="eastAsia"/>
          <w:sz w:val="24"/>
          <w:szCs w:val="24"/>
        </w:rPr>
        <w:t>试生产10工作日，无</w:t>
      </w:r>
      <w:r>
        <w:rPr>
          <w:sz w:val="24"/>
          <w:szCs w:val="24"/>
        </w:rPr>
        <w:t>发生关键零部件损坏或重大故障</w:t>
      </w:r>
      <w:r>
        <w:rPr>
          <w:rFonts w:hint="eastAsia"/>
          <w:sz w:val="24"/>
          <w:szCs w:val="24"/>
        </w:rPr>
        <w:t>出现</w:t>
      </w:r>
      <w:r>
        <w:rPr>
          <w:sz w:val="24"/>
          <w:szCs w:val="24"/>
        </w:rPr>
        <w:t>。</w:t>
      </w:r>
    </w:p>
    <w:p w14:paraId="7AF5459B">
      <w:pPr>
        <w:spacing w:line="360" w:lineRule="auto"/>
        <w:rPr>
          <w:sz w:val="24"/>
          <w:szCs w:val="24"/>
        </w:rPr>
      </w:pPr>
      <w:r>
        <w:rPr>
          <w:rFonts w:hint="eastAsia"/>
          <w:sz w:val="24"/>
          <w:szCs w:val="24"/>
        </w:rPr>
        <w:t>（</w:t>
      </w:r>
      <w:r>
        <w:rPr>
          <w:sz w:val="24"/>
          <w:szCs w:val="24"/>
        </w:rPr>
        <w:t>4</w:t>
      </w:r>
      <w:r>
        <w:rPr>
          <w:rFonts w:hint="eastAsia"/>
          <w:sz w:val="24"/>
          <w:szCs w:val="24"/>
        </w:rPr>
        <w:t>）</w:t>
      </w:r>
      <w:r>
        <w:rPr>
          <w:sz w:val="24"/>
          <w:szCs w:val="24"/>
        </w:rPr>
        <w:t>出现下列问题之一，视作验收失败：</w:t>
      </w:r>
    </w:p>
    <w:p w14:paraId="305EBF02">
      <w:pPr>
        <w:pStyle w:val="62"/>
        <w:numPr>
          <w:ilvl w:val="0"/>
          <w:numId w:val="32"/>
        </w:numPr>
        <w:ind w:firstLine="480"/>
        <w:rPr>
          <w:sz w:val="24"/>
          <w:szCs w:val="24"/>
        </w:rPr>
      </w:pPr>
      <w:r>
        <w:rPr>
          <w:rFonts w:hint="eastAsia"/>
          <w:sz w:val="24"/>
          <w:szCs w:val="24"/>
        </w:rPr>
        <w:t>设备验收时，其参数无法满足招标书中的技术要求。</w:t>
      </w:r>
    </w:p>
    <w:p w14:paraId="2567BF7D">
      <w:pPr>
        <w:pStyle w:val="62"/>
        <w:numPr>
          <w:ilvl w:val="0"/>
          <w:numId w:val="32"/>
        </w:numPr>
        <w:ind w:firstLine="480"/>
        <w:rPr>
          <w:sz w:val="24"/>
          <w:szCs w:val="24"/>
        </w:rPr>
      </w:pPr>
      <w:r>
        <w:rPr>
          <w:rFonts w:hint="eastAsia"/>
          <w:sz w:val="24"/>
          <w:szCs w:val="24"/>
        </w:rPr>
        <w:t>在整个验收过程中发生关键零部件损坏或重大故障。</w:t>
      </w:r>
    </w:p>
    <w:p w14:paraId="7632430B">
      <w:pPr>
        <w:pStyle w:val="62"/>
        <w:numPr>
          <w:ilvl w:val="0"/>
          <w:numId w:val="32"/>
        </w:numPr>
        <w:ind w:firstLine="480"/>
        <w:rPr>
          <w:sz w:val="24"/>
          <w:szCs w:val="24"/>
        </w:rPr>
      </w:pPr>
      <w:r>
        <w:rPr>
          <w:rFonts w:hint="eastAsia"/>
          <w:sz w:val="24"/>
          <w:szCs w:val="24"/>
        </w:rPr>
        <w:t>更换的零部件货值超过总货值的</w:t>
      </w:r>
      <w:r>
        <w:rPr>
          <w:sz w:val="24"/>
          <w:szCs w:val="24"/>
        </w:rPr>
        <w:t>2</w:t>
      </w:r>
      <w:r>
        <w:rPr>
          <w:rFonts w:hint="eastAsia"/>
          <w:sz w:val="24"/>
          <w:szCs w:val="24"/>
        </w:rPr>
        <w:t>%。</w:t>
      </w:r>
    </w:p>
    <w:p w14:paraId="2C90711B">
      <w:pPr>
        <w:pStyle w:val="62"/>
        <w:numPr>
          <w:ilvl w:val="0"/>
          <w:numId w:val="32"/>
        </w:numPr>
        <w:ind w:firstLine="480"/>
        <w:rPr>
          <w:sz w:val="24"/>
          <w:szCs w:val="24"/>
        </w:rPr>
      </w:pPr>
      <w:r>
        <w:rPr>
          <w:rFonts w:hint="eastAsia"/>
          <w:sz w:val="24"/>
          <w:szCs w:val="24"/>
        </w:rPr>
        <w:t>累计负载运行实际性能（或生产率）达不到合同规定。</w:t>
      </w:r>
    </w:p>
    <w:p w14:paraId="50289BF1">
      <w:pPr>
        <w:pStyle w:val="62"/>
        <w:numPr>
          <w:ilvl w:val="0"/>
          <w:numId w:val="32"/>
        </w:numPr>
        <w:ind w:firstLine="480"/>
        <w:rPr>
          <w:sz w:val="24"/>
          <w:szCs w:val="24"/>
        </w:rPr>
      </w:pPr>
      <w:r>
        <w:rPr>
          <w:rFonts w:hint="eastAsia"/>
          <w:sz w:val="24"/>
          <w:szCs w:val="24"/>
        </w:rPr>
        <w:t>终验收原则上要求一次完成。若一次验收不成功，最多允许两次；如果出现第三次验收失败，重新作价或退货。</w:t>
      </w:r>
    </w:p>
    <w:p w14:paraId="6E05AF19">
      <w:pPr>
        <w:spacing w:line="360" w:lineRule="auto"/>
        <w:rPr>
          <w:sz w:val="24"/>
          <w:szCs w:val="24"/>
          <w:highlight w:val="yellow"/>
        </w:rPr>
      </w:pPr>
      <w:r>
        <w:rPr>
          <w:rFonts w:hint="eastAsia"/>
          <w:sz w:val="24"/>
          <w:szCs w:val="24"/>
        </w:rPr>
        <w:t>（</w:t>
      </w:r>
      <w:r>
        <w:rPr>
          <w:sz w:val="24"/>
          <w:szCs w:val="24"/>
        </w:rPr>
        <w:t>5</w:t>
      </w:r>
      <w:r>
        <w:rPr>
          <w:rFonts w:hint="eastAsia"/>
          <w:sz w:val="24"/>
          <w:szCs w:val="24"/>
        </w:rPr>
        <w:t>）</w:t>
      </w:r>
      <w:r>
        <w:rPr>
          <w:sz w:val="24"/>
          <w:szCs w:val="24"/>
        </w:rPr>
        <w:t>终验收通过后买卖双方共同签署终验收报告，并移交、核对全部供货范围内物品。</w:t>
      </w:r>
    </w:p>
    <w:p w14:paraId="6291A10F">
      <w:pPr>
        <w:spacing w:line="360" w:lineRule="auto"/>
        <w:rPr>
          <w:sz w:val="24"/>
          <w:szCs w:val="24"/>
        </w:rPr>
      </w:pPr>
      <w:r>
        <w:rPr>
          <w:rFonts w:hint="eastAsia"/>
          <w:sz w:val="24"/>
          <w:szCs w:val="24"/>
        </w:rPr>
        <w:t>（</w:t>
      </w:r>
      <w:r>
        <w:rPr>
          <w:sz w:val="24"/>
          <w:szCs w:val="24"/>
        </w:rPr>
        <w:t>6</w:t>
      </w:r>
      <w:r>
        <w:rPr>
          <w:rFonts w:hint="eastAsia"/>
          <w:sz w:val="24"/>
          <w:szCs w:val="24"/>
        </w:rPr>
        <w:t>）</w:t>
      </w:r>
      <w:r>
        <w:rPr>
          <w:sz w:val="24"/>
          <w:szCs w:val="24"/>
        </w:rPr>
        <w:t>终验收结束，卖方需按双方约定提供备品备件。</w:t>
      </w:r>
    </w:p>
    <w:p w14:paraId="36B3E5AD">
      <w:pPr>
        <w:pStyle w:val="2"/>
        <w:rPr>
          <w:highlight w:val="yellow"/>
        </w:rPr>
      </w:pPr>
    </w:p>
    <w:p w14:paraId="7B2E4E8E">
      <w:pPr>
        <w:pStyle w:val="2"/>
        <w:rPr>
          <w:highlight w:val="yellow"/>
        </w:rPr>
      </w:pPr>
    </w:p>
    <w:p w14:paraId="1715574D">
      <w:pPr>
        <w:pStyle w:val="2"/>
        <w:rPr>
          <w:highlight w:val="yellow"/>
        </w:rPr>
      </w:pPr>
    </w:p>
    <w:p w14:paraId="14E2C275">
      <w:pPr>
        <w:pStyle w:val="2"/>
        <w:rPr>
          <w:highlight w:val="yellow"/>
        </w:rPr>
      </w:pPr>
    </w:p>
    <w:p w14:paraId="61BC439D">
      <w:pPr>
        <w:rPr>
          <w:sz w:val="24"/>
          <w:szCs w:val="24"/>
        </w:rPr>
      </w:pPr>
      <w:r>
        <w:rPr>
          <w:sz w:val="24"/>
          <w:szCs w:val="24"/>
        </w:rPr>
        <w:t>第</w:t>
      </w:r>
      <w:r>
        <w:rPr>
          <w:rFonts w:hint="eastAsia"/>
          <w:sz w:val="24"/>
          <w:szCs w:val="24"/>
        </w:rPr>
        <w:t>六</w:t>
      </w:r>
      <w:r>
        <w:rPr>
          <w:sz w:val="24"/>
          <w:szCs w:val="24"/>
        </w:rPr>
        <w:t>章  投标技术档一般要求</w:t>
      </w:r>
    </w:p>
    <w:p w14:paraId="6ED44434">
      <w:pPr>
        <w:rPr>
          <w:sz w:val="24"/>
          <w:szCs w:val="24"/>
        </w:rPr>
      </w:pPr>
      <w:r>
        <w:rPr>
          <w:rFonts w:hint="eastAsia"/>
          <w:sz w:val="24"/>
          <w:szCs w:val="24"/>
        </w:rPr>
        <w:t>一、技术档一般内容要求</w:t>
      </w:r>
    </w:p>
    <w:p w14:paraId="6976D329">
      <w:pPr>
        <w:rPr>
          <w:sz w:val="24"/>
          <w:szCs w:val="24"/>
        </w:rPr>
      </w:pPr>
      <w:r>
        <w:rPr>
          <w:sz w:val="24"/>
          <w:szCs w:val="24"/>
        </w:rPr>
        <w:t>1、投标方应认真阅读招标档和本技术标书，并按要求编写投标技术档。</w:t>
      </w:r>
    </w:p>
    <w:p w14:paraId="6C5FA353">
      <w:pPr>
        <w:rPr>
          <w:sz w:val="24"/>
          <w:szCs w:val="24"/>
        </w:rPr>
      </w:pPr>
      <w:r>
        <w:rPr>
          <w:sz w:val="24"/>
          <w:szCs w:val="24"/>
        </w:rPr>
        <w:t>2、投标技术档至少应对投标货物的功能用途、技术性能、质量标准、技术参数等作出详细说明。</w:t>
      </w:r>
    </w:p>
    <w:p w14:paraId="433012A9">
      <w:pPr>
        <w:rPr>
          <w:sz w:val="24"/>
          <w:szCs w:val="24"/>
        </w:rPr>
      </w:pPr>
      <w:r>
        <w:rPr>
          <w:sz w:val="24"/>
          <w:szCs w:val="24"/>
        </w:rPr>
        <w:t>3、投标技术档至少应根据投标货物的关键设备、总成、零部件或系统作出满足或优于招标档要求的详细说明。</w:t>
      </w:r>
    </w:p>
    <w:p w14:paraId="1AD601F2">
      <w:pPr>
        <w:rPr>
          <w:sz w:val="24"/>
          <w:szCs w:val="24"/>
        </w:rPr>
      </w:pPr>
      <w:r>
        <w:rPr>
          <w:sz w:val="24"/>
          <w:szCs w:val="24"/>
        </w:rPr>
        <w:t>4、投标技术档至少应按照招标档要求（或投标方建议）列明备品备件、易损件和专用耗材明细。</w:t>
      </w:r>
    </w:p>
    <w:p w14:paraId="29A72084">
      <w:pPr>
        <w:rPr>
          <w:sz w:val="24"/>
          <w:szCs w:val="24"/>
        </w:rPr>
      </w:pPr>
      <w:r>
        <w:rPr>
          <w:sz w:val="24"/>
          <w:szCs w:val="24"/>
        </w:rPr>
        <w:t>5、投标方应当而且必须分别说明所列备品备件、易损件和专用耗材的使用寿命（以有效工作小时数说明）。</w:t>
      </w:r>
    </w:p>
    <w:p w14:paraId="2BB1B81F">
      <w:pPr>
        <w:rPr>
          <w:sz w:val="24"/>
          <w:szCs w:val="24"/>
        </w:rPr>
      </w:pPr>
      <w:r>
        <w:rPr>
          <w:sz w:val="24"/>
          <w:szCs w:val="24"/>
        </w:rPr>
        <w:t>6</w:t>
      </w:r>
      <w:r>
        <w:rPr>
          <w:rFonts w:hint="eastAsia"/>
          <w:sz w:val="24"/>
          <w:szCs w:val="24"/>
        </w:rPr>
        <w:t>、</w:t>
      </w:r>
      <w:r>
        <w:rPr>
          <w:sz w:val="24"/>
          <w:szCs w:val="24"/>
        </w:rPr>
        <w:t>“开标一览表”和“明细表”仅作为投标方编制投标技术档的一般格式。其中序号编写应当便于招标方了解分类或分项货物之间的所属关系，如1、1.1、1.2。</w:t>
      </w:r>
    </w:p>
    <w:p w14:paraId="53CCAC1A">
      <w:pPr>
        <w:rPr>
          <w:sz w:val="24"/>
          <w:szCs w:val="24"/>
        </w:rPr>
      </w:pPr>
      <w:r>
        <w:rPr>
          <w:rFonts w:hint="eastAsia"/>
          <w:sz w:val="24"/>
          <w:szCs w:val="24"/>
        </w:rPr>
        <w:t>7、</w:t>
      </w:r>
      <w:r>
        <w:rPr>
          <w:sz w:val="24"/>
          <w:szCs w:val="24"/>
        </w:rPr>
        <w:t>应当尽可能将货物的配置列全、列细，这将有助于投标方胜出。</w:t>
      </w:r>
    </w:p>
    <w:p w14:paraId="2AD8DC4B">
      <w:pPr>
        <w:rPr>
          <w:sz w:val="24"/>
          <w:szCs w:val="24"/>
        </w:rPr>
      </w:pPr>
      <w:r>
        <w:rPr>
          <w:rFonts w:hint="eastAsia"/>
          <w:sz w:val="24"/>
          <w:szCs w:val="24"/>
        </w:rPr>
        <w:t>8、</w:t>
      </w:r>
      <w:r>
        <w:rPr>
          <w:sz w:val="24"/>
          <w:szCs w:val="24"/>
        </w:rPr>
        <w:t>单价与总价之间、总价与分类小计价之间、分类小计价与合计价之间数据应当齐全而且准确。</w:t>
      </w:r>
    </w:p>
    <w:p w14:paraId="5AA1A88B">
      <w:pPr>
        <w:rPr>
          <w:sz w:val="24"/>
          <w:szCs w:val="24"/>
        </w:rPr>
      </w:pPr>
      <w:r>
        <w:rPr>
          <w:rFonts w:hint="eastAsia"/>
          <w:sz w:val="24"/>
          <w:szCs w:val="24"/>
        </w:rPr>
        <w:t>9、</w:t>
      </w:r>
      <w:r>
        <w:rPr>
          <w:sz w:val="24"/>
          <w:szCs w:val="24"/>
        </w:rPr>
        <w:t>本条款表格中的制造商，应当为全称或公认的简称。</w:t>
      </w:r>
    </w:p>
    <w:p w14:paraId="4775858C">
      <w:pPr>
        <w:rPr>
          <w:sz w:val="24"/>
          <w:szCs w:val="24"/>
        </w:rPr>
      </w:pPr>
      <w:r>
        <w:rPr>
          <w:rFonts w:hint="eastAsia"/>
          <w:sz w:val="24"/>
          <w:szCs w:val="24"/>
        </w:rPr>
        <w:t>二、技术档中货物报价格式要求</w:t>
      </w:r>
    </w:p>
    <w:p w14:paraId="21E5FC41">
      <w:pPr>
        <w:rPr>
          <w:sz w:val="24"/>
          <w:szCs w:val="24"/>
        </w:rPr>
      </w:pPr>
      <w:r>
        <w:rPr>
          <w:sz w:val="24"/>
          <w:szCs w:val="24"/>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77004422">
      <w:pPr>
        <w:rPr>
          <w:sz w:val="24"/>
          <w:szCs w:val="24"/>
        </w:rPr>
      </w:pPr>
      <w:r>
        <w:rPr>
          <w:sz w:val="24"/>
          <w:szCs w:val="24"/>
        </w:rPr>
        <w:t>2、如果投标总报价与其它价格出现错误或不一致，将有可能导致废标。</w:t>
      </w:r>
    </w:p>
    <w:p w14:paraId="49EBAFDE">
      <w:pPr>
        <w:rPr>
          <w:sz w:val="24"/>
          <w:szCs w:val="24"/>
        </w:rPr>
      </w:pPr>
      <w:r>
        <w:rPr>
          <w:sz w:val="24"/>
          <w:szCs w:val="24"/>
        </w:rPr>
        <w:t>3、投标总报价为自合同签定生效至合同无异议执行完毕涉及的买方需要支付的全部费用。如投标方认为本招标及投标货物涉及特需或专门的设计，应当单独列明设计费。</w:t>
      </w:r>
    </w:p>
    <w:p w14:paraId="0AFB68E5">
      <w:pPr>
        <w:rPr>
          <w:sz w:val="24"/>
          <w:szCs w:val="24"/>
        </w:rPr>
      </w:pPr>
      <w:r>
        <w:rPr>
          <w:rFonts w:hint="eastAsia"/>
          <w:sz w:val="24"/>
          <w:szCs w:val="24"/>
        </w:rPr>
        <w:t>4</w:t>
      </w:r>
      <w:r>
        <w:rPr>
          <w:sz w:val="24"/>
          <w:szCs w:val="24"/>
        </w:rPr>
        <w:t>、要求投标总报价、分项报价、明细报价之间应当具有相互间对应关系以及填报分项和明细报价，仅为便于评标而不妨碍投标人以最合适的形式签署合同。</w:t>
      </w:r>
    </w:p>
    <w:p w14:paraId="03C486DE">
      <w:pPr>
        <w:rPr>
          <w:sz w:val="24"/>
          <w:szCs w:val="24"/>
        </w:rPr>
      </w:pPr>
      <w:r>
        <w:rPr>
          <w:rFonts w:hint="eastAsia"/>
          <w:sz w:val="24"/>
          <w:szCs w:val="24"/>
        </w:rPr>
        <w:t>三、验收标准及内容要求</w:t>
      </w:r>
    </w:p>
    <w:p w14:paraId="0DF4A6C1">
      <w:pPr>
        <w:rPr>
          <w:sz w:val="24"/>
          <w:szCs w:val="24"/>
        </w:rPr>
      </w:pPr>
      <w:r>
        <w:rPr>
          <w:rFonts w:hint="eastAsia"/>
          <w:sz w:val="24"/>
          <w:szCs w:val="24"/>
        </w:rPr>
        <w:t>除招标档明确的验收标准或内容之外，投标方应当在投标档中提供预验收（必要时）和终验收的标准以及规程；在合同签定之前，经投标方和招标方双方洽谈确认并签署，以作为验收标准执行。</w:t>
      </w:r>
    </w:p>
    <w:p w14:paraId="1C1D25D4">
      <w:pPr>
        <w:rPr>
          <w:sz w:val="24"/>
          <w:szCs w:val="24"/>
        </w:rPr>
      </w:pPr>
      <w:r>
        <w:rPr>
          <w:sz w:val="24"/>
          <w:szCs w:val="24"/>
        </w:rPr>
        <w:t>第</w:t>
      </w:r>
      <w:r>
        <w:rPr>
          <w:rFonts w:hint="eastAsia"/>
          <w:sz w:val="24"/>
          <w:szCs w:val="24"/>
        </w:rPr>
        <w:t>七</w:t>
      </w:r>
      <w:r>
        <w:rPr>
          <w:sz w:val="24"/>
          <w:szCs w:val="24"/>
        </w:rPr>
        <w:t>章  其他要求及说明</w:t>
      </w:r>
    </w:p>
    <w:p w14:paraId="460A88CF">
      <w:pPr>
        <w:rPr>
          <w:sz w:val="24"/>
          <w:szCs w:val="24"/>
        </w:rPr>
      </w:pPr>
      <w:r>
        <w:rPr>
          <w:rFonts w:hint="eastAsia"/>
          <w:sz w:val="24"/>
          <w:szCs w:val="24"/>
        </w:rPr>
        <w:t>一、要求</w:t>
      </w:r>
    </w:p>
    <w:p w14:paraId="300E1D05">
      <w:pPr>
        <w:rPr>
          <w:sz w:val="24"/>
          <w:szCs w:val="24"/>
        </w:rPr>
      </w:pPr>
      <w:r>
        <w:rPr>
          <w:rFonts w:hint="eastAsia"/>
          <w:sz w:val="24"/>
          <w:szCs w:val="24"/>
        </w:rPr>
        <w:t>为保证本技术标书所列采购货物的质量以及先进性、可靠性、经济性和实用性，要求投标方在投标档中，至少应具备以下资格证明档或资料：</w:t>
      </w:r>
    </w:p>
    <w:p w14:paraId="0D963DBF">
      <w:pPr>
        <w:rPr>
          <w:sz w:val="24"/>
          <w:szCs w:val="24"/>
        </w:rPr>
      </w:pPr>
      <w:r>
        <w:rPr>
          <w:rFonts w:hint="eastAsia"/>
          <w:sz w:val="24"/>
          <w:szCs w:val="24"/>
        </w:rPr>
        <w:t>1、投标方应是独立法人或得到法人授权的机构。应当在投标档中提供法人营业执照（复印件）、税务登记证以及组织机构代码证（国际供应商参考该要求提供有效证明档），并保证其真实性和有效性。</w:t>
      </w:r>
    </w:p>
    <w:p w14:paraId="4C2BAB33">
      <w:pPr>
        <w:rPr>
          <w:sz w:val="24"/>
          <w:szCs w:val="24"/>
        </w:rPr>
      </w:pPr>
      <w:r>
        <w:rPr>
          <w:rFonts w:hint="eastAsia"/>
          <w:sz w:val="24"/>
          <w:szCs w:val="24"/>
        </w:rPr>
        <w:t>2、必须附有：近5年来类似项目的成功业绩（用户名单、联系方式），并附合同复印件。该同类项目业绩一览表必须如实填写，一览表最终的所有业绩合同总额汇总必填。</w:t>
      </w:r>
    </w:p>
    <w:p w14:paraId="4E066353">
      <w:pPr>
        <w:pStyle w:val="2"/>
        <w:rPr>
          <w:rFonts w:asciiTheme="minorHAnsi" w:hAnsiTheme="minorHAnsi"/>
          <w:sz w:val="24"/>
          <w:szCs w:val="24"/>
        </w:rPr>
      </w:pPr>
      <w:r>
        <w:rPr>
          <w:rFonts w:asciiTheme="minorHAnsi" w:hAnsiTheme="minorHAnsi"/>
          <w:sz w:val="24"/>
          <w:szCs w:val="24"/>
        </w:rPr>
        <w:t>3</w:t>
      </w:r>
      <w:r>
        <w:rPr>
          <w:rFonts w:hint="eastAsia" w:asciiTheme="minorHAnsi" w:hAnsiTheme="minorHAnsi"/>
          <w:sz w:val="24"/>
          <w:szCs w:val="24"/>
        </w:rPr>
        <w:t>、本项目为非标自动化项目，为了确保项目顺利实施，要求投标方不仅具备非标自动化设计制造能力，还需要熟悉相关铸造工艺流程，并与招标方进行充分现场技术交流。</w:t>
      </w:r>
    </w:p>
    <w:p w14:paraId="365BF77A">
      <w:pPr>
        <w:rPr>
          <w:sz w:val="24"/>
          <w:szCs w:val="24"/>
        </w:rPr>
      </w:pPr>
      <w:r>
        <w:rPr>
          <w:rFonts w:hint="eastAsia"/>
          <w:sz w:val="24"/>
          <w:szCs w:val="24"/>
        </w:rPr>
        <w:t>二、说明</w:t>
      </w:r>
    </w:p>
    <w:p w14:paraId="79F52E90">
      <w:pPr>
        <w:rPr>
          <w:sz w:val="24"/>
          <w:szCs w:val="24"/>
        </w:rPr>
      </w:pPr>
      <w:r>
        <w:rPr>
          <w:sz w:val="24"/>
          <w:szCs w:val="24"/>
        </w:rPr>
        <w:t>1、投标方可以根据自身的技术、经验等优势以及对招标档和本技术标书的理解，写明对招标方所采购货物的优化方案或建议意见。投标方的这些努力，招标方表示感谢，并将有助于投标方优先胜出。</w:t>
      </w:r>
    </w:p>
    <w:p w14:paraId="63D611AC">
      <w:pPr>
        <w:rPr>
          <w:sz w:val="24"/>
          <w:szCs w:val="24"/>
        </w:rPr>
      </w:pPr>
      <w:r>
        <w:rPr>
          <w:sz w:val="24"/>
          <w:szCs w:val="24"/>
        </w:rPr>
        <w:t>2、即使有建议意见或建议方案，仍应依据招标档和本技术标书要求，编写符合要求的投标档。建议方案或建议意见，应以单独篇章或档，予以说明和报价。</w:t>
      </w:r>
    </w:p>
    <w:p w14:paraId="6891C10E">
      <w:pPr>
        <w:rPr>
          <w:sz w:val="24"/>
          <w:szCs w:val="24"/>
        </w:rPr>
      </w:pPr>
      <w:r>
        <w:rPr>
          <w:rFonts w:hint="eastAsia"/>
          <w:sz w:val="24"/>
          <w:szCs w:val="24"/>
        </w:rPr>
        <w:t>3</w:t>
      </w:r>
      <w:r>
        <w:rPr>
          <w:sz w:val="24"/>
          <w:szCs w:val="24"/>
        </w:rPr>
        <w:t>、招标档、投标档、答疑档、技术交流档、技术协议书等，在采购过程全部为有效档，如有差异，以对招标方最有利的条款为准。</w:t>
      </w:r>
    </w:p>
    <w:p w14:paraId="4441C181">
      <w:pPr>
        <w:rPr>
          <w:sz w:val="24"/>
          <w:szCs w:val="24"/>
        </w:rPr>
      </w:pPr>
      <w:r>
        <w:rPr>
          <w:rFonts w:hint="eastAsia"/>
          <w:sz w:val="24"/>
          <w:szCs w:val="24"/>
        </w:rPr>
        <w:t>4、为避免歧义，本技术标书涉及招投标环节的条款，均将潜在的卖方称为投标方、将买方称为招标方；定标后合同签署环节以及后续的合同执行环节条款，招标方称为买方、投标方中的中标方称为卖方。</w:t>
      </w:r>
      <w:bookmarkEnd w:id="23"/>
    </w:p>
    <w:p w14:paraId="7993A83E">
      <w:r>
        <w:br w:type="page"/>
      </w:r>
    </w:p>
    <w:p w14:paraId="2447D8CC">
      <w:pPr>
        <w:pStyle w:val="76"/>
      </w:pPr>
    </w:p>
    <w:p w14:paraId="3766D4CB">
      <w:pPr>
        <w:pStyle w:val="71"/>
      </w:pPr>
      <w:bookmarkStart w:id="29" w:name="_Toc47976609"/>
      <w:bookmarkStart w:id="30" w:name="_Toc20595"/>
      <w:r>
        <w:rPr>
          <w:rFonts w:hint="eastAsia"/>
        </w:rPr>
        <w:t>第三部分　合同主要条款</w:t>
      </w:r>
      <w:bookmarkEnd w:id="29"/>
      <w:bookmarkEnd w:id="30"/>
    </w:p>
    <w:p w14:paraId="595ECF98">
      <w:pPr>
        <w:pStyle w:val="72"/>
        <w:numPr>
          <w:ilvl w:val="0"/>
          <w:numId w:val="33"/>
        </w:numPr>
        <w:ind w:left="420"/>
      </w:pPr>
      <w:bookmarkStart w:id="31" w:name="_Toc47976610"/>
      <w:r>
        <w:rPr>
          <w:rFonts w:hint="eastAsia"/>
        </w:rPr>
        <w:t>标的、数量、交货期</w:t>
      </w:r>
      <w:bookmarkEnd w:id="31"/>
    </w:p>
    <w:p w14:paraId="3162E571">
      <w:pPr>
        <w:pStyle w:val="72"/>
      </w:pPr>
      <w:bookmarkStart w:id="32" w:name="_Toc47976611"/>
      <w:r>
        <w:rPr>
          <w:rFonts w:hint="eastAsia"/>
        </w:rPr>
        <w:t>交货地点</w:t>
      </w:r>
      <w:bookmarkEnd w:id="32"/>
    </w:p>
    <w:p w14:paraId="61EB0432">
      <w:pPr>
        <w:pStyle w:val="72"/>
      </w:pPr>
      <w:bookmarkStart w:id="33" w:name="_Toc47976612"/>
      <w:r>
        <w:rPr>
          <w:rFonts w:hint="eastAsia"/>
        </w:rPr>
        <w:t>价款及付款方式</w:t>
      </w:r>
      <w:bookmarkEnd w:id="33"/>
    </w:p>
    <w:p w14:paraId="3198592A">
      <w:pPr>
        <w:pStyle w:val="72"/>
      </w:pPr>
      <w:bookmarkStart w:id="34" w:name="_Toc47976613"/>
      <w:r>
        <w:rPr>
          <w:rFonts w:hint="eastAsia"/>
        </w:rPr>
        <w:t>质量要求、保修期及售后服务</w:t>
      </w:r>
      <w:bookmarkEnd w:id="34"/>
    </w:p>
    <w:p w14:paraId="16E3B00D">
      <w:pPr>
        <w:pStyle w:val="72"/>
      </w:pPr>
      <w:bookmarkStart w:id="35" w:name="_Toc47976614"/>
      <w:r>
        <w:rPr>
          <w:rFonts w:hint="eastAsia"/>
        </w:rPr>
        <w:t>安装、调试及验收要求</w:t>
      </w:r>
      <w:bookmarkEnd w:id="35"/>
    </w:p>
    <w:p w14:paraId="626D6E32">
      <w:pPr>
        <w:pStyle w:val="72"/>
      </w:pPr>
      <w:r>
        <w:rPr>
          <w:rFonts w:hint="eastAsia"/>
        </w:rPr>
        <w:t>违约责任</w:t>
      </w:r>
    </w:p>
    <w:p w14:paraId="5E20011C">
      <w:pPr>
        <w:pStyle w:val="72"/>
      </w:pPr>
      <w:r>
        <w:rPr>
          <w:rFonts w:hint="eastAsia"/>
        </w:rPr>
        <w:t>争议解决方式</w:t>
      </w:r>
    </w:p>
    <w:p w14:paraId="33B1263F">
      <w:pPr>
        <w:pStyle w:val="76"/>
      </w:pPr>
    </w:p>
    <w:p w14:paraId="5390A7AA">
      <w:pPr>
        <w:pStyle w:val="76"/>
      </w:pPr>
    </w:p>
    <w:p w14:paraId="5B401C77">
      <w:pPr>
        <w:pStyle w:val="76"/>
      </w:pPr>
    </w:p>
    <w:p w14:paraId="7BDB44A8">
      <w:pPr>
        <w:pStyle w:val="76"/>
      </w:pPr>
    </w:p>
    <w:p w14:paraId="6026A0D4">
      <w:pPr>
        <w:pStyle w:val="76"/>
      </w:pPr>
    </w:p>
    <w:p w14:paraId="63697E2B">
      <w:pPr>
        <w:pStyle w:val="76"/>
      </w:pPr>
    </w:p>
    <w:p w14:paraId="3D966100">
      <w:pPr>
        <w:pStyle w:val="76"/>
      </w:pPr>
    </w:p>
    <w:p w14:paraId="3D5EFB88">
      <w:pPr>
        <w:pStyle w:val="76"/>
      </w:pPr>
    </w:p>
    <w:p w14:paraId="62581C42">
      <w:pPr>
        <w:pStyle w:val="76"/>
      </w:pPr>
    </w:p>
    <w:p w14:paraId="4A6C9E4E">
      <w:pPr>
        <w:pStyle w:val="76"/>
      </w:pPr>
    </w:p>
    <w:p w14:paraId="48CE5AB1">
      <w:pPr>
        <w:pStyle w:val="76"/>
      </w:pPr>
    </w:p>
    <w:p w14:paraId="6E3703BE">
      <w:pPr>
        <w:pStyle w:val="76"/>
      </w:pPr>
    </w:p>
    <w:p w14:paraId="5D1C7BC6">
      <w:pPr>
        <w:pStyle w:val="76"/>
      </w:pPr>
    </w:p>
    <w:p w14:paraId="2B421CD8">
      <w:pPr>
        <w:pStyle w:val="76"/>
      </w:pPr>
    </w:p>
    <w:p w14:paraId="4445A779">
      <w:pPr>
        <w:pStyle w:val="76"/>
      </w:pPr>
    </w:p>
    <w:p w14:paraId="1369C073">
      <w:pPr>
        <w:pStyle w:val="76"/>
      </w:pPr>
    </w:p>
    <w:p w14:paraId="20FB7AE7">
      <w:pPr>
        <w:pStyle w:val="76"/>
      </w:pPr>
    </w:p>
    <w:p w14:paraId="3D786CAE">
      <w:pPr>
        <w:pStyle w:val="76"/>
      </w:pPr>
    </w:p>
    <w:p w14:paraId="2906231C">
      <w:pPr>
        <w:pStyle w:val="76"/>
      </w:pPr>
    </w:p>
    <w:p w14:paraId="08934D95">
      <w:pPr>
        <w:pStyle w:val="71"/>
      </w:pPr>
      <w:bookmarkStart w:id="36" w:name="_Toc47976615"/>
      <w:bookmarkStart w:id="37" w:name="_Toc5925"/>
      <w:r>
        <w:rPr>
          <w:rFonts w:hint="eastAsia"/>
        </w:rPr>
        <w:t>第四部分　</w:t>
      </w:r>
      <w:bookmarkEnd w:id="36"/>
      <w:r>
        <w:rPr>
          <w:rFonts w:hint="eastAsia"/>
        </w:rPr>
        <w:t>投标文件附件</w:t>
      </w:r>
      <w:bookmarkEnd w:id="37"/>
    </w:p>
    <w:p w14:paraId="47AE7834">
      <w:pPr>
        <w:pStyle w:val="71"/>
        <w:jc w:val="left"/>
        <w:rPr>
          <w:rFonts w:ascii="宋体" w:hAnsi="宋体" w:eastAsia="宋体" w:cs="宋体"/>
          <w:sz w:val="32"/>
          <w:szCs w:val="32"/>
          <w:highlight w:val="yellow"/>
        </w:rPr>
      </w:pPr>
      <w:bookmarkStart w:id="38" w:name="_Toc4225"/>
      <w:bookmarkStart w:id="39" w:name="_Toc47976616"/>
      <w:r>
        <w:rPr>
          <w:rFonts w:hint="eastAsia" w:ascii="宋体" w:hAnsi="宋体" w:eastAsia="宋体" w:cs="宋体"/>
          <w:sz w:val="32"/>
          <w:szCs w:val="32"/>
          <w:highlight w:val="yellow"/>
        </w:rPr>
        <w:t>附件</w:t>
      </w:r>
      <w:bookmarkEnd w:id="38"/>
      <w:bookmarkEnd w:id="39"/>
      <w:r>
        <w:rPr>
          <w:rFonts w:hint="eastAsia" w:ascii="宋体" w:hAnsi="宋体" w:eastAsia="宋体" w:cs="宋体"/>
          <w:sz w:val="32"/>
          <w:szCs w:val="32"/>
          <w:highlight w:val="yellow"/>
        </w:rPr>
        <w:t>1</w:t>
      </w:r>
    </w:p>
    <w:p w14:paraId="505B35F4">
      <w:pPr>
        <w:keepNext/>
        <w:keepLines/>
        <w:jc w:val="center"/>
        <w:outlineLvl w:val="2"/>
        <w:rPr>
          <w:rFonts w:ascii="宋体" w:hAnsi="宋体" w:cs="宋体"/>
          <w:b/>
          <w:bCs/>
          <w:color w:val="000000"/>
          <w:sz w:val="32"/>
          <w:szCs w:val="32"/>
        </w:rPr>
      </w:pPr>
      <w:r>
        <w:rPr>
          <w:rFonts w:hint="eastAsia" w:ascii="宋体" w:hAnsi="宋体" w:cs="宋体"/>
          <w:b/>
          <w:bCs/>
          <w:color w:val="000000"/>
          <w:sz w:val="32"/>
          <w:szCs w:val="32"/>
        </w:rPr>
        <w:t>投标函</w:t>
      </w:r>
    </w:p>
    <w:p w14:paraId="6A909FD8">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14:paraId="7FC34A1B">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14:paraId="5426D91F">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1D5D3758">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A7BCC2D">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776DD659">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14:paraId="09B7EB1E">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4390B1DE">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36C59747">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42DD352E">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39A30849">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1262C187">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6B787014">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0ECB88B">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3449DD98">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74523873">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72171D86">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1181B0F8">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03404B71">
      <w:pPr>
        <w:rPr>
          <w:rFonts w:ascii="黑体" w:hAnsi="Calibri" w:eastAsia="黑体"/>
          <w:color w:val="000000"/>
          <w:sz w:val="24"/>
          <w:szCs w:val="24"/>
        </w:rPr>
      </w:pPr>
    </w:p>
    <w:p w14:paraId="3149AC83">
      <w:pPr>
        <w:rPr>
          <w:rFonts w:ascii="宋体"/>
          <w:b/>
          <w:color w:val="000000"/>
          <w:szCs w:val="24"/>
        </w:rPr>
      </w:pPr>
    </w:p>
    <w:p w14:paraId="1256C9D8">
      <w:pPr>
        <w:pStyle w:val="72"/>
        <w:numPr>
          <w:ilvl w:val="0"/>
          <w:numId w:val="0"/>
        </w:numPr>
        <w:rPr>
          <w:rFonts w:ascii="宋体" w:hAnsi="宋体" w:eastAsia="宋体" w:cs="宋体"/>
          <w:sz w:val="32"/>
          <w:szCs w:val="32"/>
          <w:highlight w:val="yellow"/>
        </w:rPr>
      </w:pPr>
      <w:bookmarkStart w:id="40" w:name="_Toc47976618"/>
      <w:bookmarkStart w:id="41" w:name="_Toc29366869"/>
      <w:bookmarkStart w:id="42" w:name="_Toc29366865"/>
      <w:r>
        <w:rPr>
          <w:rFonts w:hint="eastAsia" w:ascii="宋体" w:hAnsi="宋体" w:eastAsia="宋体" w:cs="宋体"/>
          <w:sz w:val="32"/>
          <w:szCs w:val="32"/>
          <w:highlight w:val="yellow"/>
        </w:rPr>
        <w:t>附件2</w:t>
      </w:r>
    </w:p>
    <w:bookmarkEnd w:id="40"/>
    <w:p w14:paraId="7CFE8133">
      <w:pPr>
        <w:spacing w:line="360" w:lineRule="auto"/>
        <w:jc w:val="center"/>
        <w:rPr>
          <w:rFonts w:ascii="宋体" w:hAnsi="宋体" w:cs="宋体"/>
          <w:color w:val="000000"/>
          <w:sz w:val="32"/>
          <w:szCs w:val="32"/>
        </w:rPr>
      </w:pPr>
      <w:r>
        <w:rPr>
          <w:rFonts w:hint="eastAsia" w:ascii="宋体" w:hAnsi="宋体" w:cs="宋体"/>
          <w:b/>
          <w:bCs/>
          <w:color w:val="000000"/>
          <w:sz w:val="32"/>
          <w:szCs w:val="32"/>
        </w:rPr>
        <w:t>法定代表人授权委托书</w:t>
      </w:r>
    </w:p>
    <w:p w14:paraId="5C29F252">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0DF785C">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782C8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67A208A">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557C0965">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5276EDC9">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04A41E17">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313A3EDD">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1D2763C2">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76EA377E">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7BF08646">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1798ACF9">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9D039C4">
      <w:pPr>
        <w:spacing w:line="360" w:lineRule="auto"/>
        <w:ind w:firstLine="4800" w:firstLineChars="2000"/>
        <w:rPr>
          <w:rFonts w:ascii="宋体" w:hAnsi="宋体" w:cs="宋体"/>
          <w:sz w:val="24"/>
          <w:szCs w:val="21"/>
        </w:rPr>
      </w:pPr>
    </w:p>
    <w:p w14:paraId="6B8B19E1">
      <w:pPr>
        <w:spacing w:line="360" w:lineRule="auto"/>
        <w:ind w:firstLine="4800" w:firstLineChars="2000"/>
        <w:rPr>
          <w:rFonts w:ascii="宋体" w:hAnsi="宋体" w:cs="宋体"/>
          <w:sz w:val="24"/>
          <w:szCs w:val="21"/>
        </w:rPr>
      </w:pPr>
    </w:p>
    <w:p w14:paraId="78D2A2A5">
      <w:pPr>
        <w:spacing w:line="360" w:lineRule="auto"/>
        <w:ind w:firstLine="4800" w:firstLineChars="2000"/>
        <w:rPr>
          <w:rFonts w:ascii="宋体" w:hAnsi="宋体" w:cs="宋体"/>
          <w:sz w:val="24"/>
          <w:szCs w:val="21"/>
        </w:rPr>
      </w:pPr>
    </w:p>
    <w:p w14:paraId="67A7EA2F">
      <w:pPr>
        <w:spacing w:line="360" w:lineRule="auto"/>
        <w:ind w:firstLine="4800" w:firstLineChars="2000"/>
        <w:rPr>
          <w:rFonts w:ascii="宋体" w:hAnsi="宋体" w:cs="宋体"/>
          <w:sz w:val="24"/>
          <w:szCs w:val="21"/>
        </w:rPr>
      </w:pPr>
    </w:p>
    <w:p w14:paraId="36021616">
      <w:pPr>
        <w:pStyle w:val="2"/>
      </w:pPr>
    </w:p>
    <w:p w14:paraId="3AB65849">
      <w:pPr>
        <w:spacing w:line="360" w:lineRule="auto"/>
        <w:rPr>
          <w:rFonts w:ascii="宋体" w:hAnsi="宋体" w:cs="宋体"/>
          <w:sz w:val="24"/>
          <w:szCs w:val="21"/>
        </w:rPr>
      </w:pPr>
    </w:p>
    <w:bookmarkEnd w:id="41"/>
    <w:bookmarkEnd w:id="42"/>
    <w:p w14:paraId="305189F9">
      <w:pPr>
        <w:pStyle w:val="72"/>
        <w:numPr>
          <w:ilvl w:val="0"/>
          <w:numId w:val="0"/>
        </w:numPr>
        <w:rPr>
          <w:rFonts w:ascii="宋体" w:hAnsi="宋体" w:eastAsia="宋体" w:cs="宋体"/>
          <w:sz w:val="32"/>
          <w:szCs w:val="32"/>
          <w:highlight w:val="yellow"/>
        </w:rPr>
      </w:pPr>
      <w:r>
        <w:rPr>
          <w:rFonts w:hint="eastAsia" w:ascii="宋体" w:hAnsi="宋体" w:eastAsia="宋体" w:cs="宋体"/>
          <w:sz w:val="32"/>
          <w:szCs w:val="32"/>
          <w:highlight w:val="yellow"/>
        </w:rPr>
        <w:t>附件3</w:t>
      </w:r>
    </w:p>
    <w:p w14:paraId="5D6099D2">
      <w:pPr>
        <w:pStyle w:val="72"/>
        <w:numPr>
          <w:ilvl w:val="0"/>
          <w:numId w:val="0"/>
        </w:numPr>
        <w:jc w:val="center"/>
      </w:pPr>
      <w:r>
        <w:rPr>
          <w:rFonts w:hint="eastAsia"/>
        </w:rPr>
        <w:t>开标一览表</w:t>
      </w:r>
    </w:p>
    <w:p w14:paraId="2239C88E">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w:t>
      </w:r>
      <w:r>
        <w:rPr>
          <w:rFonts w:ascii="宋体" w:hAnsi="宋体"/>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2C97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9691CC5">
            <w:pPr>
              <w:jc w:val="center"/>
              <w:rPr>
                <w:b/>
              </w:rPr>
            </w:pPr>
            <w:r>
              <w:rPr>
                <w:rFonts w:hint="eastAsia"/>
                <w:b/>
              </w:rPr>
              <w:t>序号</w:t>
            </w:r>
          </w:p>
        </w:tc>
        <w:tc>
          <w:tcPr>
            <w:tcW w:w="1518" w:type="dxa"/>
            <w:vAlign w:val="center"/>
          </w:tcPr>
          <w:p w14:paraId="04897E43">
            <w:pPr>
              <w:jc w:val="center"/>
              <w:rPr>
                <w:b/>
              </w:rPr>
            </w:pPr>
            <w:r>
              <w:rPr>
                <w:rFonts w:hint="eastAsia"/>
                <w:b/>
              </w:rPr>
              <w:t>货物名称</w:t>
            </w:r>
          </w:p>
        </w:tc>
        <w:tc>
          <w:tcPr>
            <w:tcW w:w="848" w:type="dxa"/>
            <w:vAlign w:val="center"/>
          </w:tcPr>
          <w:p w14:paraId="546E18F2">
            <w:pPr>
              <w:jc w:val="center"/>
              <w:rPr>
                <w:b/>
              </w:rPr>
            </w:pPr>
            <w:r>
              <w:rPr>
                <w:rFonts w:hint="eastAsia"/>
                <w:b/>
              </w:rPr>
              <w:t>数量</w:t>
            </w:r>
          </w:p>
        </w:tc>
        <w:tc>
          <w:tcPr>
            <w:tcW w:w="2270" w:type="dxa"/>
            <w:vAlign w:val="center"/>
          </w:tcPr>
          <w:p w14:paraId="199D2B89">
            <w:pPr>
              <w:jc w:val="center"/>
              <w:rPr>
                <w:b/>
              </w:rPr>
            </w:pPr>
            <w:r>
              <w:rPr>
                <w:rFonts w:hint="eastAsia"/>
                <w:b/>
              </w:rPr>
              <w:t>投标总价</w:t>
            </w:r>
            <w:r>
              <w:rPr>
                <w:rFonts w:hint="eastAsia" w:ascii="等线" w:hAnsi="等线" w:eastAsia="等线"/>
                <w:b/>
              </w:rPr>
              <w:t>（元）</w:t>
            </w:r>
          </w:p>
        </w:tc>
        <w:tc>
          <w:tcPr>
            <w:tcW w:w="699" w:type="dxa"/>
            <w:vAlign w:val="center"/>
          </w:tcPr>
          <w:p w14:paraId="23E23EE3">
            <w:pPr>
              <w:jc w:val="center"/>
              <w:rPr>
                <w:rFonts w:ascii="等线" w:hAnsi="等线" w:eastAsia="等线"/>
                <w:b/>
              </w:rPr>
            </w:pPr>
            <w:r>
              <w:rPr>
                <w:rFonts w:hint="eastAsia"/>
                <w:b/>
              </w:rPr>
              <w:t>商务条款是否偏离</w:t>
            </w:r>
          </w:p>
        </w:tc>
      </w:tr>
      <w:tr w14:paraId="2485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7E740C4">
            <w:pPr>
              <w:jc w:val="center"/>
              <w:rPr>
                <w:b/>
              </w:rPr>
            </w:pPr>
          </w:p>
        </w:tc>
        <w:tc>
          <w:tcPr>
            <w:tcW w:w="1518" w:type="dxa"/>
            <w:vAlign w:val="center"/>
          </w:tcPr>
          <w:p w14:paraId="6B7CAC9B">
            <w:pPr>
              <w:jc w:val="center"/>
              <w:rPr>
                <w:b/>
              </w:rPr>
            </w:pPr>
          </w:p>
        </w:tc>
        <w:tc>
          <w:tcPr>
            <w:tcW w:w="848" w:type="dxa"/>
            <w:vAlign w:val="center"/>
          </w:tcPr>
          <w:p w14:paraId="22D6D308">
            <w:pPr>
              <w:jc w:val="center"/>
              <w:rPr>
                <w:b/>
              </w:rPr>
            </w:pPr>
          </w:p>
        </w:tc>
        <w:tc>
          <w:tcPr>
            <w:tcW w:w="2270" w:type="dxa"/>
            <w:vAlign w:val="center"/>
          </w:tcPr>
          <w:p w14:paraId="17FAB1C3">
            <w:pPr>
              <w:jc w:val="left"/>
              <w:rPr>
                <w:rFonts w:ascii="等线" w:hAnsi="等线" w:eastAsia="等线"/>
                <w:b/>
              </w:rPr>
            </w:pPr>
            <w:r>
              <w:rPr>
                <w:rFonts w:hint="eastAsia" w:ascii="等线" w:hAnsi="等线" w:eastAsia="等线"/>
                <w:b/>
              </w:rPr>
              <w:t>不含税价：</w:t>
            </w:r>
          </w:p>
          <w:p w14:paraId="21FAECEC">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4B19EC7F">
            <w:pPr>
              <w:jc w:val="left"/>
              <w:rPr>
                <w:b/>
              </w:rPr>
            </w:pPr>
            <w:r>
              <w:rPr>
                <w:rFonts w:hint="eastAsia" w:ascii="等线" w:hAnsi="等线" w:eastAsia="等线"/>
                <w:b/>
              </w:rPr>
              <w:t>税率：</w:t>
            </w:r>
          </w:p>
        </w:tc>
        <w:tc>
          <w:tcPr>
            <w:tcW w:w="699" w:type="dxa"/>
            <w:vAlign w:val="center"/>
          </w:tcPr>
          <w:p w14:paraId="5FB46430">
            <w:pPr>
              <w:jc w:val="center"/>
              <w:rPr>
                <w:b/>
              </w:rPr>
            </w:pPr>
          </w:p>
        </w:tc>
      </w:tr>
    </w:tbl>
    <w:p w14:paraId="12FCAEF4">
      <w:pPr>
        <w:rPr>
          <w:rFonts w:ascii="宋体" w:hAnsi="Arial"/>
          <w:sz w:val="24"/>
          <w:szCs w:val="24"/>
        </w:rPr>
      </w:pPr>
    </w:p>
    <w:p w14:paraId="01DFC59F">
      <w:pPr>
        <w:spacing w:line="400" w:lineRule="exact"/>
        <w:rPr>
          <w:rFonts w:ascii="宋体" w:hAnsi="Calibri"/>
          <w:szCs w:val="21"/>
        </w:rPr>
      </w:pPr>
      <w:r>
        <w:rPr>
          <w:rFonts w:hint="eastAsia" w:ascii="宋体" w:hAnsi="宋体"/>
          <w:b/>
          <w:bCs/>
          <w:szCs w:val="21"/>
        </w:rPr>
        <w:t>注：</w:t>
      </w:r>
    </w:p>
    <w:p w14:paraId="6D08E5BE">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65108157">
      <w:pPr>
        <w:spacing w:line="300" w:lineRule="auto"/>
        <w:rPr>
          <w:rFonts w:ascii="宋体" w:hAnsi="宋体" w:cs="宋体"/>
          <w:b/>
        </w:rPr>
      </w:pPr>
      <w:r>
        <w:rPr>
          <w:rFonts w:hint="eastAsia" w:ascii="宋体" w:hAnsi="宋体" w:cs="宋体"/>
          <w:b/>
        </w:rPr>
        <w:t>2.需写明含税价、不含税价格、税率。</w:t>
      </w:r>
    </w:p>
    <w:p w14:paraId="2BA60871">
      <w:pPr>
        <w:pStyle w:val="2"/>
        <w:rPr>
          <w:rFonts w:hAnsi="宋体"/>
          <w:b/>
          <w:bCs/>
          <w:szCs w:val="21"/>
        </w:rPr>
      </w:pPr>
      <w:r>
        <w:rPr>
          <w:rFonts w:hint="eastAsia" w:hAnsi="宋体" w:cs="宋体"/>
          <w:b/>
        </w:rPr>
        <w:t>3.</w:t>
      </w:r>
      <w:r>
        <w:rPr>
          <w:rFonts w:hint="eastAsia" w:hAnsi="宋体"/>
          <w:b/>
          <w:bCs/>
          <w:szCs w:val="21"/>
        </w:rPr>
        <w:t>投标总价包括</w:t>
      </w:r>
      <w:r>
        <w:rPr>
          <w:rFonts w:hint="eastAsia" w:hAnsi="宋体"/>
          <w:b/>
          <w:bCs/>
          <w:szCs w:val="21"/>
          <w:u w:val="single"/>
        </w:rPr>
        <w:t xml:space="preserve">                                             </w:t>
      </w:r>
      <w:r>
        <w:rPr>
          <w:rFonts w:hint="eastAsia" w:hAnsi="宋体"/>
          <w:b/>
          <w:bCs/>
          <w:szCs w:val="21"/>
        </w:rPr>
        <w:t>全部费用。</w:t>
      </w:r>
    </w:p>
    <w:p w14:paraId="6FE4CF53">
      <w:pPr>
        <w:pStyle w:val="2"/>
        <w:rPr>
          <w:rFonts w:hAnsi="宋体"/>
          <w:b/>
          <w:bCs/>
          <w:szCs w:val="21"/>
          <w:highlight w:val="yellow"/>
        </w:rPr>
      </w:pPr>
    </w:p>
    <w:p w14:paraId="46969582">
      <w:pPr>
        <w:pStyle w:val="2"/>
        <w:rPr>
          <w:rFonts w:hAnsi="宋体"/>
          <w:b/>
          <w:bCs/>
          <w:szCs w:val="21"/>
          <w:highlight w:val="yellow"/>
        </w:rPr>
      </w:pPr>
    </w:p>
    <w:p w14:paraId="1F2C9407">
      <w:pPr>
        <w:spacing w:line="660" w:lineRule="exact"/>
        <w:jc w:val="center"/>
        <w:rPr>
          <w:rFonts w:ascii="宋体" w:hAnsi="Calibri"/>
          <w:sz w:val="24"/>
        </w:rPr>
      </w:pPr>
      <w:r>
        <w:rPr>
          <w:rFonts w:hint="eastAsia" w:ascii="宋体" w:hAnsi="宋体"/>
          <w:sz w:val="24"/>
        </w:rPr>
        <w:t xml:space="preserve">                        投标人：（盖章）</w:t>
      </w:r>
    </w:p>
    <w:p w14:paraId="02449857">
      <w:pPr>
        <w:spacing w:line="660" w:lineRule="exact"/>
        <w:jc w:val="right"/>
        <w:rPr>
          <w:rFonts w:ascii="宋体" w:hAnsi="Calibri"/>
          <w:sz w:val="24"/>
        </w:rPr>
      </w:pPr>
      <w:r>
        <w:rPr>
          <w:rFonts w:hint="eastAsia" w:ascii="宋体" w:hAnsi="宋体"/>
          <w:sz w:val="24"/>
        </w:rPr>
        <w:t>法定代表人（委托代理人）：（签字）</w:t>
      </w:r>
    </w:p>
    <w:p w14:paraId="6B2CAF6D">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570B8DB6">
      <w:pPr>
        <w:pStyle w:val="72"/>
        <w:numPr>
          <w:ilvl w:val="0"/>
          <w:numId w:val="0"/>
        </w:numPr>
      </w:pPr>
      <w:r>
        <w:t xml:space="preserve"> </w:t>
      </w:r>
    </w:p>
    <w:p w14:paraId="226F064E">
      <w:pPr>
        <w:pStyle w:val="72"/>
        <w:numPr>
          <w:ilvl w:val="0"/>
          <w:numId w:val="0"/>
        </w:numPr>
      </w:pPr>
    </w:p>
    <w:p w14:paraId="72BD30F8">
      <w:pPr>
        <w:pStyle w:val="72"/>
        <w:numPr>
          <w:ilvl w:val="0"/>
          <w:numId w:val="0"/>
        </w:numPr>
      </w:pPr>
    </w:p>
    <w:p w14:paraId="5F5854D5">
      <w:pPr>
        <w:pStyle w:val="72"/>
        <w:numPr>
          <w:ilvl w:val="0"/>
          <w:numId w:val="0"/>
        </w:numPr>
      </w:pPr>
    </w:p>
    <w:p w14:paraId="5E9439BB">
      <w:pPr>
        <w:pStyle w:val="72"/>
        <w:numPr>
          <w:ilvl w:val="0"/>
          <w:numId w:val="0"/>
        </w:numPr>
      </w:pPr>
    </w:p>
    <w:p w14:paraId="42DE1511">
      <w:pPr>
        <w:pStyle w:val="72"/>
        <w:numPr>
          <w:ilvl w:val="0"/>
          <w:numId w:val="0"/>
        </w:numPr>
      </w:pPr>
    </w:p>
    <w:p w14:paraId="55AC52ED">
      <w:pPr>
        <w:pStyle w:val="72"/>
        <w:numPr>
          <w:ilvl w:val="0"/>
          <w:numId w:val="0"/>
        </w:numPr>
      </w:pPr>
    </w:p>
    <w:p w14:paraId="1CEB793D">
      <w:pPr>
        <w:pStyle w:val="76"/>
        <w:ind w:firstLine="630" w:firstLineChars="300"/>
      </w:pPr>
    </w:p>
    <w:p w14:paraId="35AF7674">
      <w:pPr>
        <w:pStyle w:val="76"/>
        <w:rPr>
          <w:rFonts w:hAnsi="宋体" w:cs="宋体"/>
          <w:b/>
          <w:bCs/>
          <w:sz w:val="32"/>
          <w:szCs w:val="32"/>
        </w:rPr>
      </w:pPr>
      <w:r>
        <w:rPr>
          <w:rFonts w:hint="eastAsia" w:hAnsi="宋体" w:cs="宋体"/>
          <w:b/>
          <w:bCs/>
          <w:sz w:val="32"/>
          <w:szCs w:val="32"/>
        </w:rPr>
        <w:t>附件4</w:t>
      </w:r>
    </w:p>
    <w:p w14:paraId="17AEAF51">
      <w:pPr>
        <w:jc w:val="center"/>
        <w:rPr>
          <w:rFonts w:eastAsia="黑体"/>
          <w:sz w:val="28"/>
        </w:rPr>
      </w:pPr>
      <w:r>
        <w:rPr>
          <w:rFonts w:hint="eastAsia" w:eastAsia="黑体"/>
          <w:sz w:val="28"/>
        </w:rPr>
        <w:t>技术规格偏离表</w:t>
      </w:r>
    </w:p>
    <w:p w14:paraId="44F7BB29">
      <w:pPr>
        <w:rPr>
          <w:rFonts w:ascii="宋体" w:hAnsi="宋体"/>
          <w:szCs w:val="21"/>
        </w:rPr>
      </w:pPr>
    </w:p>
    <w:p w14:paraId="6E0B7FED">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A33611C">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1929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094C7A1D">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30843AE7">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34B10C9B">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0913697E">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5F4660A9">
            <w:pPr>
              <w:jc w:val="center"/>
              <w:rPr>
                <w:rFonts w:ascii="宋体" w:hAnsi="宋体"/>
                <w:kern w:val="0"/>
                <w:sz w:val="20"/>
                <w:szCs w:val="21"/>
              </w:rPr>
            </w:pPr>
            <w:r>
              <w:rPr>
                <w:rFonts w:hint="eastAsia" w:ascii="宋体" w:hAnsi="宋体"/>
                <w:kern w:val="0"/>
                <w:sz w:val="20"/>
                <w:szCs w:val="21"/>
              </w:rPr>
              <w:t>说明</w:t>
            </w:r>
          </w:p>
        </w:tc>
      </w:tr>
      <w:tr w14:paraId="7263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1E31F8BB">
            <w:pPr>
              <w:jc w:val="center"/>
              <w:rPr>
                <w:rFonts w:ascii="宋体" w:hAnsi="宋体"/>
                <w:kern w:val="0"/>
                <w:sz w:val="20"/>
                <w:szCs w:val="21"/>
              </w:rPr>
            </w:pPr>
          </w:p>
        </w:tc>
        <w:tc>
          <w:tcPr>
            <w:tcW w:w="2175" w:type="dxa"/>
            <w:vAlign w:val="center"/>
          </w:tcPr>
          <w:p w14:paraId="3EA98759">
            <w:pPr>
              <w:jc w:val="center"/>
              <w:rPr>
                <w:rFonts w:ascii="宋体" w:hAnsi="宋体"/>
                <w:kern w:val="0"/>
                <w:sz w:val="20"/>
                <w:szCs w:val="21"/>
              </w:rPr>
            </w:pPr>
          </w:p>
        </w:tc>
        <w:tc>
          <w:tcPr>
            <w:tcW w:w="2425" w:type="dxa"/>
            <w:vAlign w:val="center"/>
          </w:tcPr>
          <w:p w14:paraId="3581C2FE">
            <w:pPr>
              <w:jc w:val="center"/>
              <w:rPr>
                <w:rFonts w:ascii="宋体" w:hAnsi="宋体"/>
                <w:kern w:val="0"/>
                <w:sz w:val="20"/>
                <w:szCs w:val="21"/>
              </w:rPr>
            </w:pPr>
          </w:p>
        </w:tc>
        <w:tc>
          <w:tcPr>
            <w:tcW w:w="1774" w:type="dxa"/>
            <w:vAlign w:val="center"/>
          </w:tcPr>
          <w:p w14:paraId="13577A00">
            <w:pPr>
              <w:jc w:val="center"/>
              <w:rPr>
                <w:rFonts w:ascii="宋体" w:hAnsi="宋体"/>
                <w:kern w:val="0"/>
                <w:sz w:val="20"/>
                <w:szCs w:val="21"/>
              </w:rPr>
            </w:pPr>
          </w:p>
        </w:tc>
        <w:tc>
          <w:tcPr>
            <w:tcW w:w="1846" w:type="dxa"/>
            <w:vAlign w:val="center"/>
          </w:tcPr>
          <w:p w14:paraId="2842A95A">
            <w:pPr>
              <w:jc w:val="center"/>
              <w:rPr>
                <w:rFonts w:ascii="宋体" w:hAnsi="宋体"/>
                <w:kern w:val="0"/>
                <w:sz w:val="20"/>
                <w:szCs w:val="21"/>
              </w:rPr>
            </w:pPr>
          </w:p>
        </w:tc>
      </w:tr>
      <w:tr w14:paraId="440C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13BB2BDA">
            <w:pPr>
              <w:jc w:val="center"/>
              <w:rPr>
                <w:rFonts w:ascii="宋体" w:hAnsi="宋体"/>
                <w:kern w:val="0"/>
                <w:sz w:val="20"/>
                <w:szCs w:val="21"/>
              </w:rPr>
            </w:pPr>
          </w:p>
        </w:tc>
        <w:tc>
          <w:tcPr>
            <w:tcW w:w="2175" w:type="dxa"/>
            <w:vAlign w:val="center"/>
          </w:tcPr>
          <w:p w14:paraId="06511707">
            <w:pPr>
              <w:jc w:val="center"/>
              <w:rPr>
                <w:rFonts w:ascii="宋体" w:hAnsi="宋体"/>
                <w:kern w:val="0"/>
                <w:sz w:val="20"/>
                <w:szCs w:val="21"/>
              </w:rPr>
            </w:pPr>
          </w:p>
        </w:tc>
        <w:tc>
          <w:tcPr>
            <w:tcW w:w="2425" w:type="dxa"/>
            <w:vAlign w:val="center"/>
          </w:tcPr>
          <w:p w14:paraId="4B962BCA">
            <w:pPr>
              <w:jc w:val="center"/>
              <w:rPr>
                <w:rFonts w:ascii="宋体" w:hAnsi="宋体"/>
                <w:kern w:val="0"/>
                <w:sz w:val="20"/>
                <w:szCs w:val="21"/>
              </w:rPr>
            </w:pPr>
          </w:p>
        </w:tc>
        <w:tc>
          <w:tcPr>
            <w:tcW w:w="1774" w:type="dxa"/>
            <w:vAlign w:val="center"/>
          </w:tcPr>
          <w:p w14:paraId="3B735538">
            <w:pPr>
              <w:jc w:val="center"/>
              <w:rPr>
                <w:rFonts w:ascii="宋体" w:hAnsi="宋体"/>
                <w:kern w:val="0"/>
                <w:sz w:val="20"/>
                <w:szCs w:val="21"/>
              </w:rPr>
            </w:pPr>
          </w:p>
        </w:tc>
        <w:tc>
          <w:tcPr>
            <w:tcW w:w="1846" w:type="dxa"/>
            <w:vAlign w:val="center"/>
          </w:tcPr>
          <w:p w14:paraId="554B830F">
            <w:pPr>
              <w:jc w:val="center"/>
              <w:rPr>
                <w:rFonts w:ascii="宋体" w:hAnsi="宋体"/>
                <w:kern w:val="0"/>
                <w:sz w:val="20"/>
                <w:szCs w:val="21"/>
              </w:rPr>
            </w:pPr>
          </w:p>
        </w:tc>
      </w:tr>
      <w:tr w14:paraId="164E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09294C95">
            <w:pPr>
              <w:jc w:val="center"/>
              <w:rPr>
                <w:rFonts w:ascii="宋体" w:hAnsi="宋体"/>
                <w:kern w:val="0"/>
                <w:sz w:val="20"/>
                <w:szCs w:val="21"/>
              </w:rPr>
            </w:pPr>
          </w:p>
        </w:tc>
        <w:tc>
          <w:tcPr>
            <w:tcW w:w="2175" w:type="dxa"/>
            <w:vAlign w:val="center"/>
          </w:tcPr>
          <w:p w14:paraId="263C0CB3">
            <w:pPr>
              <w:jc w:val="center"/>
              <w:rPr>
                <w:rFonts w:ascii="宋体" w:hAnsi="宋体"/>
                <w:kern w:val="0"/>
                <w:sz w:val="20"/>
                <w:szCs w:val="21"/>
              </w:rPr>
            </w:pPr>
          </w:p>
        </w:tc>
        <w:tc>
          <w:tcPr>
            <w:tcW w:w="2425" w:type="dxa"/>
            <w:vAlign w:val="center"/>
          </w:tcPr>
          <w:p w14:paraId="7C669FB8">
            <w:pPr>
              <w:jc w:val="center"/>
              <w:rPr>
                <w:rFonts w:ascii="宋体" w:hAnsi="宋体"/>
                <w:kern w:val="0"/>
                <w:sz w:val="20"/>
                <w:szCs w:val="21"/>
              </w:rPr>
            </w:pPr>
          </w:p>
        </w:tc>
        <w:tc>
          <w:tcPr>
            <w:tcW w:w="1774" w:type="dxa"/>
            <w:vAlign w:val="center"/>
          </w:tcPr>
          <w:p w14:paraId="3FE45F8A">
            <w:pPr>
              <w:jc w:val="center"/>
              <w:rPr>
                <w:rFonts w:ascii="宋体" w:hAnsi="宋体"/>
                <w:kern w:val="0"/>
                <w:sz w:val="20"/>
                <w:szCs w:val="21"/>
              </w:rPr>
            </w:pPr>
          </w:p>
        </w:tc>
        <w:tc>
          <w:tcPr>
            <w:tcW w:w="1846" w:type="dxa"/>
            <w:vAlign w:val="center"/>
          </w:tcPr>
          <w:p w14:paraId="1E1791C9">
            <w:pPr>
              <w:jc w:val="center"/>
              <w:rPr>
                <w:rFonts w:ascii="宋体" w:hAnsi="宋体"/>
                <w:kern w:val="0"/>
                <w:sz w:val="20"/>
                <w:szCs w:val="21"/>
              </w:rPr>
            </w:pPr>
          </w:p>
        </w:tc>
      </w:tr>
      <w:tr w14:paraId="387E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6A1B4E6C">
            <w:pPr>
              <w:jc w:val="center"/>
              <w:rPr>
                <w:rFonts w:ascii="宋体" w:hAnsi="宋体"/>
                <w:kern w:val="0"/>
                <w:sz w:val="20"/>
                <w:szCs w:val="21"/>
              </w:rPr>
            </w:pPr>
          </w:p>
        </w:tc>
        <w:tc>
          <w:tcPr>
            <w:tcW w:w="2175" w:type="dxa"/>
            <w:vAlign w:val="center"/>
          </w:tcPr>
          <w:p w14:paraId="067FD450">
            <w:pPr>
              <w:jc w:val="center"/>
              <w:rPr>
                <w:rFonts w:ascii="宋体" w:hAnsi="宋体"/>
                <w:kern w:val="0"/>
                <w:sz w:val="20"/>
                <w:szCs w:val="21"/>
              </w:rPr>
            </w:pPr>
          </w:p>
        </w:tc>
        <w:tc>
          <w:tcPr>
            <w:tcW w:w="2425" w:type="dxa"/>
            <w:vAlign w:val="center"/>
          </w:tcPr>
          <w:p w14:paraId="4DAE3252">
            <w:pPr>
              <w:jc w:val="center"/>
              <w:rPr>
                <w:rFonts w:ascii="宋体" w:hAnsi="宋体"/>
                <w:kern w:val="0"/>
                <w:sz w:val="20"/>
                <w:szCs w:val="21"/>
              </w:rPr>
            </w:pPr>
          </w:p>
        </w:tc>
        <w:tc>
          <w:tcPr>
            <w:tcW w:w="1774" w:type="dxa"/>
            <w:vAlign w:val="center"/>
          </w:tcPr>
          <w:p w14:paraId="1854C7CE">
            <w:pPr>
              <w:jc w:val="center"/>
              <w:rPr>
                <w:rFonts w:ascii="宋体" w:hAnsi="宋体"/>
                <w:kern w:val="0"/>
                <w:sz w:val="20"/>
                <w:szCs w:val="21"/>
              </w:rPr>
            </w:pPr>
          </w:p>
        </w:tc>
        <w:tc>
          <w:tcPr>
            <w:tcW w:w="1846" w:type="dxa"/>
            <w:vAlign w:val="center"/>
          </w:tcPr>
          <w:p w14:paraId="2C436831">
            <w:pPr>
              <w:jc w:val="center"/>
              <w:rPr>
                <w:rFonts w:ascii="宋体" w:hAnsi="宋体"/>
                <w:kern w:val="0"/>
                <w:sz w:val="20"/>
                <w:szCs w:val="21"/>
              </w:rPr>
            </w:pPr>
          </w:p>
        </w:tc>
      </w:tr>
      <w:tr w14:paraId="79C3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DB2AE9F">
            <w:pPr>
              <w:jc w:val="center"/>
              <w:rPr>
                <w:rFonts w:ascii="宋体" w:hAnsi="宋体"/>
                <w:kern w:val="0"/>
                <w:sz w:val="20"/>
                <w:szCs w:val="21"/>
              </w:rPr>
            </w:pPr>
          </w:p>
        </w:tc>
        <w:tc>
          <w:tcPr>
            <w:tcW w:w="2175" w:type="dxa"/>
            <w:vAlign w:val="center"/>
          </w:tcPr>
          <w:p w14:paraId="3DF675A3">
            <w:pPr>
              <w:jc w:val="center"/>
              <w:rPr>
                <w:rFonts w:ascii="宋体" w:hAnsi="宋体"/>
                <w:kern w:val="0"/>
                <w:sz w:val="20"/>
                <w:szCs w:val="21"/>
              </w:rPr>
            </w:pPr>
          </w:p>
        </w:tc>
        <w:tc>
          <w:tcPr>
            <w:tcW w:w="2425" w:type="dxa"/>
            <w:vAlign w:val="center"/>
          </w:tcPr>
          <w:p w14:paraId="532229A9">
            <w:pPr>
              <w:jc w:val="center"/>
              <w:rPr>
                <w:rFonts w:ascii="宋体" w:hAnsi="宋体"/>
                <w:kern w:val="0"/>
                <w:sz w:val="20"/>
                <w:szCs w:val="21"/>
              </w:rPr>
            </w:pPr>
          </w:p>
        </w:tc>
        <w:tc>
          <w:tcPr>
            <w:tcW w:w="1774" w:type="dxa"/>
            <w:vAlign w:val="center"/>
          </w:tcPr>
          <w:p w14:paraId="257DAD9D">
            <w:pPr>
              <w:jc w:val="center"/>
              <w:rPr>
                <w:rFonts w:ascii="宋体" w:hAnsi="宋体"/>
                <w:kern w:val="0"/>
                <w:sz w:val="20"/>
                <w:szCs w:val="21"/>
              </w:rPr>
            </w:pPr>
          </w:p>
        </w:tc>
        <w:tc>
          <w:tcPr>
            <w:tcW w:w="1846" w:type="dxa"/>
            <w:vAlign w:val="center"/>
          </w:tcPr>
          <w:p w14:paraId="452D806E">
            <w:pPr>
              <w:jc w:val="center"/>
              <w:rPr>
                <w:rFonts w:ascii="宋体" w:hAnsi="宋体"/>
                <w:kern w:val="0"/>
                <w:sz w:val="20"/>
                <w:szCs w:val="21"/>
              </w:rPr>
            </w:pPr>
          </w:p>
        </w:tc>
      </w:tr>
      <w:tr w14:paraId="2B94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6F7382C3">
            <w:pPr>
              <w:jc w:val="center"/>
              <w:rPr>
                <w:rFonts w:ascii="宋体" w:hAnsi="宋体"/>
                <w:kern w:val="0"/>
                <w:sz w:val="20"/>
                <w:szCs w:val="21"/>
              </w:rPr>
            </w:pPr>
          </w:p>
        </w:tc>
        <w:tc>
          <w:tcPr>
            <w:tcW w:w="2175" w:type="dxa"/>
            <w:vAlign w:val="center"/>
          </w:tcPr>
          <w:p w14:paraId="277525DA">
            <w:pPr>
              <w:jc w:val="center"/>
              <w:rPr>
                <w:rFonts w:ascii="宋体" w:hAnsi="宋体"/>
                <w:kern w:val="0"/>
                <w:sz w:val="20"/>
                <w:szCs w:val="21"/>
              </w:rPr>
            </w:pPr>
          </w:p>
        </w:tc>
        <w:tc>
          <w:tcPr>
            <w:tcW w:w="2425" w:type="dxa"/>
            <w:vAlign w:val="center"/>
          </w:tcPr>
          <w:p w14:paraId="5E32EFE3">
            <w:pPr>
              <w:jc w:val="center"/>
              <w:rPr>
                <w:rFonts w:ascii="宋体" w:hAnsi="宋体"/>
                <w:kern w:val="0"/>
                <w:sz w:val="20"/>
                <w:szCs w:val="21"/>
              </w:rPr>
            </w:pPr>
          </w:p>
        </w:tc>
        <w:tc>
          <w:tcPr>
            <w:tcW w:w="1774" w:type="dxa"/>
            <w:vAlign w:val="center"/>
          </w:tcPr>
          <w:p w14:paraId="7DFE0FAB">
            <w:pPr>
              <w:jc w:val="center"/>
              <w:rPr>
                <w:rFonts w:ascii="宋体" w:hAnsi="宋体"/>
                <w:kern w:val="0"/>
                <w:sz w:val="20"/>
                <w:szCs w:val="21"/>
              </w:rPr>
            </w:pPr>
          </w:p>
        </w:tc>
        <w:tc>
          <w:tcPr>
            <w:tcW w:w="1846" w:type="dxa"/>
            <w:vAlign w:val="center"/>
          </w:tcPr>
          <w:p w14:paraId="3AE73D82">
            <w:pPr>
              <w:jc w:val="center"/>
              <w:rPr>
                <w:rFonts w:ascii="宋体" w:hAnsi="宋体"/>
                <w:kern w:val="0"/>
                <w:sz w:val="20"/>
                <w:szCs w:val="21"/>
              </w:rPr>
            </w:pPr>
          </w:p>
        </w:tc>
      </w:tr>
    </w:tbl>
    <w:p w14:paraId="76D0F1D5">
      <w:pPr>
        <w:rPr>
          <w:rFonts w:ascii="宋体" w:hAnsi="宋体"/>
          <w:szCs w:val="21"/>
        </w:rPr>
      </w:pPr>
    </w:p>
    <w:p w14:paraId="195B8D13">
      <w:pPr>
        <w:rPr>
          <w:rFonts w:ascii="宋体" w:hAnsi="宋体"/>
          <w:szCs w:val="21"/>
        </w:rPr>
      </w:pPr>
    </w:p>
    <w:p w14:paraId="23653900">
      <w:pPr>
        <w:rPr>
          <w:rFonts w:ascii="宋体" w:hAnsi="宋体"/>
          <w:szCs w:val="21"/>
        </w:rPr>
      </w:pPr>
    </w:p>
    <w:p w14:paraId="04DF8CC3">
      <w:pPr>
        <w:rPr>
          <w:rFonts w:ascii="宋体" w:hAnsi="宋体"/>
          <w:szCs w:val="21"/>
        </w:rPr>
      </w:pPr>
    </w:p>
    <w:p w14:paraId="46B0E768">
      <w:r>
        <w:rPr>
          <w:rFonts w:hint="eastAsia" w:ascii="宋体" w:hAnsi="宋体"/>
          <w:szCs w:val="21"/>
        </w:rPr>
        <w:t>投标人名称（盖章）：              法定代表人或授权代表签字：</w:t>
      </w:r>
    </w:p>
    <w:p w14:paraId="2B389CC7">
      <w:pPr>
        <w:pStyle w:val="76"/>
        <w:rPr>
          <w:b/>
          <w:bCs/>
        </w:rPr>
      </w:pPr>
    </w:p>
    <w:p w14:paraId="79FA32FC">
      <w:pPr>
        <w:rPr>
          <w:rFonts w:ascii="宋体" w:hAnsi="宋体" w:cs="宋体"/>
          <w:b/>
          <w:bCs/>
          <w:sz w:val="32"/>
          <w:szCs w:val="32"/>
        </w:rPr>
      </w:pPr>
      <w:r>
        <w:rPr>
          <w:rFonts w:ascii="宋体" w:hAnsi="宋体" w:cs="宋体"/>
          <w:b/>
          <w:bCs/>
          <w:sz w:val="32"/>
          <w:szCs w:val="32"/>
        </w:rPr>
        <w:br w:type="page"/>
      </w:r>
    </w:p>
    <w:p w14:paraId="06174B79">
      <w:pPr>
        <w:pStyle w:val="76"/>
        <w:rPr>
          <w:rFonts w:hAnsi="宋体" w:cs="宋体"/>
          <w:b/>
          <w:bCs/>
          <w:sz w:val="32"/>
          <w:szCs w:val="32"/>
        </w:rPr>
      </w:pPr>
      <w:r>
        <w:rPr>
          <w:rFonts w:hint="eastAsia" w:hAnsi="宋体" w:cs="宋体"/>
          <w:b/>
          <w:bCs/>
          <w:sz w:val="32"/>
          <w:szCs w:val="32"/>
        </w:rPr>
        <w:t>附件5</w:t>
      </w:r>
    </w:p>
    <w:p w14:paraId="3CAF1A82">
      <w:pPr>
        <w:jc w:val="center"/>
        <w:rPr>
          <w:rFonts w:eastAsia="黑体"/>
          <w:sz w:val="28"/>
        </w:rPr>
      </w:pPr>
      <w:r>
        <w:rPr>
          <w:rFonts w:hint="eastAsia" w:eastAsia="黑体"/>
          <w:sz w:val="28"/>
        </w:rPr>
        <w:t>商务偏离表</w:t>
      </w:r>
    </w:p>
    <w:p w14:paraId="0E0F6B8E">
      <w:pPr>
        <w:rPr>
          <w:rFonts w:ascii="宋体" w:hAnsi="宋体"/>
          <w:szCs w:val="21"/>
        </w:rPr>
      </w:pPr>
    </w:p>
    <w:p w14:paraId="46B86972">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D5703B3">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2CB6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23077CFB">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0F399A9F">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5990E59C">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56B1FA2B">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2FEBB463">
            <w:pPr>
              <w:jc w:val="center"/>
              <w:rPr>
                <w:rFonts w:ascii="宋体" w:hAnsi="宋体"/>
                <w:kern w:val="0"/>
                <w:sz w:val="20"/>
                <w:szCs w:val="21"/>
              </w:rPr>
            </w:pPr>
            <w:r>
              <w:rPr>
                <w:rFonts w:hint="eastAsia" w:ascii="宋体" w:hAnsi="宋体"/>
                <w:kern w:val="0"/>
                <w:sz w:val="20"/>
                <w:szCs w:val="21"/>
              </w:rPr>
              <w:t>说明</w:t>
            </w:r>
          </w:p>
        </w:tc>
      </w:tr>
      <w:tr w14:paraId="6A21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1E4900DB">
            <w:pPr>
              <w:jc w:val="center"/>
              <w:rPr>
                <w:rFonts w:ascii="宋体" w:hAnsi="宋体"/>
                <w:kern w:val="0"/>
                <w:sz w:val="20"/>
                <w:szCs w:val="21"/>
              </w:rPr>
            </w:pPr>
          </w:p>
        </w:tc>
        <w:tc>
          <w:tcPr>
            <w:tcW w:w="2175" w:type="dxa"/>
            <w:vAlign w:val="center"/>
          </w:tcPr>
          <w:p w14:paraId="7ABE9100">
            <w:pPr>
              <w:jc w:val="center"/>
              <w:rPr>
                <w:rFonts w:ascii="宋体" w:hAnsi="宋体"/>
                <w:kern w:val="0"/>
                <w:sz w:val="20"/>
                <w:szCs w:val="21"/>
              </w:rPr>
            </w:pPr>
          </w:p>
        </w:tc>
        <w:tc>
          <w:tcPr>
            <w:tcW w:w="2425" w:type="dxa"/>
            <w:vAlign w:val="center"/>
          </w:tcPr>
          <w:p w14:paraId="29773168">
            <w:pPr>
              <w:jc w:val="center"/>
              <w:rPr>
                <w:rFonts w:ascii="宋体" w:hAnsi="宋体"/>
                <w:kern w:val="0"/>
                <w:sz w:val="20"/>
                <w:szCs w:val="21"/>
              </w:rPr>
            </w:pPr>
          </w:p>
        </w:tc>
        <w:tc>
          <w:tcPr>
            <w:tcW w:w="1774" w:type="dxa"/>
            <w:vAlign w:val="center"/>
          </w:tcPr>
          <w:p w14:paraId="10B7AF4F">
            <w:pPr>
              <w:jc w:val="center"/>
              <w:rPr>
                <w:rFonts w:ascii="宋体" w:hAnsi="宋体"/>
                <w:kern w:val="0"/>
                <w:sz w:val="20"/>
                <w:szCs w:val="21"/>
              </w:rPr>
            </w:pPr>
          </w:p>
        </w:tc>
        <w:tc>
          <w:tcPr>
            <w:tcW w:w="1846" w:type="dxa"/>
            <w:vAlign w:val="center"/>
          </w:tcPr>
          <w:p w14:paraId="761495A5">
            <w:pPr>
              <w:jc w:val="center"/>
              <w:rPr>
                <w:rFonts w:ascii="宋体" w:hAnsi="宋体"/>
                <w:kern w:val="0"/>
                <w:sz w:val="20"/>
                <w:szCs w:val="21"/>
              </w:rPr>
            </w:pPr>
          </w:p>
        </w:tc>
      </w:tr>
      <w:tr w14:paraId="0CB6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68B2876">
            <w:pPr>
              <w:jc w:val="center"/>
              <w:rPr>
                <w:rFonts w:ascii="宋体" w:hAnsi="宋体"/>
                <w:kern w:val="0"/>
                <w:sz w:val="20"/>
                <w:szCs w:val="21"/>
              </w:rPr>
            </w:pPr>
          </w:p>
        </w:tc>
        <w:tc>
          <w:tcPr>
            <w:tcW w:w="2175" w:type="dxa"/>
            <w:vAlign w:val="center"/>
          </w:tcPr>
          <w:p w14:paraId="19526812">
            <w:pPr>
              <w:jc w:val="center"/>
              <w:rPr>
                <w:rFonts w:ascii="宋体" w:hAnsi="宋体"/>
                <w:kern w:val="0"/>
                <w:sz w:val="20"/>
                <w:szCs w:val="21"/>
              </w:rPr>
            </w:pPr>
          </w:p>
        </w:tc>
        <w:tc>
          <w:tcPr>
            <w:tcW w:w="2425" w:type="dxa"/>
            <w:vAlign w:val="center"/>
          </w:tcPr>
          <w:p w14:paraId="020217A2">
            <w:pPr>
              <w:jc w:val="center"/>
              <w:rPr>
                <w:rFonts w:ascii="宋体" w:hAnsi="宋体"/>
                <w:kern w:val="0"/>
                <w:sz w:val="20"/>
                <w:szCs w:val="21"/>
              </w:rPr>
            </w:pPr>
          </w:p>
        </w:tc>
        <w:tc>
          <w:tcPr>
            <w:tcW w:w="1774" w:type="dxa"/>
            <w:vAlign w:val="center"/>
          </w:tcPr>
          <w:p w14:paraId="002220A2">
            <w:pPr>
              <w:jc w:val="center"/>
              <w:rPr>
                <w:rFonts w:ascii="宋体" w:hAnsi="宋体"/>
                <w:kern w:val="0"/>
                <w:sz w:val="20"/>
                <w:szCs w:val="21"/>
              </w:rPr>
            </w:pPr>
          </w:p>
        </w:tc>
        <w:tc>
          <w:tcPr>
            <w:tcW w:w="1846" w:type="dxa"/>
            <w:vAlign w:val="center"/>
          </w:tcPr>
          <w:p w14:paraId="76C8B12F">
            <w:pPr>
              <w:jc w:val="center"/>
              <w:rPr>
                <w:rFonts w:ascii="宋体" w:hAnsi="宋体"/>
                <w:kern w:val="0"/>
                <w:sz w:val="20"/>
                <w:szCs w:val="21"/>
              </w:rPr>
            </w:pPr>
          </w:p>
        </w:tc>
      </w:tr>
      <w:tr w14:paraId="200C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55085E2">
            <w:pPr>
              <w:jc w:val="center"/>
              <w:rPr>
                <w:rFonts w:ascii="宋体" w:hAnsi="宋体"/>
                <w:kern w:val="0"/>
                <w:sz w:val="20"/>
                <w:szCs w:val="21"/>
              </w:rPr>
            </w:pPr>
          </w:p>
        </w:tc>
        <w:tc>
          <w:tcPr>
            <w:tcW w:w="2175" w:type="dxa"/>
            <w:vAlign w:val="center"/>
          </w:tcPr>
          <w:p w14:paraId="563B130B">
            <w:pPr>
              <w:jc w:val="center"/>
              <w:rPr>
                <w:rFonts w:ascii="宋体" w:hAnsi="宋体"/>
                <w:kern w:val="0"/>
                <w:sz w:val="20"/>
                <w:szCs w:val="21"/>
              </w:rPr>
            </w:pPr>
          </w:p>
        </w:tc>
        <w:tc>
          <w:tcPr>
            <w:tcW w:w="2425" w:type="dxa"/>
            <w:vAlign w:val="center"/>
          </w:tcPr>
          <w:p w14:paraId="3898073B">
            <w:pPr>
              <w:jc w:val="center"/>
              <w:rPr>
                <w:rFonts w:ascii="宋体" w:hAnsi="宋体"/>
                <w:kern w:val="0"/>
                <w:sz w:val="20"/>
                <w:szCs w:val="21"/>
              </w:rPr>
            </w:pPr>
          </w:p>
        </w:tc>
        <w:tc>
          <w:tcPr>
            <w:tcW w:w="1774" w:type="dxa"/>
            <w:vAlign w:val="center"/>
          </w:tcPr>
          <w:p w14:paraId="516E23A6">
            <w:pPr>
              <w:jc w:val="center"/>
              <w:rPr>
                <w:rFonts w:ascii="宋体" w:hAnsi="宋体"/>
                <w:kern w:val="0"/>
                <w:sz w:val="20"/>
                <w:szCs w:val="21"/>
              </w:rPr>
            </w:pPr>
          </w:p>
        </w:tc>
        <w:tc>
          <w:tcPr>
            <w:tcW w:w="1846" w:type="dxa"/>
            <w:vAlign w:val="center"/>
          </w:tcPr>
          <w:p w14:paraId="1FFA0C64">
            <w:pPr>
              <w:jc w:val="center"/>
              <w:rPr>
                <w:rFonts w:ascii="宋体" w:hAnsi="宋体"/>
                <w:kern w:val="0"/>
                <w:sz w:val="20"/>
                <w:szCs w:val="21"/>
              </w:rPr>
            </w:pPr>
          </w:p>
        </w:tc>
      </w:tr>
      <w:tr w14:paraId="054D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378E3A4">
            <w:pPr>
              <w:jc w:val="center"/>
              <w:rPr>
                <w:rFonts w:ascii="宋体" w:hAnsi="宋体"/>
                <w:kern w:val="0"/>
                <w:sz w:val="20"/>
                <w:szCs w:val="21"/>
              </w:rPr>
            </w:pPr>
          </w:p>
        </w:tc>
        <w:tc>
          <w:tcPr>
            <w:tcW w:w="2175" w:type="dxa"/>
            <w:vAlign w:val="center"/>
          </w:tcPr>
          <w:p w14:paraId="43305251">
            <w:pPr>
              <w:jc w:val="center"/>
              <w:rPr>
                <w:rFonts w:ascii="宋体" w:hAnsi="宋体"/>
                <w:kern w:val="0"/>
                <w:sz w:val="20"/>
                <w:szCs w:val="21"/>
              </w:rPr>
            </w:pPr>
          </w:p>
        </w:tc>
        <w:tc>
          <w:tcPr>
            <w:tcW w:w="2425" w:type="dxa"/>
            <w:vAlign w:val="center"/>
          </w:tcPr>
          <w:p w14:paraId="6CDC8E18">
            <w:pPr>
              <w:jc w:val="center"/>
              <w:rPr>
                <w:rFonts w:ascii="宋体" w:hAnsi="宋体"/>
                <w:kern w:val="0"/>
                <w:sz w:val="20"/>
                <w:szCs w:val="21"/>
              </w:rPr>
            </w:pPr>
          </w:p>
        </w:tc>
        <w:tc>
          <w:tcPr>
            <w:tcW w:w="1774" w:type="dxa"/>
            <w:vAlign w:val="center"/>
          </w:tcPr>
          <w:p w14:paraId="022A44D2">
            <w:pPr>
              <w:jc w:val="center"/>
              <w:rPr>
                <w:rFonts w:ascii="宋体" w:hAnsi="宋体"/>
                <w:kern w:val="0"/>
                <w:sz w:val="20"/>
                <w:szCs w:val="21"/>
              </w:rPr>
            </w:pPr>
          </w:p>
        </w:tc>
        <w:tc>
          <w:tcPr>
            <w:tcW w:w="1846" w:type="dxa"/>
            <w:vAlign w:val="center"/>
          </w:tcPr>
          <w:p w14:paraId="05A78BB2">
            <w:pPr>
              <w:jc w:val="center"/>
              <w:rPr>
                <w:rFonts w:ascii="宋体" w:hAnsi="宋体"/>
                <w:kern w:val="0"/>
                <w:sz w:val="20"/>
                <w:szCs w:val="21"/>
              </w:rPr>
            </w:pPr>
          </w:p>
        </w:tc>
      </w:tr>
      <w:tr w14:paraId="53B5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71045FA">
            <w:pPr>
              <w:jc w:val="center"/>
              <w:rPr>
                <w:rFonts w:ascii="宋体" w:hAnsi="宋体"/>
                <w:kern w:val="0"/>
                <w:sz w:val="20"/>
                <w:szCs w:val="21"/>
              </w:rPr>
            </w:pPr>
          </w:p>
        </w:tc>
        <w:tc>
          <w:tcPr>
            <w:tcW w:w="2175" w:type="dxa"/>
            <w:vAlign w:val="center"/>
          </w:tcPr>
          <w:p w14:paraId="4A24A8DB">
            <w:pPr>
              <w:jc w:val="center"/>
              <w:rPr>
                <w:rFonts w:ascii="宋体" w:hAnsi="宋体"/>
                <w:kern w:val="0"/>
                <w:sz w:val="20"/>
                <w:szCs w:val="21"/>
              </w:rPr>
            </w:pPr>
          </w:p>
        </w:tc>
        <w:tc>
          <w:tcPr>
            <w:tcW w:w="2425" w:type="dxa"/>
            <w:vAlign w:val="center"/>
          </w:tcPr>
          <w:p w14:paraId="2540822A">
            <w:pPr>
              <w:jc w:val="center"/>
              <w:rPr>
                <w:rFonts w:ascii="宋体" w:hAnsi="宋体"/>
                <w:kern w:val="0"/>
                <w:sz w:val="20"/>
                <w:szCs w:val="21"/>
              </w:rPr>
            </w:pPr>
          </w:p>
        </w:tc>
        <w:tc>
          <w:tcPr>
            <w:tcW w:w="1774" w:type="dxa"/>
            <w:vAlign w:val="center"/>
          </w:tcPr>
          <w:p w14:paraId="39D23CDB">
            <w:pPr>
              <w:jc w:val="center"/>
              <w:rPr>
                <w:rFonts w:ascii="宋体" w:hAnsi="宋体"/>
                <w:kern w:val="0"/>
                <w:sz w:val="20"/>
                <w:szCs w:val="21"/>
              </w:rPr>
            </w:pPr>
          </w:p>
        </w:tc>
        <w:tc>
          <w:tcPr>
            <w:tcW w:w="1846" w:type="dxa"/>
            <w:vAlign w:val="center"/>
          </w:tcPr>
          <w:p w14:paraId="22C67063">
            <w:pPr>
              <w:jc w:val="center"/>
              <w:rPr>
                <w:rFonts w:ascii="宋体" w:hAnsi="宋体"/>
                <w:kern w:val="0"/>
                <w:sz w:val="20"/>
                <w:szCs w:val="21"/>
              </w:rPr>
            </w:pPr>
          </w:p>
        </w:tc>
      </w:tr>
      <w:tr w14:paraId="3FC3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7EDF66CE">
            <w:pPr>
              <w:jc w:val="center"/>
              <w:rPr>
                <w:rFonts w:ascii="宋体" w:hAnsi="宋体"/>
                <w:kern w:val="0"/>
                <w:sz w:val="20"/>
                <w:szCs w:val="21"/>
              </w:rPr>
            </w:pPr>
          </w:p>
        </w:tc>
        <w:tc>
          <w:tcPr>
            <w:tcW w:w="2175" w:type="dxa"/>
            <w:vAlign w:val="center"/>
          </w:tcPr>
          <w:p w14:paraId="7E4AE688">
            <w:pPr>
              <w:jc w:val="center"/>
              <w:rPr>
                <w:rFonts w:ascii="宋体" w:hAnsi="宋体"/>
                <w:kern w:val="0"/>
                <w:sz w:val="20"/>
                <w:szCs w:val="21"/>
              </w:rPr>
            </w:pPr>
          </w:p>
        </w:tc>
        <w:tc>
          <w:tcPr>
            <w:tcW w:w="2425" w:type="dxa"/>
            <w:vAlign w:val="center"/>
          </w:tcPr>
          <w:p w14:paraId="0EFCA554">
            <w:pPr>
              <w:jc w:val="center"/>
              <w:rPr>
                <w:rFonts w:ascii="宋体" w:hAnsi="宋体"/>
                <w:kern w:val="0"/>
                <w:sz w:val="20"/>
                <w:szCs w:val="21"/>
              </w:rPr>
            </w:pPr>
          </w:p>
        </w:tc>
        <w:tc>
          <w:tcPr>
            <w:tcW w:w="1774" w:type="dxa"/>
            <w:vAlign w:val="center"/>
          </w:tcPr>
          <w:p w14:paraId="06A464E6">
            <w:pPr>
              <w:jc w:val="center"/>
              <w:rPr>
                <w:rFonts w:ascii="宋体" w:hAnsi="宋体"/>
                <w:kern w:val="0"/>
                <w:sz w:val="20"/>
                <w:szCs w:val="21"/>
              </w:rPr>
            </w:pPr>
          </w:p>
        </w:tc>
        <w:tc>
          <w:tcPr>
            <w:tcW w:w="1846" w:type="dxa"/>
            <w:vAlign w:val="center"/>
          </w:tcPr>
          <w:p w14:paraId="6EE78DBE">
            <w:pPr>
              <w:jc w:val="center"/>
              <w:rPr>
                <w:rFonts w:ascii="宋体" w:hAnsi="宋体"/>
                <w:kern w:val="0"/>
                <w:sz w:val="20"/>
                <w:szCs w:val="21"/>
              </w:rPr>
            </w:pPr>
          </w:p>
        </w:tc>
      </w:tr>
    </w:tbl>
    <w:p w14:paraId="079B79C0">
      <w:pPr>
        <w:rPr>
          <w:rFonts w:ascii="宋体" w:hAnsi="宋体"/>
          <w:szCs w:val="21"/>
        </w:rPr>
      </w:pPr>
    </w:p>
    <w:p w14:paraId="47F87054">
      <w:pPr>
        <w:rPr>
          <w:rFonts w:ascii="宋体" w:hAnsi="宋体"/>
          <w:szCs w:val="21"/>
        </w:rPr>
      </w:pPr>
    </w:p>
    <w:p w14:paraId="65FBF977">
      <w:pPr>
        <w:rPr>
          <w:rFonts w:ascii="宋体" w:hAnsi="宋体"/>
          <w:szCs w:val="21"/>
        </w:rPr>
      </w:pPr>
    </w:p>
    <w:p w14:paraId="676546F3">
      <w:pPr>
        <w:rPr>
          <w:rFonts w:ascii="宋体" w:hAnsi="宋体"/>
          <w:szCs w:val="21"/>
        </w:rPr>
      </w:pPr>
    </w:p>
    <w:p w14:paraId="47B7D59C">
      <w:pPr>
        <w:pStyle w:val="76"/>
        <w:rPr>
          <w:rFonts w:hAnsi="宋体"/>
          <w:szCs w:val="21"/>
        </w:rPr>
      </w:pPr>
      <w:r>
        <w:rPr>
          <w:rFonts w:hint="eastAsia" w:hAnsi="宋体"/>
          <w:szCs w:val="21"/>
        </w:rPr>
        <w:t>投标人名称（盖章）：              法定代表人或授权代表签字：</w:t>
      </w:r>
    </w:p>
    <w:p w14:paraId="1BCC8B59">
      <w:pPr>
        <w:rPr>
          <w:rFonts w:ascii="宋体" w:hAnsi="宋体" w:cs="宋体"/>
          <w:b/>
          <w:bCs/>
          <w:sz w:val="32"/>
          <w:szCs w:val="32"/>
        </w:rPr>
      </w:pPr>
      <w:r>
        <w:rPr>
          <w:rFonts w:ascii="宋体" w:hAnsi="宋体" w:cs="宋体"/>
          <w:b/>
          <w:bCs/>
          <w:sz w:val="32"/>
          <w:szCs w:val="32"/>
        </w:rPr>
        <w:br w:type="page"/>
      </w:r>
    </w:p>
    <w:p w14:paraId="6DB6E000">
      <w:pPr>
        <w:pStyle w:val="2"/>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2"/>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5"/>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6"/>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7"/>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8"/>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2"/>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9"/>
                    <a:stretch>
                      <a:fillRect/>
                    </a:stretch>
                  </pic:blipFill>
                  <pic:spPr>
                    <a:xfrm>
                      <a:off x="0" y="0"/>
                      <a:ext cx="5760085" cy="2810122"/>
                    </a:xfrm>
                    <a:prstGeom prst="rect">
                      <a:avLst/>
                    </a:prstGeom>
                  </pic:spPr>
                </pic:pic>
              </a:graphicData>
            </a:graphic>
          </wp:inline>
        </w:drawing>
      </w:r>
    </w:p>
    <w:p w14:paraId="68C26661">
      <w:pPr>
        <w:pStyle w:val="2"/>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0"/>
                    <a:stretch>
                      <a:fillRect/>
                    </a:stretch>
                  </pic:blipFill>
                  <pic:spPr>
                    <a:xfrm>
                      <a:off x="0" y="0"/>
                      <a:ext cx="5760085" cy="2820042"/>
                    </a:xfrm>
                    <a:prstGeom prst="rect">
                      <a:avLst/>
                    </a:prstGeom>
                  </pic:spPr>
                </pic:pic>
              </a:graphicData>
            </a:graphic>
          </wp:inline>
        </w:drawing>
      </w:r>
    </w:p>
    <w:p w14:paraId="4BC81C19">
      <w:pPr>
        <w:pStyle w:val="2"/>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工艺设备 / 工艺设备”，业务主管部门为“工艺研究院”。</w:t>
      </w:r>
      <w:r>
        <w:rPr>
          <w:rFonts w:hint="eastAsia" w:ascii="宋体" w:hAnsi="宋体" w:cs="宋体"/>
          <w:b/>
          <w:bCs/>
          <w:color w:val="000000"/>
          <w:sz w:val="24"/>
          <w:szCs w:val="24"/>
        </w:rPr>
        <w:br w:type="page"/>
      </w:r>
    </w:p>
    <w:p w14:paraId="3EF56BD2">
      <w:pPr>
        <w:pStyle w:val="2"/>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1"/>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2"/>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p w14:paraId="62C7BFB2">
      <w:pPr>
        <w:pStyle w:val="2"/>
        <w:rPr>
          <w:rFonts w:hAnsi="宋体"/>
          <w:b/>
          <w:color w:val="000000"/>
          <w:sz w:val="24"/>
          <w:szCs w:val="24"/>
        </w:rPr>
      </w:pPr>
    </w:p>
    <w:p w14:paraId="39CB5A8E">
      <w:pPr>
        <w:pStyle w:val="12"/>
      </w:pPr>
    </w:p>
    <w:p w14:paraId="2BBCDDE9">
      <w:pPr>
        <w:pStyle w:val="76"/>
        <w:rPr>
          <w:rFonts w:hAnsi="宋体"/>
          <w:b/>
          <w:bCs/>
          <w:sz w:val="24"/>
          <w:szCs w:val="24"/>
        </w:rPr>
      </w:pPr>
    </w:p>
    <w:p w14:paraId="293A4F96">
      <w:pPr>
        <w:pStyle w:val="76"/>
        <w:rPr>
          <w:rFonts w:hAnsi="宋体" w:cs="宋体"/>
          <w:b/>
          <w:bCs/>
          <w:sz w:val="32"/>
          <w:szCs w:val="32"/>
        </w:rPr>
      </w:pPr>
    </w:p>
    <w:p w14:paraId="1007312A">
      <w:pPr>
        <w:pStyle w:val="76"/>
        <w:rPr>
          <w:rFonts w:hAnsi="宋体"/>
          <w:sz w:val="24"/>
        </w:rPr>
      </w:pPr>
    </w:p>
    <w:p w14:paraId="5A74F6FF">
      <w:pPr>
        <w:pStyle w:val="76"/>
        <w:rPr>
          <w:rFonts w:hAnsi="宋体" w:cs="宋体"/>
          <w:b/>
          <w:bCs/>
          <w:sz w:val="32"/>
          <w:szCs w:val="32"/>
        </w:rPr>
      </w:pPr>
    </w:p>
    <w:p w14:paraId="38CFA109">
      <w:pPr>
        <w:pStyle w:val="76"/>
        <w:rPr>
          <w:rFonts w:hAnsi="宋体" w:cs="宋体"/>
          <w:b/>
          <w:bCs/>
          <w:sz w:val="32"/>
          <w:szCs w:val="32"/>
        </w:rPr>
      </w:pPr>
    </w:p>
    <w:sectPr>
      <w:headerReference r:id="rId10" w:type="first"/>
      <w:footerReference r:id="rId11"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13FD0E0">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- 2 -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40</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E2153">
    <w:pPr>
      <w:pStyle w:val="18"/>
      <w:framePr w:wrap="around" w:vAnchor="text" w:hAnchor="margin" w:xAlign="center" w:y="1"/>
      <w:rPr>
        <w:rStyle w:val="34"/>
      </w:rPr>
    </w:pPr>
    <w:r>
      <w:fldChar w:fldCharType="begin"/>
    </w:r>
    <w:r>
      <w:rPr>
        <w:rStyle w:val="34"/>
      </w:rPr>
      <w:instrText xml:space="preserve">PAGE  </w:instrText>
    </w:r>
    <w:r>
      <w:fldChar w:fldCharType="end"/>
    </w:r>
  </w:p>
  <w:p w14:paraId="36A84289">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8FA5D">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FA2E5">
    <w:pPr>
      <w:pStyle w:val="18"/>
      <w:jc w:val="center"/>
    </w:pPr>
    <w:r>
      <mc:AlternateContent>
        <mc:Choice Requires="wps">
          <w:drawing>
            <wp:anchor distT="0" distB="0" distL="0" distR="0" simplePos="0" relativeHeight="251660288" behindDoc="0" locked="0" layoutInCell="0" allowOverlap="1">
              <wp:simplePos x="0" y="0"/>
              <wp:positionH relativeFrom="margin">
                <wp:align>center</wp:align>
              </wp:positionH>
              <wp:positionV relativeFrom="paragraph">
                <wp:posOffset>635</wp:posOffset>
              </wp:positionV>
              <wp:extent cx="1829435" cy="165100"/>
              <wp:effectExtent l="0" t="0" r="0" b="0"/>
              <wp:wrapNone/>
              <wp:docPr id="2"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5C310486">
                          <w:pPr>
                            <w:pStyle w:val="111"/>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- 11 -</w:t>
                          </w:r>
                          <w:r>
                            <w:rPr>
                              <w:color w:val="000000"/>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05pt;height:13pt;width:144.05pt;mso-position-horizontal:center;mso-position-horizontal-relative:margin;z-index:251660288;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G+jj9DCAQAAgQMAAA4AAABkcnMvZTJvRG9jLnhtbK1TzW7bMAy+&#10;D+g7CLovdrw1CIw4RYGgxYBhK9DtPCiyFAvQH0Qldl6gfYOddtl9z5XnGKU4ydBdeuhFJkXyI7+P&#10;8uJmMJrsRADlbEOnk5ISYblrld009Pu3u/dzSiAy2zLtrGjoXgC9WV69W/S+FpXrnG5FIAhioe59&#10;Q7sYfV0UwDthGEycFxaD0gXDIrphU7SB9YhudFGV5azoXWh9cFwA4O3qGKQjYngNoJNScbFyfGuE&#10;jUfUIDSLSAk65YEu87RSCh6/SgkiEt1QZBrziU3QXqezWC5YvQnMd4qPI7DXjPCCk2HKYtMz1IpF&#10;RrZB/QdlFA8OnIwT7kxxJJIVQRbT8oU2jx3zInNBqcGfRYe3g+Vfdg+BqLahFSWWGVz44efz4def&#10;w+8nUv3IAvUeasx79A8B5UoeoJnYDjKY9EUeZMii7s+iiiESjpfTeTWfl6g3x9h09vG6yqDFpdoH&#10;iPfCGZKMhgZcWtaS7T5DxI6YekpJzay7U1rnxWlL+obOPlyXueAcwQptsfAya7LisB5GAmvX7pG3&#10;/mRRy/QuTkY4GevRSB3B324jds3DJKRj+dgAN5NnHF9RWv2/fs66/Dn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Bvo4/QwgEAAIEDAAAOAAAAAAAAAAEAIAAAACIBAABkcnMvZTJvRG9jLnht&#10;bFBLBQYAAAAABgAGAFkBAABWBQAAAAA=&#10;">
              <v:fill on="f" focussize="0,0"/>
              <v:stroke on="f" weight="0.5pt"/>
              <v:imagedata o:title=""/>
              <o:lock v:ext="edit" aspectratio="f"/>
              <v:textbox inset="0mm,0mm,0mm,0mm" style="mso-fit-shape-to-text:t;">
                <w:txbxContent>
                  <w:p w14:paraId="5C310486">
                    <w:pPr>
                      <w:pStyle w:val="111"/>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- 11 -</w:t>
                    </w:r>
                    <w:r>
                      <w:rPr>
                        <w:color w:val="000000"/>
                        <w:szCs w:val="2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B9E32">
    <w:pPr>
      <w:pStyle w:val="18"/>
    </w:pPr>
    <w:r>
      <mc:AlternateContent>
        <mc:Choice Requires="wps">
          <w:drawing>
            <wp:anchor distT="0" distB="0" distL="0" distR="0" simplePos="0" relativeHeight="251661312" behindDoc="0" locked="0" layoutInCell="0" allowOverlap="1">
              <wp:simplePos x="0" y="0"/>
              <wp:positionH relativeFrom="margin">
                <wp:align>center</wp:align>
              </wp:positionH>
              <wp:positionV relativeFrom="paragraph">
                <wp:posOffset>635</wp:posOffset>
              </wp:positionV>
              <wp:extent cx="1829435" cy="165100"/>
              <wp:effectExtent l="0" t="0" r="0" b="0"/>
              <wp:wrapNone/>
              <wp:docPr id="11"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8899BF1">
                          <w:pPr>
                            <w:pStyle w:val="111"/>
                            <w:rPr>
                              <w:sz w:val="18"/>
                            </w:rPr>
                          </w:pPr>
                          <w:r>
                            <w:fldChar w:fldCharType="begin"/>
                          </w:r>
                          <w:r>
                            <w:instrText xml:space="preserve">PAGE</w:instrText>
                          </w:r>
                          <w:r>
                            <w:fldChar w:fldCharType="separate"/>
                          </w:r>
                          <w:r>
                            <w:t>- 4 -</w:t>
                          </w:r>
                          <w:r>
                            <w:fldChar w:fldCharType="end"/>
                          </w:r>
                        </w:p>
                      </w:txbxContent>
                    </wps:txbx>
                    <wps:bodyPr lIns="0" tIns="0" rIns="0" bIns="0">
                      <a:spAutoFit/>
                    </wps:bodyPr>
                  </wps:wsp>
                </a:graphicData>
              </a:graphic>
            </wp:anchor>
          </w:drawing>
        </mc:Choice>
        <mc:Fallback>
          <w:pict>
            <v:rect id="文本框 2_0" o:spid="_x0000_s1026" o:spt="1" style="position:absolute;left:0pt;margin-top:0.05pt;height:13pt;width:144.05pt;mso-position-horizontal:center;mso-position-horizontal-relative:margin;z-index:251661312;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PFzvMnDAQAAggMAAA4AAABkcnMvZTJvRG9jLnhtbK1TS44TMRDd&#10;I3EHy3vSH5goaqUzGikahIRgpIE1ctx22pJ/cjnpzgXgBqzYsOdcOQdlp5OgYTOL2birXFWv6r1y&#10;L29Ho8leBFDOtrSalZQIy12n7LalX7/cv1lQApHZjmlnRUsPAujt6vWr5eAbUbve6U4EgiAWmsG3&#10;tI/RN0UBvBeGwcx5YTEoXTAsohu2RRfYgOhGF3VZzovBhc4HxwUA3q5PQTohhucAOikVF2vHd0bY&#10;eEINQrOIlKBXHugqTyul4PGzlCAi0S1FpjGf2ATtTTqL1ZI128B8r/g0AnvOCE84GaYsNr1ArVlk&#10;ZBfUf1BG8eDAyTjjzhQnIlkRZFGVT7R57JkXmQtKDf4iOrwcLP+0fwhEdfgSKkosM7jx488fx19/&#10;jr+/k/pbVmjw0GDio38IqFfyAM1Ed5TBpC8SIWNW9XBRVYyRcLysFvViUaLgHGPV/N1NnUGLa7UP&#10;EN8LZ0gyWhpwa1lMtv8IETti6jklNbPuXmmdN6ctGVo6f3tT5oJLBCu0xcLrrMmK42acCGxcd0Di&#10;+oNFMdPDOBvhbGwmI3UEf7eL2DUPk5BO5VMDXE2ecXpGaff/+jnr+uu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8XO8ycMBAACCAwAADgAAAAAAAAABACAAAAAiAQAAZHJzL2Uyb0RvYy54&#10;bWxQSwUGAAAAAAYABgBZAQAAVwUAAAAA&#10;">
              <v:fill on="f" focussize="0,0"/>
              <v:stroke on="f" weight="0.5pt"/>
              <v:imagedata o:title=""/>
              <o:lock v:ext="edit" aspectratio="f"/>
              <v:textbox inset="0mm,0mm,0mm,0mm" style="mso-fit-shape-to-text:t;">
                <w:txbxContent>
                  <w:p w14:paraId="28899BF1">
                    <w:pPr>
                      <w:pStyle w:val="111"/>
                      <w:rPr>
                        <w:sz w:val="18"/>
                      </w:rPr>
                    </w:pPr>
                    <w:r>
                      <w:fldChar w:fldCharType="begin"/>
                    </w:r>
                    <w:r>
                      <w:instrText xml:space="preserve">PAGE</w:instrText>
                    </w:r>
                    <w:r>
                      <w:fldChar w:fldCharType="separate"/>
                    </w:r>
                    <w:r>
                      <w:t>- 4 -</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363EA396">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40</w:t>
            </w:r>
            <w:r>
              <w:rPr>
                <w:lang w:val="zh-CN"/>
              </w:rPr>
              <w:fldChar w:fldCharType="end"/>
            </w:r>
            <w:r>
              <w:rPr>
                <w:rFonts w:hint="eastAsia"/>
                <w:lang w:val="zh-CN"/>
              </w:rPr>
              <w:t>页</w:t>
            </w:r>
          </w:p>
        </w:sdtContent>
      </w:sdt>
    </w:sdtContent>
  </w:sdt>
  <w:p w14:paraId="4D7D6D4F">
    <w:pPr>
      <w:pStyle w:val="18"/>
      <w:jc w:val="center"/>
    </w:pPr>
  </w:p>
  <w:p w14:paraId="29BB7BE0"/>
  <w:p w14:paraId="01DA3E46"/>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5276">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552C5">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1E8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CA473A4"/>
    <w:multiLevelType w:val="multilevel"/>
    <w:tmpl w:val="1CA473A4"/>
    <w:lvl w:ilvl="0" w:tentative="0">
      <w:start w:val="1"/>
      <w:numFmt w:val="decimal"/>
      <w:lvlText w:val="%1)"/>
      <w:lvlJc w:val="left"/>
      <w:pPr>
        <w:tabs>
          <w:tab w:val="left" w:pos="600"/>
        </w:tabs>
        <w:ind w:left="600" w:hanging="420"/>
      </w:pPr>
    </w:lvl>
    <w:lvl w:ilvl="1" w:tentative="0">
      <w:start w:val="1"/>
      <w:numFmt w:val="decimal"/>
      <w:lvlText w:val="%2)"/>
      <w:lvlJc w:val="left"/>
      <w:pPr>
        <w:tabs>
          <w:tab w:val="left" w:pos="1020"/>
        </w:tabs>
        <w:ind w:left="1020" w:hanging="420"/>
      </w:pPr>
    </w:lvl>
    <w:lvl w:ilvl="2" w:tentative="0">
      <w:start w:val="1"/>
      <w:numFmt w:val="none"/>
      <w:lvlText w:val="2)"/>
      <w:lvlJc w:val="left"/>
      <w:pPr>
        <w:tabs>
          <w:tab w:val="left" w:pos="600"/>
        </w:tabs>
        <w:ind w:left="600" w:hanging="420"/>
      </w:pPr>
      <w:rPr>
        <w:rFonts w:hint="eastAsia"/>
      </w:r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highlight w:val="none"/>
      </w:rPr>
    </w:lvl>
  </w:abstractNum>
  <w:abstractNum w:abstractNumId="20">
    <w:nsid w:val="432B0804"/>
    <w:multiLevelType w:val="multilevel"/>
    <w:tmpl w:val="432B0804"/>
    <w:lvl w:ilvl="0" w:tentative="0">
      <w:start w:val="1"/>
      <w:numFmt w:val="decimal"/>
      <w:lvlText w:val="%1)"/>
      <w:lvlJc w:val="left"/>
      <w:pPr>
        <w:tabs>
          <w:tab w:val="left" w:pos="1021"/>
        </w:tabs>
        <w:ind w:left="1021" w:hanging="420"/>
      </w:pPr>
    </w:lvl>
    <w:lvl w:ilvl="1" w:tentative="0">
      <w:start w:val="1"/>
      <w:numFmt w:val="decimal"/>
      <w:lvlText w:val="%2)"/>
      <w:lvlJc w:val="left"/>
      <w:pPr>
        <w:tabs>
          <w:tab w:val="left" w:pos="780"/>
        </w:tabs>
        <w:ind w:left="780" w:hanging="420"/>
      </w:pPr>
    </w:lvl>
    <w:lvl w:ilvl="2" w:tentative="0">
      <w:start w:val="1"/>
      <w:numFmt w:val="lowerRoman"/>
      <w:lvlText w:val="%3."/>
      <w:lvlJc w:val="right"/>
      <w:pPr>
        <w:tabs>
          <w:tab w:val="left" w:pos="1861"/>
        </w:tabs>
        <w:ind w:left="1861" w:hanging="420"/>
      </w:pPr>
    </w:lvl>
    <w:lvl w:ilvl="3" w:tentative="0">
      <w:start w:val="1"/>
      <w:numFmt w:val="decimal"/>
      <w:lvlText w:val="%4."/>
      <w:lvlJc w:val="left"/>
      <w:pPr>
        <w:tabs>
          <w:tab w:val="left" w:pos="2281"/>
        </w:tabs>
        <w:ind w:left="2281" w:hanging="420"/>
      </w:pPr>
    </w:lvl>
    <w:lvl w:ilvl="4" w:tentative="0">
      <w:start w:val="1"/>
      <w:numFmt w:val="lowerLetter"/>
      <w:lvlText w:val="%5)"/>
      <w:lvlJc w:val="left"/>
      <w:pPr>
        <w:tabs>
          <w:tab w:val="left" w:pos="2701"/>
        </w:tabs>
        <w:ind w:left="2701" w:hanging="420"/>
      </w:pPr>
    </w:lvl>
    <w:lvl w:ilvl="5" w:tentative="0">
      <w:start w:val="1"/>
      <w:numFmt w:val="lowerRoman"/>
      <w:lvlText w:val="%6."/>
      <w:lvlJc w:val="right"/>
      <w:pPr>
        <w:tabs>
          <w:tab w:val="left" w:pos="3121"/>
        </w:tabs>
        <w:ind w:left="3121" w:hanging="420"/>
      </w:pPr>
    </w:lvl>
    <w:lvl w:ilvl="6" w:tentative="0">
      <w:start w:val="1"/>
      <w:numFmt w:val="decimal"/>
      <w:lvlText w:val="%7."/>
      <w:lvlJc w:val="left"/>
      <w:pPr>
        <w:tabs>
          <w:tab w:val="left" w:pos="3541"/>
        </w:tabs>
        <w:ind w:left="3541" w:hanging="420"/>
      </w:pPr>
    </w:lvl>
    <w:lvl w:ilvl="7" w:tentative="0">
      <w:start w:val="1"/>
      <w:numFmt w:val="lowerLetter"/>
      <w:lvlText w:val="%8)"/>
      <w:lvlJc w:val="left"/>
      <w:pPr>
        <w:tabs>
          <w:tab w:val="left" w:pos="3961"/>
        </w:tabs>
        <w:ind w:left="3961" w:hanging="420"/>
      </w:pPr>
    </w:lvl>
    <w:lvl w:ilvl="8" w:tentative="0">
      <w:start w:val="1"/>
      <w:numFmt w:val="lowerRoman"/>
      <w:lvlText w:val="%9."/>
      <w:lvlJc w:val="right"/>
      <w:pPr>
        <w:tabs>
          <w:tab w:val="left" w:pos="4381"/>
        </w:tabs>
        <w:ind w:left="4381" w:hanging="420"/>
      </w:pPr>
    </w:lvl>
  </w:abstractNum>
  <w:abstractNum w:abstractNumId="21">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22">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5983D379"/>
    <w:multiLevelType w:val="singleLevel"/>
    <w:tmpl w:val="5983D379"/>
    <w:lvl w:ilvl="0" w:tentative="0">
      <w:start w:val="1"/>
      <w:numFmt w:val="decimal"/>
      <w:lvlText w:val="(%1)"/>
      <w:lvlJc w:val="left"/>
      <w:pPr>
        <w:ind w:left="425" w:hanging="425"/>
      </w:pPr>
      <w:rPr>
        <w:rFonts w:hint="default"/>
      </w:rPr>
    </w:lvl>
  </w:abstractNum>
  <w:abstractNum w:abstractNumId="27">
    <w:nsid w:val="5CCE0B2F"/>
    <w:multiLevelType w:val="multilevel"/>
    <w:tmpl w:val="5CCE0B2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2"/>
  </w:num>
  <w:num w:numId="2">
    <w:abstractNumId w:val="28"/>
  </w:num>
  <w:num w:numId="3">
    <w:abstractNumId w:val="25"/>
  </w:num>
  <w:num w:numId="4">
    <w:abstractNumId w:val="23"/>
  </w:num>
  <w:num w:numId="5">
    <w:abstractNumId w:val="12"/>
  </w:num>
  <w:num w:numId="6">
    <w:abstractNumId w:val="14"/>
  </w:num>
  <w:num w:numId="7">
    <w:abstractNumId w:val="16"/>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
  </w:num>
  <w:num w:numId="12">
    <w:abstractNumId w:val="13"/>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5"/>
  </w:num>
  <w:num w:numId="16">
    <w:abstractNumId w:val="0"/>
  </w:num>
  <w:num w:numId="17">
    <w:abstractNumId w:val="3"/>
  </w:num>
  <w:num w:numId="18">
    <w:abstractNumId w:val="26"/>
  </w:num>
  <w:num w:numId="19">
    <w:abstractNumId w:val="29"/>
  </w:num>
  <w:num w:numId="20">
    <w:abstractNumId w:val="17"/>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1"/>
  </w:num>
  <w:num w:numId="29">
    <w:abstractNumId w:val="18"/>
  </w:num>
  <w:num w:numId="30">
    <w:abstractNumId w:val="15"/>
  </w:num>
  <w:num w:numId="31">
    <w:abstractNumId w:val="20"/>
  </w:num>
  <w:num w:numId="32">
    <w:abstractNumId w:val="27"/>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172A27"/>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97F1F"/>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27"/>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5B6"/>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216"/>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2E96"/>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8F169BD"/>
    <w:rsid w:val="1BC71D3B"/>
    <w:rsid w:val="1C59115B"/>
    <w:rsid w:val="1FB23E60"/>
    <w:rsid w:val="21816606"/>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DA1775E"/>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63F04A69"/>
    <w:rsid w:val="66A50B1E"/>
    <w:rsid w:val="67B2063C"/>
    <w:rsid w:val="67C97AC3"/>
    <w:rsid w:val="67E30EC1"/>
    <w:rsid w:val="6A4E3B2B"/>
    <w:rsid w:val="6B481C3B"/>
    <w:rsid w:val="6C1331A3"/>
    <w:rsid w:val="6CA84BC1"/>
    <w:rsid w:val="6CB30B27"/>
    <w:rsid w:val="6D3E4756"/>
    <w:rsid w:val="6FC523EB"/>
    <w:rsid w:val="70460641"/>
    <w:rsid w:val="72895F2E"/>
    <w:rsid w:val="72C02EBE"/>
    <w:rsid w:val="72C507AD"/>
    <w:rsid w:val="72D028D8"/>
    <w:rsid w:val="745D47C3"/>
    <w:rsid w:val="76AC3757"/>
    <w:rsid w:val="7BAC58EB"/>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Char1"/>
    <w:link w:val="12"/>
    <w:semiHidden/>
    <w:qFormat/>
    <w:uiPriority w:val="98"/>
    <w:rPr>
      <w:rFonts w:ascii="仿宋_GB2312" w:eastAsia="仿宋_GB2312"/>
      <w:kern w:val="2"/>
      <w:sz w:val="32"/>
    </w:rPr>
  </w:style>
  <w:style w:type="character" w:customStyle="1" w:styleId="42">
    <w:name w:val="页脚 Char"/>
    <w:link w:val="18"/>
    <w:semiHidden/>
    <w:qFormat/>
    <w:uiPriority w:val="0"/>
    <w:rPr>
      <w:kern w:val="2"/>
      <w:sz w:val="18"/>
      <w:szCs w:val="18"/>
    </w:rPr>
  </w:style>
  <w:style w:type="character" w:customStyle="1" w:styleId="43">
    <w:name w:val="标题 3 Char"/>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Char"/>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Char"/>
    <w:link w:val="17"/>
    <w:semiHidden/>
    <w:qFormat/>
    <w:uiPriority w:val="98"/>
    <w:rPr>
      <w:kern w:val="2"/>
      <w:sz w:val="18"/>
      <w:szCs w:val="18"/>
    </w:rPr>
  </w:style>
  <w:style w:type="character" w:customStyle="1" w:styleId="48">
    <w:name w:val="正文文本缩进 Char1"/>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Char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Char"/>
    <w:link w:val="19"/>
    <w:semiHidden/>
    <w:qFormat/>
    <w:uiPriority w:val="0"/>
    <w:rPr>
      <w:kern w:val="2"/>
      <w:sz w:val="18"/>
      <w:szCs w:val="18"/>
    </w:rPr>
  </w:style>
  <w:style w:type="character" w:customStyle="1" w:styleId="53">
    <w:name w:val="批注主题 Char"/>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Char"/>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Char1"/>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Char1"/>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Char"/>
    <w:basedOn w:val="32"/>
    <w:link w:val="6"/>
    <w:semiHidden/>
    <w:qFormat/>
    <w:uiPriority w:val="0"/>
    <w:rPr>
      <w:rFonts w:ascii="Arial" w:hAnsi="Arial"/>
      <w:b/>
      <w:bCs/>
      <w:kern w:val="2"/>
      <w:sz w:val="21"/>
      <w:szCs w:val="28"/>
    </w:rPr>
  </w:style>
  <w:style w:type="character" w:customStyle="1" w:styleId="78">
    <w:name w:val="标题 5 Char"/>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Char"/>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Char"/>
    <w:basedOn w:val="32"/>
    <w:link w:val="16"/>
    <w:semiHidden/>
    <w:qFormat/>
    <w:uiPriority w:val="0"/>
    <w:rPr>
      <w:sz w:val="24"/>
    </w:rPr>
  </w:style>
  <w:style w:type="character" w:customStyle="1" w:styleId="87">
    <w:name w:val="日期 Char"/>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Char"/>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Char"/>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Char"/>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框架内容"/>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48602A-F8FD-4B47-AF40-CF27496DE146}">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40</Pages>
  <Words>10880</Words>
  <Characters>11607</Characters>
  <Lines>702</Lines>
  <Paragraphs>776</Paragraphs>
  <TotalTime>0</TotalTime>
  <ScaleCrop>false</ScaleCrop>
  <LinksUpToDate>false</LinksUpToDate>
  <CharactersWithSpaces>11719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2025-10-21T08:19:18Z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C9077B8EDE1B4678AA83441DA3E1D2AF_13</vt:lpwstr>
  </property>
  <property fmtid="{D5CDD505-2E9C-101B-9397-08002B2CF9AE}" pid="4" name="KSOTemplateDocerSaveRecord">
    <vt:lpwstr>eyJoZGlkIjoiNGVmYjYwMTVkYTcwNzlmYzkyYzZmMzIwZTI3ZGZlNjgiLCJ1c2VySWQiOiIxMDYzNzE1ODkzIn0=</vt:lpwstr>
  </property>
</Properties>
</file>