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hint="eastAsia" w:ascii="楷体_GB2312" w:hAnsi="宋体" w:eastAsia="楷体_GB2312"/>
          <w:sz w:val="52"/>
          <w:szCs w:val="52"/>
          <w:highlight w:val="none"/>
          <w:lang w:val="en-US" w:eastAsia="zh-CN"/>
        </w:rPr>
      </w:pPr>
      <w:r>
        <w:rPr>
          <w:rFonts w:hint="eastAsia" w:ascii="楷体_GB2312" w:hAnsi="宋体" w:eastAsia="楷体_GB2312"/>
          <w:sz w:val="52"/>
          <w:szCs w:val="52"/>
          <w:highlight w:val="none"/>
          <w:lang w:val="en-US" w:eastAsia="zh-CN"/>
        </w:rPr>
        <w:t>济宁商用车有限公司2026年职工（会员）生日蛋糕券采购项目</w:t>
      </w:r>
    </w:p>
    <w:p w14:paraId="612663B5">
      <w:pPr>
        <w:ind w:right="280"/>
        <w:jc w:val="center"/>
        <w:rPr>
          <w:sz w:val="28"/>
          <w:szCs w:val="28"/>
          <w:highlight w:val="none"/>
        </w:rPr>
      </w:pPr>
    </w:p>
    <w:p w14:paraId="18CBF8EA">
      <w:pPr>
        <w:ind w:right="280"/>
        <w:jc w:val="center"/>
        <w:rPr>
          <w:sz w:val="28"/>
          <w:szCs w:val="28"/>
          <w:highlight w:val="none"/>
        </w:rPr>
      </w:pPr>
    </w:p>
    <w:p w14:paraId="6418E5FF">
      <w:pPr>
        <w:jc w:val="center"/>
        <w:rPr>
          <w:rFonts w:ascii="宋体" w:hAnsi="宋体" w:cs="宋体"/>
          <w:sz w:val="72"/>
          <w:szCs w:val="72"/>
          <w:highlight w:val="none"/>
        </w:rPr>
      </w:pPr>
      <w:r>
        <w:rPr>
          <w:rFonts w:hint="eastAsia" w:ascii="宋体" w:hAnsi="宋体" w:cs="宋体"/>
          <w:sz w:val="72"/>
          <w:szCs w:val="72"/>
          <w:highlight w:val="none"/>
        </w:rPr>
        <w:t>招标文件</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FSCZB2025100089</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0D8A0D9A">
      <w:pPr>
        <w:jc w:val="center"/>
        <w:rPr>
          <w:rFonts w:ascii="宋体" w:hAnsi="宋体"/>
          <w:sz w:val="28"/>
          <w:szCs w:val="28"/>
          <w:highlight w:val="none"/>
        </w:rPr>
      </w:pPr>
      <w:r>
        <w:rPr>
          <w:rFonts w:hint="eastAsia" w:ascii="宋体" w:hAnsi="宋体"/>
          <w:sz w:val="28"/>
          <w:szCs w:val="28"/>
          <w:highlight w:val="none"/>
        </w:rPr>
        <w:t>招 标 人：中国重汽集团济宁商用车有限公司工会委员会</w:t>
      </w:r>
    </w:p>
    <w:p w14:paraId="09CB3C92">
      <w:pPr>
        <w:spacing w:line="480" w:lineRule="auto"/>
        <w:jc w:val="center"/>
        <w:rPr>
          <w:rFonts w:ascii="宋体" w:hAnsi="宋体"/>
          <w:b/>
          <w:bCs/>
          <w:sz w:val="48"/>
          <w:szCs w:val="48"/>
          <w:highlight w:val="none"/>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10月</w:t>
      </w:r>
    </w:p>
    <w:p w14:paraId="34F3DF27">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012CB70F">
          <w:pPr>
            <w:pStyle w:val="21"/>
            <w:tabs>
              <w:tab w:val="right" w:leader="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_Toc23927 </w:instrText>
          </w:r>
          <w:r>
            <w:rPr>
              <w:rFonts w:hint="eastAsia" w:ascii="Calibri" w:hAnsi="Calibri"/>
              <w:bCs/>
              <w:kern w:val="44"/>
              <w:szCs w:val="44"/>
            </w:rPr>
            <w:fldChar w:fldCharType="separate"/>
          </w:r>
          <w:r>
            <w:rPr>
              <w:rFonts w:hint="eastAsia"/>
            </w:rPr>
            <w:t>第一部分  投标人须知</w:t>
          </w:r>
          <w:r>
            <w:tab/>
          </w:r>
          <w:r>
            <w:fldChar w:fldCharType="begin"/>
          </w:r>
          <w:r>
            <w:instrText xml:space="preserve"> PAGEREF _Toc23927 \h </w:instrText>
          </w:r>
          <w:r>
            <w:fldChar w:fldCharType="separate"/>
          </w:r>
          <w:r>
            <w:t>2</w:t>
          </w:r>
          <w:r>
            <w:fldChar w:fldCharType="end"/>
          </w:r>
          <w:r>
            <w:rPr>
              <w:rFonts w:hint="eastAsia" w:ascii="Calibri" w:hAnsi="Calibri"/>
              <w:bCs/>
              <w:kern w:val="44"/>
              <w:szCs w:val="44"/>
            </w:rPr>
            <w:fldChar w:fldCharType="end"/>
          </w:r>
        </w:p>
        <w:p w14:paraId="4C8160F4">
          <w:pPr>
            <w:pStyle w:val="21"/>
            <w:tabs>
              <w:tab w:val="right" w:leader="dot" w:pos="9070"/>
              <w:tab w:val="clear" w:pos="8729"/>
            </w:tabs>
            <w:rPr>
              <w:rFonts w:hint="eastAsia" w:eastAsia="宋体"/>
              <w:lang w:val="en-US" w:eastAsia="zh-CN"/>
            </w:rPr>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_Toc16500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二</w:t>
          </w:r>
          <w:r>
            <w:rPr>
              <w:rFonts w:hint="eastAsia"/>
            </w:rPr>
            <w:t>部分　</w:t>
          </w:r>
          <w:r>
            <w:rPr>
              <w:rFonts w:hint="eastAsia"/>
              <w:lang w:val="en-US" w:eastAsia="zh-CN"/>
            </w:rPr>
            <w:t>投标文件附件</w:t>
          </w:r>
          <w:r>
            <w:tab/>
          </w:r>
          <w:r>
            <w:fldChar w:fldCharType="begin"/>
          </w:r>
          <w:r>
            <w:instrText xml:space="preserve"> PAGEREF _Toc16500 \h </w:instrText>
          </w:r>
          <w:r>
            <w:fldChar w:fldCharType="separate"/>
          </w:r>
          <w:r>
            <w:t>1</w:t>
          </w:r>
          <w:r>
            <w:fldChar w:fldCharType="end"/>
          </w:r>
          <w:r>
            <w:rPr>
              <w:rFonts w:hint="eastAsia" w:ascii="Calibri" w:hAnsi="Calibri" w:eastAsia="宋体" w:cs="Times New Roman"/>
              <w:bCs/>
              <w:kern w:val="44"/>
              <w:szCs w:val="44"/>
            </w:rPr>
            <w:fldChar w:fldCharType="end"/>
          </w:r>
          <w:r>
            <w:rPr>
              <w:rFonts w:hint="eastAsia" w:ascii="宋体" w:hAnsi="宋体" w:eastAsia="宋体" w:cs="宋体"/>
              <w:bCs/>
              <w:kern w:val="44"/>
              <w:szCs w:val="44"/>
              <w:lang w:val="en-US" w:eastAsia="zh-CN"/>
            </w:rPr>
            <w:t>1</w:t>
          </w:r>
        </w:p>
        <w:p w14:paraId="6617A57C">
          <w:pPr>
            <w:pStyle w:val="21"/>
          </w:pPr>
          <w:r>
            <w:rPr>
              <w:rFonts w:hint="eastAsia" w:ascii="Calibri" w:hAnsi="Calibri" w:eastAsia="宋体" w:cs="Times New Roman"/>
              <w:bCs/>
              <w:kern w:val="44"/>
              <w:szCs w:val="44"/>
            </w:rPr>
            <w:fldChar w:fldCharType="end"/>
          </w:r>
        </w:p>
      </w:sdtContent>
    </w:sdt>
    <w:p w14:paraId="582BF911">
      <w:pPr>
        <w:pStyle w:val="15"/>
        <w:tabs>
          <w:tab w:val="left" w:pos="2940"/>
        </w:tabs>
        <w:spacing w:line="360" w:lineRule="auto"/>
      </w:pPr>
      <w:r>
        <w:tab/>
      </w:r>
    </w:p>
    <w:p w14:paraId="29FEE1FC">
      <w:pPr>
        <w:pStyle w:val="15"/>
        <w:spacing w:line="360" w:lineRule="auto"/>
        <w:jc w:val="center"/>
      </w:pPr>
    </w:p>
    <w:p w14:paraId="3EE892A5">
      <w:pPr>
        <w:pStyle w:val="15"/>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3D820EEC">
      <w:pPr>
        <w:pStyle w:val="71"/>
      </w:pPr>
      <w:bookmarkStart w:id="0" w:name="_Toc23927"/>
      <w:bookmarkStart w:id="1" w:name="_Toc47976595"/>
      <w:r>
        <w:rPr>
          <w:rFonts w:hint="eastAsia"/>
        </w:rPr>
        <w:t>第一部分  投标人须知</w:t>
      </w:r>
      <w:bookmarkEnd w:id="0"/>
      <w:bookmarkEnd w:id="1"/>
    </w:p>
    <w:p w14:paraId="418340FC">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2" w:name="_Toc47976596"/>
      <w:r>
        <w:rPr>
          <w:rFonts w:hint="eastAsia" w:cs="Times New Roman"/>
        </w:rPr>
        <w:t>项目</w:t>
      </w:r>
      <w:r>
        <w:rPr>
          <w:rFonts w:hint="eastAsia"/>
        </w:rPr>
        <w:t>介绍</w:t>
      </w:r>
      <w:bookmarkEnd w:id="2"/>
    </w:p>
    <w:p w14:paraId="6360E7CD">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pPr>
      <w:r>
        <w:rPr>
          <w:rFonts w:hint="eastAsia"/>
        </w:rPr>
        <w:t>项目名称：</w:t>
      </w:r>
      <w:r>
        <w:rPr>
          <w:rFonts w:hint="eastAsia"/>
          <w:lang w:val="en-US" w:eastAsia="zh-CN"/>
        </w:rPr>
        <w:t>济宁商用车有限公司2026年职工（会员）生日蛋糕券采购项目</w:t>
      </w:r>
    </w:p>
    <w:p w14:paraId="17A97EAA">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rPr>
        <w:t>项目编</w:t>
      </w:r>
      <w:r>
        <w:rPr>
          <w:rFonts w:hint="eastAsia"/>
          <w:highlight w:val="none"/>
        </w:rPr>
        <w:t>号：</w:t>
      </w:r>
      <w:r>
        <w:rPr>
          <w:rFonts w:hint="eastAsia"/>
          <w:highlight w:val="none"/>
          <w:lang w:val="en-US" w:eastAsia="zh-CN"/>
        </w:rPr>
        <w:t>FSCZB2025100089</w:t>
      </w:r>
    </w:p>
    <w:p w14:paraId="2863409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highlight w:val="none"/>
        </w:rPr>
        <w:t>招标形式：</w:t>
      </w:r>
      <w:bookmarkStart w:id="3" w:name="_Toc47112482"/>
      <w:r>
        <w:rPr>
          <w:rFonts w:hint="eastAsia"/>
          <w:highlight w:val="none"/>
          <w:lang w:val="en-US" w:eastAsia="zh-CN"/>
        </w:rPr>
        <w:t>公开招标</w:t>
      </w:r>
    </w:p>
    <w:p w14:paraId="742B3A80">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highlight w:val="none"/>
          <w:lang w:val="en-US" w:eastAsia="zh-CN"/>
        </w:rPr>
        <w:t>项目概况：</w:t>
      </w:r>
      <w:r>
        <w:rPr>
          <w:rFonts w:hint="eastAsia" w:ascii="仿宋_GB2312" w:hAnsi="仿宋_GB2312" w:cs="仿宋_GB2312"/>
          <w:bCs/>
          <w:color w:val="000000" w:themeColor="text1"/>
          <w:highlight w:val="none"/>
          <w:lang w:val="en-US" w:eastAsia="zh-CN"/>
          <w14:textFill>
            <w14:solidFill>
              <w14:schemeClr w14:val="tx1"/>
            </w14:solidFill>
          </w14:textFill>
        </w:rPr>
        <w:t>中国重汽集团济宁商用车有限公司职工（会员）生日蛋糕券采购合同将于2025年末到期，因集团公司提高生日慰问标准，因此济宁商用车公司2026年度会员生日慰问标准拟从200元/人提高至300元/人，需对2026年生日蛋糕券采购进行重新招标，招标内容为生日券（卡）采购，采购预计数量约1500份，具体数量以实际采购数量为准。每张券（卡）价值300元（实际可使用金额需高于300元，实际可使用金额根据招标结果确定）。</w:t>
      </w:r>
    </w:p>
    <w:p w14:paraId="151561C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highlight w:val="none"/>
          <w:u w:val="none"/>
          <w:lang w:val="en-US" w:eastAsia="zh-CN"/>
        </w:rPr>
      </w:pPr>
      <w:r>
        <w:rPr>
          <w:rFonts w:hint="eastAsia"/>
          <w:highlight w:val="none"/>
          <w:lang w:val="en-US" w:eastAsia="zh-CN"/>
        </w:rPr>
        <w:t>报价：</w:t>
      </w:r>
    </w:p>
    <w:p w14:paraId="40FB1354">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宋体" w:eastAsia="宋体" w:cs="宋体"/>
          <w:b/>
          <w:bCs/>
          <w:color w:val="FF0000"/>
          <w:sz w:val="21"/>
          <w:szCs w:val="21"/>
          <w:highlight w:val="none"/>
          <w:u w:val="none"/>
          <w:lang w:val="en-US" w:eastAsia="zh-CN"/>
        </w:rPr>
      </w:pPr>
      <w:r>
        <w:rPr>
          <w:rFonts w:hint="eastAsia" w:ascii="宋体" w:hAnsi="宋体" w:eastAsia="宋体" w:cs="宋体"/>
          <w:i w:val="0"/>
          <w:iCs w:val="0"/>
          <w:caps w:val="0"/>
          <w:color w:val="0F1115"/>
          <w:spacing w:val="0"/>
          <w:sz w:val="21"/>
          <w:szCs w:val="21"/>
          <w:highlight w:val="none"/>
          <w:shd w:val="clear" w:fill="FFFFFF"/>
          <w:lang w:val="en-US" w:eastAsia="zh-CN"/>
        </w:rPr>
        <w:t>本</w:t>
      </w:r>
      <w:r>
        <w:rPr>
          <w:rFonts w:hint="eastAsia" w:ascii="宋体" w:hAnsi="宋体" w:eastAsia="宋体" w:cs="宋体"/>
          <w:i w:val="0"/>
          <w:iCs w:val="0"/>
          <w:caps w:val="0"/>
          <w:color w:val="0F1115"/>
          <w:spacing w:val="0"/>
          <w:sz w:val="21"/>
          <w:szCs w:val="21"/>
          <w:highlight w:val="none"/>
          <w:shd w:val="clear" w:fill="FFFFFF"/>
        </w:rPr>
        <w:t>项目的所有报价均以人民币填报。投标人应分别报出不含税金额、税率和</w:t>
      </w:r>
      <w:r>
        <w:rPr>
          <w:rFonts w:hint="eastAsia" w:cs="Times New Roman"/>
          <w:b/>
          <w:bCs/>
          <w:color w:val="auto"/>
          <w:highlight w:val="none"/>
          <w:u w:val="none"/>
          <w:lang w:val="en-US" w:eastAsia="zh-CN"/>
        </w:rPr>
        <w:t>价税合计金额</w:t>
      </w:r>
      <w:r>
        <w:rPr>
          <w:rFonts w:hint="eastAsia" w:ascii="宋体" w:hAnsi="宋体" w:eastAsia="宋体" w:cs="宋体"/>
          <w:i w:val="0"/>
          <w:iCs w:val="0"/>
          <w:caps w:val="0"/>
          <w:color w:val="0F1115"/>
          <w:spacing w:val="0"/>
          <w:sz w:val="21"/>
          <w:szCs w:val="21"/>
          <w:highlight w:val="none"/>
          <w:shd w:val="clear" w:fill="FFFFFF"/>
        </w:rPr>
        <w:t>。</w:t>
      </w:r>
    </w:p>
    <w:p w14:paraId="3B448AB2">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default" w:cs="Times New Roman"/>
          <w:highlight w:val="none"/>
          <w:u w:val="none"/>
          <w:lang w:val="en-US" w:eastAsia="zh-CN"/>
        </w:rPr>
      </w:pPr>
      <w:r>
        <w:rPr>
          <w:rFonts w:hint="eastAsia" w:ascii="宋体" w:hAnsi="宋体" w:eastAsia="宋体" w:cs="宋体"/>
          <w:i w:val="0"/>
          <w:iCs w:val="0"/>
          <w:caps w:val="0"/>
          <w:color w:val="0F1115"/>
          <w:spacing w:val="0"/>
          <w:sz w:val="21"/>
          <w:szCs w:val="21"/>
          <w:highlight w:val="none"/>
          <w:shd w:val="clear" w:fill="FFFFFF"/>
        </w:rPr>
        <w:t>投标限价为人民币</w:t>
      </w:r>
      <w:r>
        <w:rPr>
          <w:rFonts w:hint="eastAsia" w:hAnsi="宋体" w:cs="宋体"/>
          <w:i w:val="0"/>
          <w:iCs w:val="0"/>
          <w:caps w:val="0"/>
          <w:color w:val="0F1115"/>
          <w:spacing w:val="0"/>
          <w:sz w:val="21"/>
          <w:szCs w:val="21"/>
          <w:highlight w:val="none"/>
          <w:shd w:val="clear" w:fill="FFFFFF"/>
          <w:lang w:val="en-US" w:eastAsia="zh-CN"/>
        </w:rPr>
        <w:t>45</w:t>
      </w:r>
      <w:r>
        <w:rPr>
          <w:rFonts w:hint="eastAsia" w:ascii="宋体" w:hAnsi="宋体" w:eastAsia="宋体" w:cs="宋体"/>
          <w:i w:val="0"/>
          <w:iCs w:val="0"/>
          <w:caps w:val="0"/>
          <w:color w:val="0F1115"/>
          <w:spacing w:val="0"/>
          <w:sz w:val="21"/>
          <w:szCs w:val="21"/>
          <w:highlight w:val="none"/>
          <w:shd w:val="clear" w:fill="FFFFFF"/>
          <w:lang w:val="en-US" w:eastAsia="zh-CN"/>
        </w:rPr>
        <w:t>万元</w:t>
      </w:r>
      <w:r>
        <w:rPr>
          <w:rFonts w:hint="eastAsia" w:ascii="宋体" w:hAnsi="宋体" w:eastAsia="宋体" w:cs="宋体"/>
          <w:i w:val="0"/>
          <w:iCs w:val="0"/>
          <w:caps w:val="0"/>
          <w:color w:val="0F1115"/>
          <w:spacing w:val="0"/>
          <w:sz w:val="21"/>
          <w:szCs w:val="21"/>
          <w:highlight w:val="none"/>
          <w:shd w:val="clear" w:fill="FFFFFF"/>
        </w:rPr>
        <w:t xml:space="preserve"> （含税，税率</w:t>
      </w:r>
      <w:r>
        <w:rPr>
          <w:rFonts w:hint="eastAsia" w:hAnsi="宋体" w:cs="宋体"/>
          <w:i w:val="0"/>
          <w:iCs w:val="0"/>
          <w:caps w:val="0"/>
          <w:color w:val="0F1115"/>
          <w:spacing w:val="0"/>
          <w:sz w:val="21"/>
          <w:szCs w:val="21"/>
          <w:highlight w:val="none"/>
          <w:shd w:val="clear" w:fill="FFFFFF"/>
          <w:lang w:val="en-US" w:eastAsia="zh-CN"/>
        </w:rPr>
        <w:t>13</w:t>
      </w:r>
      <w:r>
        <w:rPr>
          <w:rFonts w:hint="eastAsia" w:ascii="宋体" w:hAnsi="宋体" w:eastAsia="宋体" w:cs="宋体"/>
          <w:i w:val="0"/>
          <w:iCs w:val="0"/>
          <w:caps w:val="0"/>
          <w:color w:val="0F1115"/>
          <w:spacing w:val="0"/>
          <w:sz w:val="21"/>
          <w:szCs w:val="21"/>
          <w:highlight w:val="none"/>
          <w:shd w:val="clear" w:fill="FFFFFF"/>
        </w:rPr>
        <w:t>%），超过投标限价无法投标。</w:t>
      </w:r>
    </w:p>
    <w:p w14:paraId="4FF8F32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highlight w:val="none"/>
          <w:lang w:val="en-US" w:eastAsia="zh-CN"/>
        </w:rPr>
      </w:pPr>
      <w:r>
        <w:rPr>
          <w:rFonts w:hint="default" w:cs="Times New Roman"/>
          <w:highlight w:val="none"/>
          <w:lang w:val="en-US" w:eastAsia="zh-CN"/>
        </w:rPr>
        <w:t>资金来源：企业自筹，已落实。</w:t>
      </w:r>
    </w:p>
    <w:p w14:paraId="2A2F2260">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7DD6045B">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招标人名称：中国重汽集团济宁商用车有限公司工会委员会</w:t>
      </w:r>
    </w:p>
    <w:p w14:paraId="4842B46D">
      <w:pPr>
        <w:pStyle w:val="114"/>
        <w:keepNext/>
        <w:keepLines/>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b w:val="0"/>
          <w:kern w:val="2"/>
          <w:sz w:val="21"/>
          <w:szCs w:val="20"/>
          <w:highlight w:val="none"/>
          <w:lang w:val="en-US" w:eastAsia="zh-CN" w:bidi="ar-SA"/>
        </w:rPr>
      </w:pPr>
      <w:r>
        <w:rPr>
          <w:rFonts w:hint="default" w:ascii="宋体" w:hAnsi="Courier New" w:eastAsia="宋体" w:cs="Times New Roman"/>
          <w:b w:val="0"/>
          <w:kern w:val="2"/>
          <w:sz w:val="21"/>
          <w:szCs w:val="20"/>
          <w:highlight w:val="none"/>
          <w:lang w:val="en-US" w:eastAsia="zh-CN" w:bidi="ar-SA"/>
        </w:rPr>
        <w:t>报名及投标招标事宜联系人：王瑄</w:t>
      </w:r>
    </w:p>
    <w:p w14:paraId="71154E14">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电话：1786060</w:t>
      </w:r>
      <w:r>
        <w:rPr>
          <w:rFonts w:hint="eastAsia" w:ascii="宋体" w:hAnsi="Courier New" w:cs="Times New Roman"/>
          <w:kern w:val="2"/>
          <w:sz w:val="21"/>
          <w:highlight w:val="none"/>
          <w:lang w:val="en-US" w:eastAsia="zh-CN" w:bidi="ar-SA"/>
        </w:rPr>
        <w:t>5786</w:t>
      </w:r>
    </w:p>
    <w:p w14:paraId="424BC099">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default" w:ascii="宋体" w:hAnsi="Courier New" w:eastAsia="宋体" w:cs="Times New Roman"/>
          <w:kern w:val="2"/>
          <w:sz w:val="21"/>
          <w:highlight w:val="none"/>
          <w:lang w:val="en-US" w:eastAsia="zh-CN" w:bidi="ar-SA"/>
        </w:rPr>
      </w:pPr>
      <w:r>
        <w:rPr>
          <w:rFonts w:hint="eastAsia" w:ascii="宋体" w:hAnsi="Courier New" w:cs="Times New Roman"/>
          <w:b w:val="0"/>
          <w:bCs w:val="0"/>
          <w:kern w:val="2"/>
          <w:sz w:val="21"/>
          <w:highlight w:val="none"/>
          <w:lang w:val="en-US" w:eastAsia="zh-CN" w:bidi="ar-SA"/>
        </w:rPr>
        <w:t>项目</w:t>
      </w:r>
      <w:r>
        <w:rPr>
          <w:rFonts w:hint="eastAsia" w:ascii="宋体" w:hAnsi="Courier New" w:eastAsia="宋体" w:cs="Times New Roman"/>
          <w:b w:val="0"/>
          <w:bCs w:val="0"/>
          <w:kern w:val="2"/>
          <w:sz w:val="21"/>
          <w:highlight w:val="none"/>
          <w:lang w:val="en-US" w:eastAsia="zh-CN" w:bidi="ar-SA"/>
        </w:rPr>
        <w:t>联系人：</w:t>
      </w:r>
      <w:r>
        <w:rPr>
          <w:rFonts w:hint="eastAsia" w:ascii="宋体" w:hAnsi="Courier New" w:cs="Times New Roman"/>
          <w:kern w:val="2"/>
          <w:sz w:val="21"/>
          <w:highlight w:val="none"/>
          <w:lang w:val="en-US" w:eastAsia="zh-CN" w:bidi="ar-SA"/>
        </w:rPr>
        <w:t>赵华筝</w:t>
      </w:r>
    </w:p>
    <w:p w14:paraId="43D8535D">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电话：</w:t>
      </w:r>
      <w:r>
        <w:rPr>
          <w:rFonts w:hint="eastAsia" w:ascii="宋体" w:hAnsi="Courier New" w:cs="Times New Roman"/>
          <w:kern w:val="2"/>
          <w:sz w:val="21"/>
          <w:highlight w:val="none"/>
          <w:lang w:val="en-US" w:eastAsia="zh-CN" w:bidi="ar-SA"/>
        </w:rPr>
        <w:t>17854153196</w:t>
      </w:r>
    </w:p>
    <w:bookmarkEnd w:id="3"/>
    <w:p w14:paraId="50DC6C75">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4" w:name="_Toc47976598"/>
      <w:r>
        <w:rPr>
          <w:rFonts w:hint="eastAsia"/>
        </w:rPr>
        <w:t>合格的投标人</w:t>
      </w:r>
      <w:bookmarkEnd w:id="4"/>
    </w:p>
    <w:p w14:paraId="22058FB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lang w:val="en-US" w:eastAsia="zh-CN"/>
        </w:rPr>
      </w:pPr>
      <w:r>
        <w:rPr>
          <w:rFonts w:hint="eastAsia"/>
          <w:lang w:val="en-US" w:eastAsia="zh-CN"/>
        </w:rPr>
        <w:t>1.投标人须遵守《中华人民共和国招标投标法》及其它有关的法律和法规；为中华人民共和国境内注册的独立法人机构，具有独立承担民事责任能力。</w:t>
      </w:r>
    </w:p>
    <w:p w14:paraId="3378271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lang w:val="en-US" w:eastAsia="zh-CN"/>
        </w:rPr>
      </w:pPr>
      <w:r>
        <w:rPr>
          <w:rFonts w:hint="eastAsia"/>
          <w:lang w:val="en-US" w:eastAsia="zh-CN"/>
        </w:rPr>
        <w:t>2.投标人具有有效的统一社会信用代码的营业执照，成立一年以上；且经营范围满足本次招标项目内容需求，具有承担本项目的能力；注册资金不低于50万元；须具备济宁地区所属门店数量较多、分布广、便于提货的条件。</w:t>
      </w:r>
    </w:p>
    <w:p w14:paraId="429BFC1E">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lang w:val="en-US" w:eastAsia="zh-CN"/>
        </w:rPr>
      </w:pPr>
      <w:r>
        <w:rPr>
          <w:rFonts w:hint="eastAsia"/>
          <w:lang w:val="en-US" w:eastAsia="zh-CN"/>
        </w:rPr>
        <w:t>3.具有良好的商业信誉，投标人近三年内在经营活动中无违法记录，未处于被有权机关吊销营业执照、吊销资质、停业整顿、取消投标资格以及财产被接管、冻结或进入破产程序等；近三年的公司财务报表（资产负债表、损益表、现金流量表）未显示异常；能提供企业最近半年完税证明、年度纳税信用评价信息、企业对外无担保声明。</w:t>
      </w:r>
    </w:p>
    <w:p w14:paraId="03032DD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lang w:val="en-US" w:eastAsia="zh-CN"/>
        </w:rPr>
      </w:pPr>
      <w:r>
        <w:rPr>
          <w:rFonts w:hint="eastAsia"/>
          <w:lang w:val="en-US" w:eastAsia="zh-CN"/>
        </w:rPr>
        <w:t>4.投标人有与本次招标内容相同或类似项目业绩，且近三年内无因服务不当而造成重大事故。</w:t>
      </w:r>
    </w:p>
    <w:p w14:paraId="736FD8E3">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lang w:val="en-US" w:eastAsia="zh-CN"/>
        </w:rPr>
      </w:pPr>
      <w:r>
        <w:rPr>
          <w:rFonts w:hint="eastAsia"/>
          <w:lang w:val="en-US" w:eastAsia="zh-CN"/>
        </w:rPr>
        <w:t>5.投标人不存在严重违规或被列入招标人处《黑名单》；在国家市场监督管理总局的《国家企业信用信息公示系统》中查询不存在不良记录。</w:t>
      </w:r>
    </w:p>
    <w:p w14:paraId="65AA0BF4">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lang w:val="en-US" w:eastAsia="zh-CN"/>
        </w:rPr>
      </w:pPr>
      <w:r>
        <w:rPr>
          <w:rFonts w:hint="eastAsia"/>
          <w:lang w:val="en-US" w:eastAsia="zh-CN"/>
        </w:rPr>
        <w:t>6.须提供法人授权委托书及投标单位的法定代表人及授权代表的身份证复印件（加盖公章）。</w:t>
      </w:r>
    </w:p>
    <w:p w14:paraId="097B2EF6">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lang w:val="en-US" w:eastAsia="zh-CN"/>
        </w:rPr>
      </w:pPr>
      <w:r>
        <w:rPr>
          <w:rFonts w:hint="eastAsia"/>
          <w:lang w:val="en-US" w:eastAsia="zh-CN"/>
        </w:rPr>
        <w:t>7.投标人须认可招标人的工作指令，包括节假日能正常开展工作的要求。</w:t>
      </w:r>
    </w:p>
    <w:p w14:paraId="4765D47C">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lang w:val="en-US" w:eastAsia="zh-CN"/>
        </w:rPr>
      </w:pPr>
      <w:r>
        <w:rPr>
          <w:rFonts w:hint="eastAsia"/>
          <w:lang w:val="en-US" w:eastAsia="zh-CN"/>
        </w:rPr>
        <w:t>8.投标人必须是最终投标、签订合同的单位，不得以任何理由将已中标项目以任何形式转包给其他单位。</w:t>
      </w:r>
    </w:p>
    <w:p w14:paraId="4E35DEC7">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hAnsi="Courier New" w:cs="Times New Roman"/>
          <w:highlight w:val="none"/>
        </w:rPr>
      </w:pPr>
      <w:r>
        <w:rPr>
          <w:rFonts w:hint="eastAsia"/>
          <w:lang w:val="en-US" w:eastAsia="zh-CN"/>
        </w:rPr>
        <w:t>9.逾期的投标文件招标人不予受理，本次招标项目不接受联合体投标。</w:t>
      </w:r>
    </w:p>
    <w:p w14:paraId="31CA8C38">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FF44D4D">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10</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21</w:t>
      </w:r>
      <w:r>
        <w:rPr>
          <w:rFonts w:hint="eastAsia" w:ascii="宋体" w:hAnsi="Courier New" w:eastAsia="宋体" w:cs="Times New Roman"/>
          <w:highlight w:val="none"/>
          <w:u w:val="single"/>
          <w:lang w:val="en-US" w:eastAsia="zh-CN"/>
        </w:rPr>
        <w:t>日</w:t>
      </w:r>
      <w:r>
        <w:rPr>
          <w:rFonts w:hint="eastAsia" w:cs="Times New Roman"/>
          <w:highlight w:val="none"/>
          <w:u w:val="single"/>
          <w:lang w:val="en-US" w:eastAsia="zh-CN"/>
        </w:rPr>
        <w:t>；</w:t>
      </w:r>
    </w:p>
    <w:p w14:paraId="44BC705F">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投标报名</w:t>
      </w:r>
    </w:p>
    <w:p w14:paraId="22D0959D">
      <w:pPr>
        <w:pStyle w:val="76"/>
        <w:keepNext w:val="0"/>
        <w:keepLines w:val="0"/>
        <w:pageBreakBefore w:val="0"/>
        <w:widowControl w:val="0"/>
        <w:numPr>
          <w:ilvl w:val="1"/>
          <w:numId w:val="11"/>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none"/>
          <w:u w:val="single"/>
        </w:rPr>
        <w:t>202</w:t>
      </w:r>
      <w:r>
        <w:rPr>
          <w:rFonts w:hint="eastAsia" w:cs="宋体"/>
          <w:highlight w:val="none"/>
          <w:u w:val="single"/>
          <w:lang w:val="en-US" w:eastAsia="zh-CN"/>
        </w:rPr>
        <w:t>5</w:t>
      </w:r>
      <w:r>
        <w:rPr>
          <w:rFonts w:hint="eastAsia" w:eastAsia="宋体" w:cs="宋体"/>
          <w:highlight w:val="none"/>
          <w:u w:val="single"/>
        </w:rPr>
        <w:t>年</w:t>
      </w:r>
      <w:r>
        <w:rPr>
          <w:rFonts w:hint="eastAsia" w:cs="宋体"/>
          <w:highlight w:val="none"/>
          <w:u w:val="single"/>
          <w:lang w:val="en-US" w:eastAsia="zh-CN"/>
        </w:rPr>
        <w:t>10</w:t>
      </w:r>
      <w:r>
        <w:rPr>
          <w:rFonts w:hint="eastAsia" w:eastAsia="宋体" w:cs="宋体"/>
          <w:highlight w:val="none"/>
          <w:u w:val="single"/>
        </w:rPr>
        <w:t>月</w:t>
      </w:r>
      <w:r>
        <w:rPr>
          <w:rFonts w:hint="eastAsia" w:cs="宋体"/>
          <w:highlight w:val="none"/>
          <w:u w:val="single"/>
          <w:lang w:val="en-US" w:eastAsia="zh-CN"/>
        </w:rPr>
        <w:t>27</w:t>
      </w:r>
      <w:r>
        <w:rPr>
          <w:rFonts w:hint="eastAsia" w:eastAsia="宋体" w:cs="宋体"/>
          <w:highlight w:val="none"/>
          <w:u w:val="single"/>
        </w:rPr>
        <w:t>日</w:t>
      </w:r>
      <w:r>
        <w:rPr>
          <w:rFonts w:hint="eastAsia" w:cs="宋体"/>
          <w:highlight w:val="none"/>
          <w:u w:val="single"/>
          <w:lang w:val="en-US" w:eastAsia="zh-CN"/>
        </w:rPr>
        <w:t>17</w:t>
      </w:r>
      <w:r>
        <w:rPr>
          <w:rFonts w:hint="eastAsia"/>
          <w:highlight w:val="none"/>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30D267C1">
      <w:pPr>
        <w:pStyle w:val="76"/>
        <w:keepNext w:val="0"/>
        <w:keepLines w:val="0"/>
        <w:pageBreakBefore w:val="0"/>
        <w:widowControl w:val="0"/>
        <w:numPr>
          <w:ilvl w:val="1"/>
          <w:numId w:val="11"/>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报名方式：</w:t>
      </w: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8</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hAnsi="宋体" w:cs="宋体"/>
          <w:b/>
          <w:color w:val="000000"/>
          <w:sz w:val="21"/>
          <w:szCs w:val="21"/>
          <w:highlight w:val="none"/>
          <w:lang w:val="en-US" w:eastAsia="zh-CN"/>
        </w:rPr>
        <w:t>9</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公告中第二部分的“应标文件的编制”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b/>
          <w:bCs/>
          <w:color w:val="000000"/>
          <w:sz w:val="21"/>
          <w:szCs w:val="21"/>
          <w:highlight w:val="none"/>
          <w:lang w:val="en-US" w:eastAsia="zh-CN"/>
        </w:rPr>
        <w:t>上传</w:t>
      </w:r>
      <w:r>
        <w:rPr>
          <w:rFonts w:hint="eastAsia" w:ascii="宋体" w:hAnsi="宋体" w:eastAsia="宋体" w:cs="Times New Roman"/>
          <w:color w:val="000000"/>
          <w:sz w:val="21"/>
          <w:szCs w:val="21"/>
          <w:highlight w:val="none"/>
          <w:lang w:val="en-US" w:eastAsia="zh-CN"/>
        </w:rPr>
        <w:t>，资质审查通过即为报名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447D8BC7">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2C8A7A75">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03DE9C64">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获取时间：报名成功后；</w:t>
      </w:r>
    </w:p>
    <w:p w14:paraId="2E9312AD">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2DC106E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疑问提交</w:t>
      </w:r>
    </w:p>
    <w:p w14:paraId="6F38B2E2">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11</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1</w:t>
      </w:r>
      <w:r>
        <w:rPr>
          <w:rFonts w:hint="eastAsia" w:ascii="宋体" w:hAnsi="Courier New" w:eastAsia="宋体" w:cs="Times New Roman"/>
          <w:highlight w:val="none"/>
          <w:u w:val="single"/>
          <w:lang w:val="en-US" w:eastAsia="zh-CN"/>
        </w:rPr>
        <w:t>日</w:t>
      </w:r>
      <w:r>
        <w:rPr>
          <w:rFonts w:hint="default" w:ascii="宋体" w:hAnsi="Courier New" w:eastAsia="宋体" w:cs="Times New Roman"/>
          <w:highlight w:val="none"/>
          <w:u w:val="single"/>
          <w:lang w:val="en-US" w:eastAsia="zh-CN"/>
        </w:rPr>
        <w:t>12:00</w:t>
      </w:r>
      <w:r>
        <w:rPr>
          <w:rFonts w:hint="eastAsia"/>
          <w:highlight w:val="none"/>
          <w:u w:val="single"/>
          <w:lang w:val="en-US" w:eastAsia="zh-CN"/>
        </w:rPr>
        <w:t>:00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7860A805">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w:t>
      </w:r>
      <w:r>
        <w:rPr>
          <w:rFonts w:hint="eastAsia" w:cs="Times New Roman"/>
          <w:b/>
          <w:bCs/>
          <w:highlight w:val="none"/>
          <w:lang w:val="en-US" w:eastAsia="zh-CN"/>
        </w:rPr>
        <w:t>法定代表人授权委托书。</w:t>
      </w:r>
    </w:p>
    <w:p w14:paraId="698AA9EF">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11月1日</w:t>
      </w:r>
      <w:r>
        <w:rPr>
          <w:rFonts w:hint="default" w:ascii="宋体" w:hAnsi="Courier New" w:eastAsia="宋体" w:cs="Times New Roman"/>
          <w:highlight w:val="none"/>
          <w:u w:val="single"/>
          <w:lang w:val="en-US" w:eastAsia="zh-CN"/>
        </w:rPr>
        <w:t>17:00</w:t>
      </w:r>
      <w:r>
        <w:rPr>
          <w:rFonts w:hint="eastAsia" w:ascii="宋体" w:hAnsi="Courier New" w:eastAsia="宋体" w:cs="Times New Roman"/>
          <w:highlight w:val="none"/>
          <w:u w:val="single"/>
          <w:lang w:val="en-US" w:eastAsia="zh-CN"/>
        </w:rPr>
        <w:t>前</w:t>
      </w:r>
      <w:r>
        <w:rPr>
          <w:rFonts w:hint="eastAsia" w:cs="Times New Roman"/>
          <w:highlight w:val="none"/>
          <w:u w:val="single"/>
          <w:lang w:val="en-US" w:eastAsia="zh-CN"/>
        </w:rPr>
        <w:t>；</w:t>
      </w:r>
    </w:p>
    <w:p w14:paraId="474343AB">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0C785EC5">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2"/>
        <w:keepNext w:val="0"/>
        <w:keepLines w:val="0"/>
        <w:pageBreakBefore w:val="0"/>
        <w:widowControl w:val="0"/>
        <w:numPr>
          <w:ilvl w:val="0"/>
          <w:numId w:val="1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投标文件的组成</w:t>
      </w:r>
    </w:p>
    <w:p w14:paraId="5EA04826">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val="en-US" w:eastAsia="zh-CN"/>
        </w:rPr>
      </w:pPr>
      <w:r>
        <w:rPr>
          <w:rFonts w:hint="eastAsia" w:cs="Times New Roman"/>
          <w:lang w:val="en-US" w:eastAsia="zh-CN"/>
        </w:rPr>
        <w:t>本项目投标文件为</w:t>
      </w:r>
      <w:r>
        <w:rPr>
          <w:rFonts w:hint="eastAsia" w:ascii="Times New Roman" w:hAnsi="Times New Roman" w:cs="Times New Roman"/>
          <w:color w:val="auto"/>
          <w:lang w:val="en-US" w:eastAsia="zh-CN"/>
        </w:rPr>
        <w:t>盖章扫描</w:t>
      </w:r>
      <w:r>
        <w:rPr>
          <w:rFonts w:hint="eastAsia" w:cs="Times New Roman"/>
          <w:lang w:val="en-US" w:eastAsia="zh-CN"/>
        </w:rPr>
        <w:t>电子版投标文件。</w:t>
      </w:r>
      <w:r>
        <w:rPr>
          <w:rFonts w:hint="eastAsia"/>
          <w:lang w:val="en-US" w:eastAsia="zh-CN"/>
        </w:rPr>
        <w:t>投标人编写的投标文件由《投标文件（资质标）》、《投标文件（技术标）》(若有）、《投标文件（商务标）》（开标一览表）文件组成，共计3个文件。</w:t>
      </w:r>
    </w:p>
    <w:p w14:paraId="5D4F8B0C">
      <w:pPr>
        <w:pStyle w:val="76"/>
        <w:keepNext w:val="0"/>
        <w:keepLines w:val="0"/>
        <w:pageBreakBefore w:val="0"/>
        <w:widowControl w:val="0"/>
        <w:numPr>
          <w:ilvl w:val="1"/>
          <w:numId w:val="16"/>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Times New Roman" w:hAnsi="Times New Roman" w:cs="Times New Roman"/>
          <w:color w:val="auto"/>
        </w:rPr>
      </w:pPr>
      <w:r>
        <w:rPr>
          <w:rFonts w:hint="eastAsia" w:ascii="黑体" w:hAnsi="黑体" w:eastAsia="黑体" w:cs="黑体"/>
          <w:b w:val="0"/>
          <w:bCs/>
          <w:sz w:val="21"/>
          <w:szCs w:val="21"/>
          <w:highlight w:val="none"/>
        </w:rPr>
        <w:t>资质文件</w:t>
      </w:r>
    </w:p>
    <w:p w14:paraId="33E08AE3">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三证合一的新版营业执照副本复印件；</w:t>
      </w:r>
    </w:p>
    <w:p w14:paraId="0136B8B4">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投标书、法人代表授权委托书；</w:t>
      </w:r>
    </w:p>
    <w:p w14:paraId="359DDD5B">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近三年经审计的公司财务报表（资产负债表、损益表、现金流量表）未显示异常复印件；若没有财务审计报告，需提供近三年的公司财务报表（资产负债表、利润表、现金流量表）（加盖公章版）未显示异常复印件；</w:t>
      </w:r>
    </w:p>
    <w:p w14:paraId="7697C547">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企业最近半年完税证明、信用证明材料（征信报告）；</w:t>
      </w:r>
    </w:p>
    <w:p w14:paraId="184DC8DA">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年度纳税信用评价信息（可从电子税务局查询截图，需加盖公章）；</w:t>
      </w:r>
    </w:p>
    <w:p w14:paraId="3A72742C">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企业对外担保说明（写明贵单位对外有无对外担保和质押业务，需加盖公章）；</w:t>
      </w:r>
    </w:p>
    <w:p w14:paraId="7F73763F">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近三年内在经营活动中没有违法违纪行为的声明；</w:t>
      </w:r>
    </w:p>
    <w:p w14:paraId="20210548">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投标单位在国家企业信用信息公示系统中无与本投标业务相关的行政处罚、经营异常和失信信息的声明；</w:t>
      </w:r>
    </w:p>
    <w:p w14:paraId="523D8657">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近三年同类项目业绩一览表及有效合同复印件；</w:t>
      </w:r>
    </w:p>
    <w:p w14:paraId="068F34A2">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投标人认为对其有利的其他资料（若有）。</w:t>
      </w:r>
    </w:p>
    <w:p w14:paraId="08F8AAFD">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lang w:val="en-US" w:eastAsia="zh-CN"/>
        </w:rPr>
      </w:pPr>
      <w:r>
        <w:rPr>
          <w:rFonts w:hint="eastAsia" w:ascii="Times New Roman" w:hAnsi="Times New Roman" w:cs="Times New Roman"/>
          <w:color w:val="auto"/>
          <w:lang w:val="en-US" w:eastAsia="zh-CN"/>
        </w:rPr>
        <w:t>投标保证金缴纳凭证，同时正文描述付款账号、户名、开户行名称、开户行行号、保证金金额。</w:t>
      </w:r>
    </w:p>
    <w:p w14:paraId="0FCAA68A">
      <w:pPr>
        <w:pStyle w:val="76"/>
        <w:keepNext w:val="0"/>
        <w:keepLines w:val="0"/>
        <w:pageBreakBefore w:val="0"/>
        <w:widowControl w:val="0"/>
        <w:numPr>
          <w:ilvl w:val="0"/>
          <w:numId w:val="17"/>
        </w:numPr>
        <w:kinsoku/>
        <w:wordWrap/>
        <w:overflowPunct/>
        <w:topLinePunct w:val="0"/>
        <w:autoSpaceDE/>
        <w:autoSpaceDN/>
        <w:bidi w:val="0"/>
        <w:adjustRightInd/>
        <w:snapToGrid/>
        <w:spacing w:line="440" w:lineRule="exact"/>
        <w:ind w:left="0" w:leftChars="0" w:firstLine="422" w:firstLineChars="200"/>
        <w:textAlignment w:val="auto"/>
        <w:rPr>
          <w:b/>
          <w:bCs/>
          <w:color w:val="auto"/>
        </w:rPr>
      </w:pPr>
      <w:r>
        <w:rPr>
          <w:rFonts w:hint="eastAsia"/>
          <w:b/>
          <w:bCs/>
          <w:color w:val="auto"/>
        </w:rPr>
        <w:t>对于投标人资质审核不通过的，招标人有权拒绝其投标。</w:t>
      </w:r>
    </w:p>
    <w:p w14:paraId="1B6DBABE">
      <w:pPr>
        <w:pStyle w:val="76"/>
        <w:keepNext w:val="0"/>
        <w:keepLines w:val="0"/>
        <w:pageBreakBefore w:val="0"/>
        <w:widowControl w:val="0"/>
        <w:numPr>
          <w:ilvl w:val="1"/>
          <w:numId w:val="16"/>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sz w:val="21"/>
          <w:szCs w:val="21"/>
          <w:highlight w:val="none"/>
          <w:lang w:val="en-US" w:eastAsia="zh-CN"/>
        </w:rPr>
      </w:pPr>
      <w:r>
        <w:rPr>
          <w:rFonts w:hint="eastAsia" w:ascii="黑体" w:hAnsi="黑体" w:eastAsia="黑体" w:cs="黑体"/>
          <w:b w:val="0"/>
          <w:bCs/>
          <w:sz w:val="21"/>
          <w:szCs w:val="21"/>
          <w:highlight w:val="none"/>
          <w:lang w:val="en-US" w:eastAsia="zh-CN"/>
        </w:rPr>
        <w:t>商务标</w:t>
      </w:r>
    </w:p>
    <w:p w14:paraId="6312AE7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rPr>
          <w:rFonts w:hint="eastAsia" w:cs="Times New Roman"/>
          <w:b w:val="0"/>
          <w:bCs w:val="0"/>
          <w:highlight w:val="none"/>
          <w:lang w:val="en-US" w:eastAsia="zh-CN"/>
        </w:rPr>
      </w:pPr>
      <w:r>
        <w:rPr>
          <w:rFonts w:hint="eastAsia" w:cs="Times New Roman"/>
          <w:b w:val="0"/>
          <w:bCs w:val="0"/>
          <w:highlight w:val="none"/>
          <w:lang w:val="en-US" w:eastAsia="zh-CN"/>
        </w:rPr>
        <w:t>(1)开标一览表（附件4）；</w:t>
      </w:r>
    </w:p>
    <w:p w14:paraId="5F17610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rPr>
          <w:rFonts w:hint="eastAsia" w:cs="Times New Roman"/>
          <w:b w:val="0"/>
          <w:bCs w:val="0"/>
          <w:highlight w:val="none"/>
          <w:lang w:val="en-US" w:eastAsia="zh-CN"/>
        </w:rPr>
      </w:pPr>
      <w:r>
        <w:rPr>
          <w:rFonts w:hint="eastAsia" w:cs="Times New Roman"/>
          <w:b w:val="0"/>
          <w:bCs w:val="0"/>
          <w:highlight w:val="none"/>
          <w:lang w:val="en-US" w:eastAsia="zh-CN"/>
        </w:rPr>
        <w:t>(2)招标方每张蛋糕券（卡）支付300元人民币，投标方需据此价格确定优惠后的券（卡）最终可使用价值；</w:t>
      </w:r>
    </w:p>
    <w:p w14:paraId="69E677D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rPr>
          <w:rFonts w:hint="eastAsia" w:cs="Times New Roman"/>
          <w:b w:val="0"/>
          <w:bCs w:val="0"/>
          <w:highlight w:val="none"/>
          <w:lang w:val="en-US" w:eastAsia="zh-CN"/>
        </w:rPr>
      </w:pPr>
      <w:r>
        <w:rPr>
          <w:rFonts w:hint="eastAsia" w:cs="Times New Roman"/>
          <w:b w:val="0"/>
          <w:bCs w:val="0"/>
          <w:highlight w:val="none"/>
          <w:lang w:val="en-US" w:eastAsia="zh-CN"/>
        </w:rPr>
        <w:t>(3)商务条款偏离表。</w:t>
      </w:r>
    </w:p>
    <w:p w14:paraId="53DECED4">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rPr>
          <w:rFonts w:hint="default" w:cs="Times New Roman"/>
          <w:b w:val="0"/>
          <w:bCs w:val="0"/>
          <w:highlight w:val="none"/>
          <w:lang w:val="en-US" w:eastAsia="zh-CN"/>
        </w:rPr>
      </w:pPr>
      <w:r>
        <w:rPr>
          <w:rFonts w:hint="eastAsia" w:cs="Times New Roman"/>
          <w:b w:val="0"/>
          <w:bCs w:val="0"/>
          <w:highlight w:val="none"/>
          <w:lang w:val="en-US" w:eastAsia="zh-CN"/>
        </w:rPr>
        <w:t>商务报价注意内容：</w:t>
      </w:r>
      <w:r>
        <w:rPr>
          <w:rFonts w:hint="eastAsia" w:cs="Times New Roman"/>
          <w:b w:val="0"/>
          <w:bCs w:val="0"/>
          <w:highlight w:val="none"/>
        </w:rPr>
        <w:t>最高投标限价（招标控制价）：人民币</w:t>
      </w:r>
      <w:r>
        <w:rPr>
          <w:rFonts w:hint="eastAsia" w:cs="Times New Roman"/>
          <w:b w:val="0"/>
          <w:bCs w:val="0"/>
          <w:highlight w:val="none"/>
          <w:u w:val="single"/>
          <w:lang w:val="en-US" w:eastAsia="zh-CN"/>
        </w:rPr>
        <w:t>45</w:t>
      </w:r>
      <w:r>
        <w:rPr>
          <w:rFonts w:hint="eastAsia" w:cs="Times New Roman"/>
          <w:b w:val="0"/>
          <w:bCs w:val="0"/>
          <w:highlight w:val="none"/>
        </w:rPr>
        <w:t>万元（含</w:t>
      </w:r>
      <w:r>
        <w:rPr>
          <w:rFonts w:hint="eastAsia" w:cs="Times New Roman"/>
          <w:b w:val="0"/>
          <w:bCs w:val="0"/>
          <w:highlight w:val="none"/>
          <w:lang w:val="en-US" w:eastAsia="zh-CN"/>
        </w:rPr>
        <w:t>13</w:t>
      </w:r>
      <w:r>
        <w:rPr>
          <w:rFonts w:hint="eastAsia" w:cs="Times New Roman"/>
          <w:b w:val="0"/>
          <w:bCs w:val="0"/>
          <w:highlight w:val="none"/>
          <w:u w:val="single"/>
        </w:rPr>
        <w:t>%</w:t>
      </w:r>
      <w:r>
        <w:rPr>
          <w:rFonts w:hint="eastAsia" w:cs="Times New Roman"/>
          <w:b w:val="0"/>
          <w:bCs w:val="0"/>
          <w:highlight w:val="none"/>
        </w:rPr>
        <w:t>增值税），超过投标限价无法投标。</w:t>
      </w:r>
    </w:p>
    <w:p w14:paraId="5DF4D985">
      <w:pPr>
        <w:pStyle w:val="72"/>
        <w:keepNext w:val="0"/>
        <w:keepLines w:val="0"/>
        <w:pageBreakBefore w:val="0"/>
        <w:widowControl w:val="0"/>
        <w:numPr>
          <w:ilvl w:val="0"/>
          <w:numId w:val="1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投标文件的投递</w:t>
      </w:r>
    </w:p>
    <w:p w14:paraId="2AB224DF">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投标方式</w:t>
      </w:r>
    </w:p>
    <w:p w14:paraId="2079F01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在中国重汽e采通平台应标成功后，进入“供应商投标”环节，投递盖章扫描版电子标书（包含资质标书、技术标书、商务标书）</w:t>
      </w:r>
      <w:r>
        <w:rPr>
          <w:rFonts w:hint="eastAsia" w:ascii="宋体" w:hAnsi="宋体" w:eastAsia="宋体" w:cs="宋体"/>
          <w:sz w:val="24"/>
          <w:szCs w:val="24"/>
        </w:rPr>
        <w:t>，</w:t>
      </w:r>
      <w:r>
        <w:rPr>
          <w:rFonts w:hint="eastAsia" w:ascii="Times New Roman" w:hAnsi="Times New Roman" w:cs="Times New Roman"/>
          <w:color w:val="auto"/>
          <w:lang w:val="en-US" w:eastAsia="zh-CN"/>
        </w:rPr>
        <w:t>用“公司名称+文件名称”命名。</w:t>
      </w:r>
      <w:r>
        <w:rPr>
          <w:rFonts w:hint="eastAsia" w:ascii="Times New Roman" w:hAnsi="Times New Roman" w:cs="Times New Roman"/>
          <w:b/>
          <w:bCs/>
          <w:color w:val="auto"/>
          <w:lang w:val="en-US" w:eastAsia="zh-CN"/>
        </w:rPr>
        <w:t>若逾期未在中国重汽e采通平台上传电子标书，即便递交了纸版投标文件，一律视为无效投标。</w:t>
      </w:r>
    </w:p>
    <w:p w14:paraId="4AAA3F9B">
      <w:pPr>
        <w:pStyle w:val="76"/>
        <w:keepNext w:val="0"/>
        <w:keepLines w:val="0"/>
        <w:pageBreakBefore w:val="0"/>
        <w:widowControl w:val="0"/>
        <w:numPr>
          <w:ilvl w:val="1"/>
          <w:numId w:val="15"/>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lang w:val="en-US" w:eastAsia="zh-CN"/>
        </w:rPr>
      </w:pPr>
      <w:r>
        <w:rPr>
          <w:rFonts w:hint="eastAsia"/>
          <w:lang w:val="en-US" w:eastAsia="zh-CN"/>
        </w:rPr>
        <w:t>投标文件</w:t>
      </w:r>
      <w:r>
        <w:rPr>
          <w:rFonts w:hint="eastAsia" w:ascii="宋体" w:hAnsi="Courier New" w:eastAsia="宋体" w:cs="Times New Roman"/>
          <w:highlight w:val="none"/>
          <w:lang w:val="en-US" w:eastAsia="zh-CN"/>
        </w:rPr>
        <w:t>递交</w:t>
      </w:r>
      <w:r>
        <w:rPr>
          <w:rFonts w:hint="eastAsia"/>
          <w:lang w:val="en-US" w:eastAsia="zh-CN"/>
        </w:rPr>
        <w:t>截止时间：</w:t>
      </w:r>
      <w:r>
        <w:rPr>
          <w:rFonts w:hint="eastAsia"/>
          <w:u w:val="single"/>
          <w:lang w:val="en-US" w:eastAsia="zh-CN"/>
        </w:rPr>
        <w:t>2025</w:t>
      </w:r>
      <w:r>
        <w:rPr>
          <w:rFonts w:hint="eastAsia"/>
          <w:highlight w:val="none"/>
          <w:u w:val="single"/>
          <w:lang w:val="en-US" w:eastAsia="zh-CN"/>
        </w:rPr>
        <w:t>年11月17日9</w:t>
      </w:r>
      <w:r>
        <w:rPr>
          <w:rFonts w:hint="eastAsia"/>
          <w:u w:val="single"/>
          <w:lang w:val="en-US" w:eastAsia="zh-CN"/>
        </w:rPr>
        <w:t>:00:00</w:t>
      </w:r>
      <w:r>
        <w:rPr>
          <w:rFonts w:hint="default"/>
          <w:u w:val="single"/>
          <w:lang w:val="en-US" w:eastAsia="zh-CN"/>
        </w:rPr>
        <w:t>（</w:t>
      </w:r>
      <w:r>
        <w:rPr>
          <w:rFonts w:hint="default" w:ascii="宋体" w:hAnsi="Courier New" w:eastAsia="宋体" w:cs="Times New Roman"/>
          <w:highlight w:val="none"/>
          <w:u w:val="single"/>
          <w:lang w:val="en-US" w:eastAsia="zh-CN"/>
        </w:rPr>
        <w:t>北京时间）</w:t>
      </w:r>
    </w:p>
    <w:p w14:paraId="25974AAC">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bookmarkStart w:id="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keepNext w:val="0"/>
        <w:keepLines w:val="0"/>
        <w:pageBreakBefore w:val="0"/>
        <w:widowControl w:val="0"/>
        <w:numPr>
          <w:ilvl w:val="0"/>
          <w:numId w:val="18"/>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u w:val="single"/>
          <w:lang w:val="en-US" w:eastAsia="zh-CN"/>
        </w:rPr>
      </w:pPr>
      <w:r>
        <w:rPr>
          <w:rFonts w:hint="eastAsia" w:ascii="黑体" w:hAnsi="黑体" w:eastAsia="黑体" w:cs="黑体"/>
          <w:b w:val="0"/>
          <w:bCs w:val="0"/>
          <w:sz w:val="24"/>
          <w:szCs w:val="24"/>
          <w:highlight w:val="none"/>
        </w:rPr>
        <w:t>投标保证金的缴纳</w:t>
      </w:r>
    </w:p>
    <w:p w14:paraId="021ADBC0">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7767E796">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25AC0430">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r>
        <w:rPr>
          <w:rFonts w:hint="eastAsia" w:hAnsi="宋体" w:cs="宋体"/>
          <w:b w:val="0"/>
          <w:bCs w:val="0"/>
          <w:sz w:val="21"/>
          <w:szCs w:val="21"/>
          <w:highlight w:val="none"/>
          <w:lang w:eastAsia="zh-CN"/>
        </w:rPr>
        <w:t>。</w:t>
      </w:r>
    </w:p>
    <w:p w14:paraId="04CD311F">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outlineLvl w:val="3"/>
        <w:rPr>
          <w:rFonts w:hint="default"/>
          <w:highlight w:val="none"/>
          <w:lang w:val="en-US" w:eastAsia="zh-CN"/>
        </w:rPr>
      </w:pPr>
      <w:r>
        <w:rPr>
          <w:rFonts w:hint="eastAsia"/>
          <w:highlight w:val="none"/>
        </w:rPr>
        <w:t>投标保证金的金额：人民币</w:t>
      </w:r>
      <w:r>
        <w:rPr>
          <w:rFonts w:hint="eastAsia"/>
          <w:highlight w:val="none"/>
          <w:lang w:val="en-US" w:eastAsia="zh-CN"/>
        </w:rPr>
        <w:t>5000</w:t>
      </w:r>
      <w:r>
        <w:rPr>
          <w:rFonts w:hint="eastAsia"/>
          <w:highlight w:val="none"/>
        </w:rPr>
        <w:t>元</w:t>
      </w:r>
    </w:p>
    <w:p w14:paraId="00D1B3B9">
      <w:pPr>
        <w:pStyle w:val="76"/>
        <w:keepNext w:val="0"/>
        <w:keepLines w:val="0"/>
        <w:pageBreakBefore w:val="0"/>
        <w:widowControl w:val="0"/>
        <w:numPr>
          <w:numId w:val="0"/>
        </w:numPr>
        <w:kinsoku/>
        <w:wordWrap/>
        <w:overflowPunct/>
        <w:topLinePunct w:val="0"/>
        <w:autoSpaceDE/>
        <w:autoSpaceDN/>
        <w:bidi w:val="0"/>
        <w:adjustRightInd/>
        <w:snapToGrid/>
        <w:spacing w:line="440" w:lineRule="exact"/>
        <w:ind w:leftChars="200"/>
        <w:textAlignment w:val="auto"/>
        <w:rPr>
          <w:rFonts w:hint="eastAsia"/>
          <w:b w:val="0"/>
          <w:bCs w:val="0"/>
          <w:lang w:val="en-US" w:eastAsia="zh-CN"/>
        </w:rPr>
      </w:pPr>
      <w:r>
        <w:rPr>
          <w:rFonts w:hint="eastAsia"/>
          <w:b w:val="0"/>
          <w:bCs w:val="0"/>
          <w:lang w:val="en-US" w:eastAsia="zh-CN"/>
        </w:rPr>
        <w:t>（1）保证金接收单位：中国重汽集团济宁商用车有限公司</w:t>
      </w:r>
      <w:r>
        <w:rPr>
          <w:rFonts w:hint="eastAsia"/>
          <w:b w:val="0"/>
          <w:bCs w:val="0"/>
          <w:lang w:val="en-US" w:eastAsia="zh-CN"/>
        </w:rPr>
        <w:br w:type="textWrapping"/>
      </w:r>
      <w:r>
        <w:rPr>
          <w:rFonts w:hint="eastAsia"/>
          <w:b w:val="0"/>
          <w:bCs w:val="0"/>
          <w:lang w:val="en-US" w:eastAsia="zh-CN"/>
        </w:rPr>
        <w:tab/>
        <w:t/>
      </w:r>
      <w:r>
        <w:rPr>
          <w:rFonts w:hint="eastAsia"/>
          <w:b w:val="0"/>
          <w:bCs w:val="0"/>
          <w:lang w:val="en-US" w:eastAsia="zh-CN"/>
        </w:rPr>
        <w:tab/>
        <w:t>（2）转账信息：</w:t>
      </w:r>
      <w:r>
        <w:rPr>
          <w:rFonts w:hint="eastAsia"/>
          <w:b w:val="0"/>
          <w:bCs w:val="0"/>
          <w:lang w:val="en-US" w:eastAsia="zh-CN"/>
        </w:rPr>
        <w:br w:type="textWrapping"/>
      </w:r>
      <w:r>
        <w:rPr>
          <w:rFonts w:hint="eastAsia"/>
          <w:b w:val="0"/>
          <w:bCs w:val="0"/>
          <w:lang w:val="en-US" w:eastAsia="zh-CN"/>
        </w:rPr>
        <w:t>开户银行：中行济宁分行</w:t>
      </w:r>
      <w:r>
        <w:rPr>
          <w:rFonts w:hint="eastAsia"/>
          <w:b w:val="0"/>
          <w:bCs w:val="0"/>
          <w:lang w:val="en-US" w:eastAsia="zh-CN"/>
        </w:rPr>
        <w:br w:type="textWrapping"/>
      </w:r>
      <w:r>
        <w:rPr>
          <w:rFonts w:hint="eastAsia"/>
          <w:b w:val="0"/>
          <w:bCs w:val="0"/>
          <w:lang w:val="en-US" w:eastAsia="zh-CN"/>
        </w:rPr>
        <w:t>户名：中国重汽集团济宁商用车有限公司</w:t>
      </w:r>
      <w:r>
        <w:rPr>
          <w:rFonts w:hint="eastAsia"/>
          <w:b w:val="0"/>
          <w:bCs w:val="0"/>
          <w:lang w:val="en-US" w:eastAsia="zh-CN"/>
        </w:rPr>
        <w:br w:type="textWrapping"/>
      </w:r>
      <w:r>
        <w:rPr>
          <w:rFonts w:hint="eastAsia"/>
          <w:b w:val="0"/>
          <w:bCs w:val="0"/>
          <w:lang w:val="en-US" w:eastAsia="zh-CN"/>
        </w:rPr>
        <w:t>账号：231202725157</w:t>
      </w:r>
      <w:r>
        <w:rPr>
          <w:rFonts w:hint="eastAsia"/>
          <w:b w:val="0"/>
          <w:bCs w:val="0"/>
          <w:lang w:val="en-US" w:eastAsia="zh-CN"/>
        </w:rPr>
        <w:br w:type="textWrapping"/>
      </w:r>
      <w:r>
        <w:rPr>
          <w:rFonts w:hint="eastAsia"/>
          <w:b w:val="0"/>
          <w:bCs w:val="0"/>
          <w:lang w:val="en-US" w:eastAsia="zh-CN"/>
        </w:rPr>
        <w:t>纳税人识别号：91370800771000850L</w:t>
      </w:r>
    </w:p>
    <w:p w14:paraId="1591D62C">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422" w:firstLineChars="200"/>
        <w:textAlignment w:val="auto"/>
        <w:rPr>
          <w:rFonts w:hint="eastAsia"/>
          <w:b/>
          <w:bCs/>
          <w:lang w:val="en-US" w:eastAsia="zh-CN"/>
        </w:rPr>
      </w:pPr>
      <w:r>
        <w:rPr>
          <w:rFonts w:hint="eastAsia"/>
          <w:b/>
          <w:bCs/>
          <w:lang w:val="en-US" w:eastAsia="zh-CN"/>
        </w:rPr>
        <w:t>转账附言：公司名称+项目名称+投标保证金。</w:t>
      </w:r>
    </w:p>
    <w:p w14:paraId="5568414C">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保证金缴纳</w:t>
      </w:r>
      <w:r>
        <w:rPr>
          <w:rFonts w:hint="eastAsia" w:cs="Times New Roman"/>
        </w:rPr>
        <w:t>截止</w:t>
      </w:r>
      <w:r>
        <w:rPr>
          <w:rFonts w:hint="eastAsia" w:ascii="宋体" w:hAnsi="宋体" w:eastAsia="宋体" w:cs="宋体"/>
          <w:b w:val="0"/>
          <w:bCs w:val="0"/>
          <w:sz w:val="21"/>
          <w:szCs w:val="21"/>
          <w:highlight w:val="none"/>
        </w:rPr>
        <w:t>时间：202</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年</w:t>
      </w:r>
      <w:r>
        <w:rPr>
          <w:rFonts w:hint="eastAsia" w:hAnsi="宋体" w:cs="宋体"/>
          <w:b w:val="0"/>
          <w:bCs w:val="0"/>
          <w:sz w:val="21"/>
          <w:szCs w:val="21"/>
          <w:highlight w:val="none"/>
          <w:lang w:val="en-US" w:eastAsia="zh-CN"/>
        </w:rPr>
        <w:t>11</w:t>
      </w:r>
      <w:r>
        <w:rPr>
          <w:rFonts w:hint="eastAsia" w:ascii="宋体" w:hAnsi="宋体" w:eastAsia="宋体" w:cs="宋体"/>
          <w:b w:val="0"/>
          <w:bCs w:val="0"/>
          <w:sz w:val="21"/>
          <w:szCs w:val="21"/>
          <w:highlight w:val="none"/>
        </w:rPr>
        <w:t>月</w:t>
      </w:r>
      <w:r>
        <w:rPr>
          <w:rFonts w:hint="eastAsia" w:hAnsi="宋体" w:cs="宋体"/>
          <w:b w:val="0"/>
          <w:bCs w:val="0"/>
          <w:sz w:val="21"/>
          <w:szCs w:val="21"/>
          <w:highlight w:val="none"/>
          <w:lang w:val="en-US" w:eastAsia="zh-CN"/>
        </w:rPr>
        <w:t>16</w:t>
      </w:r>
      <w:r>
        <w:rPr>
          <w:rFonts w:hint="eastAsia" w:ascii="宋体" w:hAnsi="宋体" w:eastAsia="宋体" w:cs="宋体"/>
          <w:b w:val="0"/>
          <w:bCs w:val="0"/>
          <w:sz w:val="21"/>
          <w:szCs w:val="21"/>
          <w:highlight w:val="none"/>
        </w:rPr>
        <w:t>日</w:t>
      </w:r>
      <w:r>
        <w:rPr>
          <w:rFonts w:hint="eastAsia" w:hAnsi="宋体" w:cs="宋体"/>
          <w:b w:val="0"/>
          <w:bCs w:val="0"/>
          <w:sz w:val="21"/>
          <w:szCs w:val="21"/>
          <w:highlight w:val="none"/>
          <w:lang w:val="en-US" w:eastAsia="zh-CN"/>
        </w:rPr>
        <w:t>17</w:t>
      </w:r>
      <w:r>
        <w:rPr>
          <w:rFonts w:hint="eastAsia"/>
          <w:u w:val="none"/>
          <w:lang w:val="en-US" w:eastAsia="zh-CN"/>
        </w:rPr>
        <w:t>:00:00</w:t>
      </w:r>
      <w:r>
        <w:rPr>
          <w:rFonts w:hint="default" w:ascii="宋体" w:hAnsi="Courier New" w:eastAsia="宋体" w:cs="Times New Roman"/>
          <w:highlight w:val="none"/>
          <w:u w:val="none"/>
          <w:lang w:val="en-US" w:eastAsia="zh-CN"/>
        </w:rPr>
        <w:t>（北京时间）</w:t>
      </w:r>
    </w:p>
    <w:p w14:paraId="5306DE77">
      <w:pPr>
        <w:pStyle w:val="72"/>
        <w:keepNext w:val="0"/>
        <w:keepLines w:val="0"/>
        <w:pageBreakBefore w:val="0"/>
        <w:widowControl w:val="0"/>
        <w:numPr>
          <w:ilvl w:val="0"/>
          <w:numId w:val="18"/>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对于没有中标的</w:t>
      </w:r>
      <w:r>
        <w:rPr>
          <w:rFonts w:hint="eastAsia" w:ascii="黑体" w:hAnsi="黑体" w:eastAsia="黑体" w:cs="黑体"/>
          <w:b w:val="0"/>
          <w:bCs w:val="0"/>
          <w:sz w:val="24"/>
          <w:szCs w:val="24"/>
          <w:highlight w:val="none"/>
          <w:lang w:eastAsia="zh-CN"/>
        </w:rPr>
        <w:t>投标人</w:t>
      </w:r>
      <w:r>
        <w:rPr>
          <w:rFonts w:hint="eastAsia" w:ascii="黑体" w:hAnsi="黑体" w:eastAsia="黑体" w:cs="黑体"/>
          <w:b w:val="0"/>
          <w:bCs w:val="0"/>
          <w:sz w:val="24"/>
          <w:szCs w:val="24"/>
          <w:highlight w:val="none"/>
        </w:rPr>
        <w:t>，投标保证金将于招标人内部完成中标人评审并确认最终中标人后在</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内予以原路返还（无息）；对于中标方，投标保证金将在签订合同后</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内原路返还（无息）。</w:t>
      </w:r>
    </w:p>
    <w:p w14:paraId="02113B20">
      <w:pPr>
        <w:pStyle w:val="72"/>
        <w:keepNext w:val="0"/>
        <w:keepLines w:val="0"/>
        <w:pageBreakBefore w:val="0"/>
        <w:widowControl w:val="0"/>
        <w:numPr>
          <w:ilvl w:val="0"/>
          <w:numId w:val="18"/>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发生</w:t>
      </w:r>
      <w:r>
        <w:rPr>
          <w:rFonts w:hint="eastAsia" w:ascii="黑体" w:hAnsi="黑体" w:eastAsia="黑体" w:cs="黑体"/>
          <w:b w:val="0"/>
          <w:bCs w:val="0"/>
          <w:sz w:val="24"/>
          <w:szCs w:val="24"/>
          <w:highlight w:val="none"/>
          <w:lang w:val="en-US" w:eastAsia="zh-CN"/>
        </w:rPr>
        <w:t>以下</w:t>
      </w:r>
      <w:r>
        <w:rPr>
          <w:rFonts w:hint="eastAsia" w:ascii="黑体" w:hAnsi="黑体" w:eastAsia="黑体" w:cs="黑体"/>
          <w:b w:val="0"/>
          <w:bCs w:val="0"/>
          <w:sz w:val="24"/>
          <w:szCs w:val="24"/>
          <w:highlight w:val="none"/>
        </w:rPr>
        <w:t>情况时，有权没收保证金：</w:t>
      </w:r>
    </w:p>
    <w:p w14:paraId="69D68B6B">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ascii="宋体" w:hAnsi="宋体" w:eastAsia="宋体" w:cs="宋体"/>
          <w:b w:val="0"/>
          <w:bCs w:val="0"/>
          <w:szCs w:val="21"/>
          <w:highlight w:val="none"/>
        </w:rPr>
        <w:t>供</w:t>
      </w:r>
      <w:r>
        <w:rPr>
          <w:rFonts w:hint="eastAsia"/>
        </w:rPr>
        <w:t>应商在提交响应文件截止时间后撤回响应文件的；</w:t>
      </w:r>
    </w:p>
    <w:p w14:paraId="56CEC558">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供应商在响应文件中提供虚假材料的；</w:t>
      </w:r>
    </w:p>
    <w:p w14:paraId="14DF0C78">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除因不可抗力或谈判文件、询价通知书认可的情形以外，成交供应商不与采购人签订合同的；</w:t>
      </w:r>
    </w:p>
    <w:p w14:paraId="1D9AD298">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供应商与采购人、其他供应商或者采购代理机构恶意串通、围标、陪标的；</w:t>
      </w:r>
    </w:p>
    <w:p w14:paraId="1211AC71">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供应商有违约违规行为或被投诉、举报的，在调查处理期间，保证金暂不退还，待调查处理结束后按有关规定处理。</w:t>
      </w:r>
    </w:p>
    <w:p w14:paraId="1C7FF7D7">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截至开标前3天，投标人无正当理由、未以书面形式向招标人递交说明而在投标截止日不来投标的。</w:t>
      </w:r>
    </w:p>
    <w:p w14:paraId="7A3035DA">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自中标通知书发出之日起30日内，中标人无正当理由投标人无正当签订合同的；</w:t>
      </w:r>
    </w:p>
    <w:p w14:paraId="271EC8CF">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仿宋_GB2312" w:cs="宋体"/>
          <w:b w:val="0"/>
          <w:bCs w:val="0"/>
          <w:szCs w:val="24"/>
          <w:highlight w:val="none"/>
          <w:lang w:val="en-US" w:eastAsia="zh-CN"/>
        </w:rPr>
      </w:pPr>
      <w:r>
        <w:rPr>
          <w:rFonts w:hint="eastAsia"/>
        </w:rPr>
        <w:t>采购文件规定</w:t>
      </w:r>
      <w:r>
        <w:rPr>
          <w:rFonts w:hint="eastAsia" w:ascii="宋体" w:hAnsi="宋体" w:eastAsia="宋体" w:cs="宋体"/>
          <w:b w:val="0"/>
          <w:bCs w:val="0"/>
          <w:szCs w:val="21"/>
          <w:highlight w:val="none"/>
        </w:rPr>
        <w:t>的其他情形</w:t>
      </w:r>
      <w:r>
        <w:rPr>
          <w:rFonts w:hint="eastAsia" w:ascii="宋体" w:hAnsi="宋体" w:eastAsia="宋体" w:cs="宋体"/>
          <w:b w:val="0"/>
          <w:bCs w:val="0"/>
          <w:szCs w:val="21"/>
          <w:highlight w:val="none"/>
          <w:lang w:eastAsia="zh-CN"/>
        </w:rPr>
        <w:t>。</w:t>
      </w:r>
    </w:p>
    <w:bookmarkEnd w:id="5"/>
    <w:p w14:paraId="368B6990">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开评标</w:t>
      </w:r>
    </w:p>
    <w:p w14:paraId="6D5294CB">
      <w:pPr>
        <w:pStyle w:val="72"/>
        <w:keepNext w:val="0"/>
        <w:keepLines w:val="0"/>
        <w:pageBreakBefore w:val="0"/>
        <w:widowControl w:val="0"/>
        <w:numPr>
          <w:ilvl w:val="0"/>
          <w:numId w:val="21"/>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开标时间和地点</w:t>
      </w:r>
    </w:p>
    <w:p w14:paraId="4FACE4AA">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w:t>
      </w:r>
      <w:r>
        <w:rPr>
          <w:rFonts w:hint="eastAsia" w:hAnsi="宋体" w:cs="宋体"/>
          <w:b w:val="0"/>
          <w:bCs w:val="0"/>
          <w:sz w:val="21"/>
          <w:szCs w:val="21"/>
          <w:highlight w:val="none"/>
          <w:lang w:val="en-US" w:eastAsia="zh-CN"/>
        </w:rPr>
        <w:t>2025年11</w:t>
      </w:r>
      <w:r>
        <w:rPr>
          <w:rFonts w:hint="eastAsia" w:ascii="宋体" w:hAnsi="宋体" w:eastAsia="宋体" w:cs="宋体"/>
          <w:b w:val="0"/>
          <w:bCs w:val="0"/>
          <w:sz w:val="21"/>
          <w:szCs w:val="21"/>
          <w:highlight w:val="none"/>
          <w:lang w:val="en-US" w:eastAsia="zh-CN"/>
        </w:rPr>
        <w:t>月</w:t>
      </w:r>
      <w:r>
        <w:rPr>
          <w:rFonts w:hint="eastAsia" w:hAnsi="宋体" w:cs="宋体"/>
          <w:b w:val="0"/>
          <w:bCs w:val="0"/>
          <w:sz w:val="21"/>
          <w:szCs w:val="21"/>
          <w:highlight w:val="none"/>
          <w:lang w:val="en-US" w:eastAsia="zh-CN"/>
        </w:rPr>
        <w:t>17</w:t>
      </w:r>
      <w:r>
        <w:rPr>
          <w:rFonts w:hint="eastAsia" w:ascii="宋体" w:hAnsi="宋体" w:eastAsia="宋体" w:cs="宋体"/>
          <w:b w:val="0"/>
          <w:bCs w:val="0"/>
          <w:sz w:val="21"/>
          <w:szCs w:val="21"/>
          <w:highlight w:val="none"/>
          <w:lang w:val="en-US" w:eastAsia="zh-CN"/>
        </w:rPr>
        <w:t>日</w:t>
      </w:r>
      <w:r>
        <w:rPr>
          <w:rFonts w:hint="default" w:ascii="宋体" w:hAnsi="宋体" w:eastAsia="宋体" w:cs="宋体"/>
          <w:b w:val="0"/>
          <w:bCs w:val="0"/>
          <w:sz w:val="21"/>
          <w:szCs w:val="21"/>
          <w:highlight w:val="none"/>
          <w:lang w:val="en-US" w:eastAsia="zh-CN"/>
        </w:rPr>
        <w:t>9:00:00（北京时间）</w:t>
      </w:r>
      <w:r>
        <w:rPr>
          <w:rFonts w:hint="eastAsia" w:ascii="宋体" w:hAnsi="宋体" w:eastAsia="宋体" w:cs="宋体"/>
          <w:b w:val="0"/>
          <w:bCs w:val="0"/>
          <w:sz w:val="21"/>
          <w:szCs w:val="21"/>
          <w:highlight w:val="none"/>
          <w:lang w:val="en-US" w:eastAsia="zh-CN"/>
        </w:rPr>
        <w:t>，</w:t>
      </w:r>
      <w:r>
        <w:rPr>
          <w:rFonts w:hint="default" w:ascii="宋体" w:hAnsi="宋体" w:eastAsia="宋体" w:cs="宋体"/>
          <w:b w:val="0"/>
          <w:bCs w:val="0"/>
          <w:sz w:val="21"/>
          <w:szCs w:val="21"/>
          <w:highlight w:val="none"/>
          <w:lang w:val="en-US" w:eastAsia="zh-CN"/>
        </w:rPr>
        <w:t>若有变动另行通知。</w:t>
      </w:r>
    </w:p>
    <w:p w14:paraId="72FF61DD">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开标地点：</w:t>
      </w:r>
      <w:r>
        <w:rPr>
          <w:rFonts w:hint="eastAsia" w:ascii="宋体" w:hAnsi="Courier New" w:eastAsia="宋体" w:cs="Times New Roman"/>
          <w:kern w:val="2"/>
          <w:sz w:val="21"/>
          <w:lang w:val="en-US" w:eastAsia="zh-CN" w:bidi="ar-SA"/>
        </w:rPr>
        <w:t>山东省济南市历城区华奥路777号中国重汽科技大厦三楼会议室</w:t>
      </w:r>
      <w:r>
        <w:rPr>
          <w:rFonts w:hint="eastAsia" w:ascii="宋体" w:hAnsi="宋体" w:eastAsia="宋体" w:cs="宋体"/>
          <w:b w:val="0"/>
          <w:bCs w:val="0"/>
          <w:sz w:val="21"/>
          <w:szCs w:val="21"/>
          <w:highlight w:val="none"/>
          <w:lang w:val="en-US" w:eastAsia="zh-CN"/>
        </w:rPr>
        <w:t xml:space="preserve"> ，</w:t>
      </w:r>
      <w:r>
        <w:rPr>
          <w:rFonts w:hint="default" w:ascii="宋体" w:hAnsi="宋体" w:eastAsia="宋体" w:cs="宋体"/>
          <w:b w:val="0"/>
          <w:bCs w:val="0"/>
          <w:sz w:val="21"/>
          <w:szCs w:val="21"/>
          <w:highlight w:val="none"/>
          <w:lang w:val="en-US" w:eastAsia="zh-CN"/>
        </w:rPr>
        <w:t>若有变动另行通知</w:t>
      </w:r>
      <w:r>
        <w:rPr>
          <w:rFonts w:hint="eastAsia" w:hAnsi="宋体" w:cs="宋体"/>
          <w:b w:val="0"/>
          <w:bCs w:val="0"/>
          <w:sz w:val="21"/>
          <w:szCs w:val="21"/>
          <w:highlight w:val="none"/>
          <w:lang w:val="en-US" w:eastAsia="zh-CN"/>
        </w:rPr>
        <w:t>。</w:t>
      </w:r>
    </w:p>
    <w:p w14:paraId="4ECFB5AE">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开标方式：</w:t>
      </w:r>
    </w:p>
    <w:p w14:paraId="4DCBC48A">
      <w:pPr>
        <w:pStyle w:val="75"/>
        <w:keepNext w:val="0"/>
        <w:keepLines w:val="0"/>
        <w:pageBreakBefore w:val="0"/>
        <w:widowControl w:val="0"/>
        <w:numPr>
          <w:ilvl w:val="0"/>
          <w:numId w:val="23"/>
        </w:numPr>
        <w:kinsoku/>
        <w:wordWrap/>
        <w:overflowPunct/>
        <w:topLinePunct w:val="0"/>
        <w:autoSpaceDE/>
        <w:autoSpaceDN/>
        <w:bidi w:val="0"/>
        <w:adjustRightInd/>
        <w:snapToGrid/>
        <w:ind w:left="420" w:leftChars="0" w:hanging="420" w:firstLineChars="0"/>
        <w:textAlignment w:val="auto"/>
        <w:outlineLvl w:val="9"/>
        <w:rPr>
          <w:rFonts w:hint="eastAsia" w:ascii="宋体" w:hAnsi="宋体" w:eastAsia="宋体" w:cs="宋体"/>
          <w:color w:val="000000"/>
          <w:sz w:val="21"/>
          <w:szCs w:val="21"/>
          <w:highlight w:val="none"/>
          <w:u w:val="none"/>
        </w:rPr>
      </w:pPr>
      <w:r>
        <w:rPr>
          <w:rFonts w:hint="eastAsia" w:cs="Times New Roman"/>
          <w:b/>
          <w:bCs w:val="0"/>
          <w:color w:val="FF0000"/>
          <w:highlight w:val="none"/>
          <w:u w:val="none"/>
          <w:lang w:val="en-US" w:eastAsia="zh-CN"/>
        </w:rPr>
        <w:t>现场</w:t>
      </w:r>
      <w:r>
        <w:rPr>
          <w:rFonts w:hint="eastAsia" w:ascii="宋体" w:hAnsi="Courier New" w:eastAsia="宋体" w:cs="Times New Roman"/>
          <w:b/>
          <w:bCs w:val="0"/>
          <w:color w:val="FF0000"/>
          <w:kern w:val="2"/>
          <w:sz w:val="21"/>
          <w:highlight w:val="none"/>
          <w:u w:val="none"/>
          <w:lang w:val="en-US" w:eastAsia="zh-CN" w:bidi="ar-SA"/>
        </w:rPr>
        <w:t>招标：</w:t>
      </w:r>
      <w:r>
        <w:rPr>
          <w:rFonts w:hint="eastAsia" w:ascii="宋体" w:hAnsi="宋体" w:eastAsia="宋体" w:cs="宋体"/>
          <w:color w:val="000000"/>
          <w:sz w:val="21"/>
          <w:szCs w:val="21"/>
          <w:highlight w:val="none"/>
          <w:u w:val="none"/>
        </w:rPr>
        <w:t>原则上来现场参与开标。如因特殊情况无法现场参与，需在开标前三日，通知招标人，由招标人创建视频链接，并在报名结束后统一通知。</w:t>
      </w:r>
    </w:p>
    <w:p w14:paraId="59F17765">
      <w:pPr>
        <w:pStyle w:val="72"/>
        <w:keepNext w:val="0"/>
        <w:keepLines w:val="0"/>
        <w:pageBreakBefore w:val="0"/>
        <w:widowControl w:val="0"/>
        <w:numPr>
          <w:ilvl w:val="0"/>
          <w:numId w:val="21"/>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评标</w:t>
      </w:r>
    </w:p>
    <w:p w14:paraId="649C28C4">
      <w:pPr>
        <w:pStyle w:val="72"/>
        <w:keepNext w:val="0"/>
        <w:keepLines w:val="0"/>
        <w:pageBreakBefore w:val="0"/>
        <w:widowControl w:val="0"/>
        <w:numPr>
          <w:ilvl w:val="1"/>
          <w:numId w:val="21"/>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评标方法</w:t>
      </w:r>
    </w:p>
    <w:p w14:paraId="230C8BF5">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none"/>
          <w:lang w:val="en-US" w:eastAsia="zh-CN"/>
        </w:rPr>
      </w:pPr>
      <w:r>
        <w:rPr>
          <w:rFonts w:hint="eastAsia" w:cs="Times New Roman"/>
          <w:b w:val="0"/>
          <w:bCs/>
          <w:highlight w:val="none"/>
          <w:u w:val="none"/>
          <w:lang w:val="en-US" w:eastAsia="zh-CN"/>
        </w:rPr>
        <w:t>评分标准：</w:t>
      </w:r>
    </w:p>
    <w:p w14:paraId="717B20C0">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none"/>
          <w:lang w:val="en-US" w:eastAsia="zh-CN"/>
        </w:rPr>
      </w:pPr>
      <w:r>
        <w:rPr>
          <w:rFonts w:hint="eastAsia" w:cs="Times New Roman"/>
          <w:b w:val="0"/>
          <w:bCs/>
          <w:highlight w:val="none"/>
          <w:u w:val="none"/>
          <w:lang w:val="en-US" w:eastAsia="zh-CN"/>
        </w:rPr>
        <w:t>1.本次招标采用合理最低价中标。评标工作由招标人为该项目依法组织的、由三人或三人以上单数成员（视标的额大小按规定确定专家人数）组成的评标专家小组负责，由评标工作小组按照国家招投标有关规定，本着公平、公正、公开、有序的原则，在满足招标文件实质性要求的前提下，招标专家组与投标人进行三轮或以上商务谈判，对未中标者不作任何解释。</w:t>
      </w:r>
    </w:p>
    <w:p w14:paraId="1C2A7E48">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none"/>
          <w:lang w:val="en-US" w:eastAsia="zh-CN"/>
        </w:rPr>
      </w:pPr>
      <w:r>
        <w:rPr>
          <w:rFonts w:hint="eastAsia" w:cs="Times New Roman"/>
          <w:b w:val="0"/>
          <w:bCs/>
          <w:highlight w:val="none"/>
          <w:u w:val="none"/>
          <w:lang w:val="en-US" w:eastAsia="zh-CN"/>
        </w:rPr>
        <w:t>2.报价</w:t>
      </w:r>
    </w:p>
    <w:p w14:paraId="1DE14C37">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none"/>
          <w:lang w:val="en-US" w:eastAsia="zh-CN"/>
        </w:rPr>
      </w:pPr>
      <w:r>
        <w:rPr>
          <w:rFonts w:hint="eastAsia" w:cs="Times New Roman"/>
          <w:b w:val="0"/>
          <w:bCs/>
          <w:highlight w:val="none"/>
          <w:u w:val="none"/>
          <w:lang w:val="en-US" w:eastAsia="zh-CN"/>
        </w:rPr>
        <w:t>（1）报价应包含含税金额、税率，以及配送等服务所产生的全部费用。</w:t>
      </w:r>
    </w:p>
    <w:p w14:paraId="01491095">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none"/>
          <w:lang w:val="en-US" w:eastAsia="zh-CN"/>
        </w:rPr>
      </w:pPr>
      <w:r>
        <w:rPr>
          <w:rFonts w:hint="eastAsia" w:cs="Times New Roman"/>
          <w:b w:val="0"/>
          <w:bCs/>
          <w:highlight w:val="none"/>
          <w:u w:val="none"/>
          <w:lang w:val="en-US" w:eastAsia="zh-CN"/>
        </w:rPr>
        <w:t>（2）e采通总报价为含税总价（根据招标人向投标人实际支付的蛋糕券价格300元*年度预计人数1500人=45万元，</w:t>
      </w:r>
      <w:r>
        <w:rPr>
          <w:rFonts w:hint="eastAsia" w:cs="Times New Roman"/>
          <w:b/>
          <w:bCs w:val="0"/>
          <w:highlight w:val="none"/>
          <w:u w:val="none"/>
          <w:lang w:val="en-US" w:eastAsia="zh-CN"/>
        </w:rPr>
        <w:t>投标方在e采通系统进行投标报价时每一轮均填报45万元，开标时通过在系统上传澄清函的方式填报蛋糕券优惠返利数额</w:t>
      </w:r>
      <w:r>
        <w:rPr>
          <w:rFonts w:hint="eastAsia" w:cs="Times New Roman"/>
          <w:b w:val="0"/>
          <w:bCs/>
          <w:highlight w:val="none"/>
          <w:u w:val="none"/>
          <w:lang w:val="en-US" w:eastAsia="zh-CN"/>
        </w:rPr>
        <w:t>，澄清函报价货币单位为：元（人民币/含税价，注明税率）。</w:t>
      </w:r>
    </w:p>
    <w:tbl>
      <w:tblPr>
        <w:tblStyle w:val="31"/>
        <w:tblpPr w:leftFromText="180" w:rightFromText="180" w:vertAnchor="text" w:horzAnchor="page" w:tblpX="1735" w:tblpY="520"/>
        <w:tblOverlap w:val="never"/>
        <w:tblW w:w="507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66"/>
        <w:gridCol w:w="5091"/>
        <w:gridCol w:w="2376"/>
      </w:tblGrid>
      <w:tr w14:paraId="687A0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3" w:hRule="atLeast"/>
        </w:trPr>
        <w:tc>
          <w:tcPr>
            <w:tcW w:w="1042" w:type="pct"/>
            <w:shd w:val="clear" w:color="auto" w:fill="0070C0"/>
            <w:noWrap w:val="0"/>
            <w:vAlign w:val="center"/>
          </w:tcPr>
          <w:p w14:paraId="1E273D42">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single"/>
                <w:lang w:val="en-US" w:eastAsia="zh-CN"/>
              </w:rPr>
            </w:pPr>
            <w:r>
              <w:rPr>
                <w:rFonts w:hint="eastAsia" w:cs="Times New Roman"/>
                <w:b w:val="0"/>
                <w:bCs/>
                <w:highlight w:val="none"/>
                <w:u w:val="single"/>
                <w:lang w:val="en-US" w:eastAsia="zh-CN"/>
              </w:rPr>
              <w:t>项目名称</w:t>
            </w:r>
          </w:p>
        </w:tc>
        <w:tc>
          <w:tcPr>
            <w:tcW w:w="2698" w:type="pct"/>
            <w:shd w:val="clear" w:color="auto" w:fill="0070C0"/>
            <w:noWrap w:val="0"/>
            <w:vAlign w:val="center"/>
          </w:tcPr>
          <w:p w14:paraId="54678D27">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single"/>
                <w:lang w:val="en-US" w:eastAsia="zh-CN"/>
              </w:rPr>
            </w:pPr>
            <w:r>
              <w:rPr>
                <w:rFonts w:hint="eastAsia" w:cs="Times New Roman"/>
                <w:b w:val="0"/>
                <w:bCs/>
                <w:highlight w:val="none"/>
                <w:u w:val="single"/>
                <w:lang w:val="en-US" w:eastAsia="zh-CN"/>
              </w:rPr>
              <w:t>券（卡）优惠后的最终可使用价值/份</w:t>
            </w:r>
          </w:p>
        </w:tc>
        <w:tc>
          <w:tcPr>
            <w:tcW w:w="1259" w:type="pct"/>
            <w:shd w:val="clear" w:color="auto" w:fill="0070C0"/>
            <w:noWrap w:val="0"/>
            <w:vAlign w:val="center"/>
          </w:tcPr>
          <w:p w14:paraId="5ADCD44C">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single"/>
                <w:lang w:val="en-US" w:eastAsia="zh-CN"/>
              </w:rPr>
            </w:pPr>
            <w:r>
              <w:rPr>
                <w:rFonts w:hint="eastAsia" w:cs="Times New Roman"/>
                <w:b w:val="0"/>
                <w:bCs/>
                <w:highlight w:val="none"/>
                <w:u w:val="single"/>
                <w:lang w:val="en-US" w:eastAsia="zh-CN"/>
              </w:rPr>
              <w:t>交货期</w:t>
            </w:r>
          </w:p>
        </w:tc>
      </w:tr>
      <w:tr w14:paraId="4313B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1" w:hRule="atLeast"/>
        </w:trPr>
        <w:tc>
          <w:tcPr>
            <w:tcW w:w="1042" w:type="pct"/>
            <w:noWrap w:val="0"/>
            <w:vAlign w:val="center"/>
          </w:tcPr>
          <w:p w14:paraId="7D89F2DF">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single"/>
                <w:lang w:val="en-US" w:eastAsia="zh-CN"/>
              </w:rPr>
            </w:pPr>
            <w:r>
              <w:rPr>
                <w:rFonts w:hint="eastAsia" w:cs="Times New Roman"/>
                <w:b w:val="0"/>
                <w:bCs/>
                <w:highlight w:val="none"/>
                <w:u w:val="single"/>
                <w:lang w:val="en-US" w:eastAsia="zh-CN"/>
              </w:rPr>
              <w:t>济宁商用车有限公司2026年职工（会员）生日蛋糕券采购项目</w:t>
            </w:r>
          </w:p>
        </w:tc>
        <w:tc>
          <w:tcPr>
            <w:tcW w:w="2698" w:type="pct"/>
            <w:noWrap w:val="0"/>
            <w:vAlign w:val="center"/>
          </w:tcPr>
          <w:p w14:paraId="5C0A1793">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single"/>
                <w:lang w:val="en-US" w:eastAsia="zh-CN"/>
              </w:rPr>
            </w:pPr>
            <w:r>
              <w:rPr>
                <w:rFonts w:hint="eastAsia" w:cs="Times New Roman"/>
                <w:b w:val="0"/>
                <w:bCs/>
                <w:highlight w:val="none"/>
                <w:u w:val="single"/>
                <w:lang w:val="en-US" w:eastAsia="zh-CN"/>
              </w:rPr>
              <w:t xml:space="preserve">          元/份（含税13%）</w:t>
            </w:r>
          </w:p>
        </w:tc>
        <w:tc>
          <w:tcPr>
            <w:tcW w:w="1259" w:type="pct"/>
            <w:noWrap w:val="0"/>
            <w:vAlign w:val="center"/>
          </w:tcPr>
          <w:p w14:paraId="7431CBCE">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single"/>
                <w:lang w:val="en-US" w:eastAsia="zh-CN"/>
              </w:rPr>
            </w:pPr>
          </w:p>
        </w:tc>
      </w:tr>
      <w:tr w14:paraId="79688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7" w:hRule="atLeast"/>
        </w:trPr>
        <w:tc>
          <w:tcPr>
            <w:tcW w:w="1042" w:type="pct"/>
            <w:noWrap w:val="0"/>
            <w:vAlign w:val="center"/>
          </w:tcPr>
          <w:p w14:paraId="23176E5D">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single"/>
                <w:lang w:val="en-US" w:eastAsia="zh-CN"/>
              </w:rPr>
            </w:pPr>
            <w:r>
              <w:rPr>
                <w:rFonts w:hint="eastAsia" w:cs="Times New Roman"/>
                <w:b w:val="0"/>
                <w:bCs/>
                <w:highlight w:val="none"/>
                <w:u w:val="single"/>
                <w:lang w:val="en-US" w:eastAsia="zh-CN"/>
              </w:rPr>
              <w:t>其他增值服务</w:t>
            </w:r>
          </w:p>
        </w:tc>
        <w:tc>
          <w:tcPr>
            <w:tcW w:w="3957" w:type="pct"/>
            <w:gridSpan w:val="2"/>
            <w:noWrap w:val="0"/>
            <w:vAlign w:val="center"/>
          </w:tcPr>
          <w:p w14:paraId="70ADBD63">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single"/>
                <w:lang w:val="en-US" w:eastAsia="zh-CN"/>
              </w:rPr>
            </w:pPr>
          </w:p>
        </w:tc>
      </w:tr>
    </w:tbl>
    <w:p w14:paraId="2CB1A39B">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outlineLvl w:val="9"/>
        <w:rPr>
          <w:rFonts w:hint="eastAsia" w:cs="Times New Roman"/>
          <w:b w:val="0"/>
          <w:bCs/>
          <w:highlight w:val="none"/>
          <w:u w:val="single"/>
          <w:lang w:val="en-US" w:eastAsia="zh-CN"/>
        </w:rPr>
      </w:pPr>
    </w:p>
    <w:p w14:paraId="73D7472A">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single"/>
          <w:lang w:val="en-US" w:eastAsia="zh-CN"/>
        </w:rPr>
      </w:pPr>
      <w:r>
        <w:rPr>
          <w:rFonts w:hint="eastAsia" w:cs="Times New Roman"/>
          <w:b w:val="0"/>
          <w:bCs/>
          <w:highlight w:val="none"/>
          <w:u w:val="single"/>
          <w:lang w:val="en-US" w:eastAsia="zh-CN"/>
        </w:rPr>
        <w:t>投标前请各投标方按照招标文件要求对项目方案进行充分准备，投标单位已默认认可上述开标、评标过程，无异议。招标人无义务对未入围投标方及未中标方做任何解释。</w:t>
      </w:r>
    </w:p>
    <w:p w14:paraId="3739A1DB">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single"/>
          <w:lang w:val="en-US" w:eastAsia="zh-CN"/>
        </w:rPr>
      </w:pPr>
    </w:p>
    <w:p w14:paraId="0B2A8F6D">
      <w:pPr>
        <w:pStyle w:val="72"/>
        <w:keepNext w:val="0"/>
        <w:keepLines w:val="0"/>
        <w:pageBreakBefore w:val="0"/>
        <w:widowControl w:val="0"/>
        <w:numPr>
          <w:ilvl w:val="1"/>
          <w:numId w:val="21"/>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评标流程</w:t>
      </w:r>
    </w:p>
    <w:p w14:paraId="08C47440">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应标资格审查：在“中国重汽e采通”应标报名时，按照</w:t>
      </w:r>
      <w:r>
        <w:rPr>
          <w:rFonts w:hint="eastAsia" w:ascii="宋体" w:hAnsi="宋体" w:eastAsia="宋体" w:cs="宋体"/>
          <w:b w:val="0"/>
          <w:bCs/>
          <w:color w:val="000000"/>
          <w:sz w:val="21"/>
          <w:szCs w:val="21"/>
          <w:highlight w:val="none"/>
          <w:lang w:val="en-US" w:eastAsia="zh-CN"/>
        </w:rPr>
        <w:t>招标公告中第</w:t>
      </w:r>
      <w:r>
        <w:rPr>
          <w:rFonts w:hint="eastAsia" w:ascii="宋体" w:hAnsi="宋体" w:cs="宋体"/>
          <w:b w:val="0"/>
          <w:bCs/>
          <w:color w:val="000000"/>
          <w:sz w:val="21"/>
          <w:szCs w:val="21"/>
          <w:highlight w:val="none"/>
          <w:lang w:val="en-US" w:eastAsia="zh-CN"/>
        </w:rPr>
        <w:t>二</w:t>
      </w:r>
      <w:r>
        <w:rPr>
          <w:rFonts w:hint="eastAsia" w:ascii="宋体" w:hAnsi="宋体" w:eastAsia="宋体" w:cs="宋体"/>
          <w:b w:val="0"/>
          <w:bCs/>
          <w:color w:val="000000"/>
          <w:sz w:val="21"/>
          <w:szCs w:val="21"/>
          <w:highlight w:val="none"/>
          <w:lang w:val="en-US" w:eastAsia="zh-CN"/>
        </w:rPr>
        <w:t>部分的“应标文件的编制”编制</w:t>
      </w:r>
      <w:r>
        <w:rPr>
          <w:rFonts w:hint="eastAsia" w:ascii="宋体" w:hAnsi="宋体" w:eastAsia="宋体" w:cs="宋体"/>
          <w:b w:val="0"/>
          <w:bCs/>
          <w:color w:val="000000"/>
          <w:sz w:val="21"/>
          <w:szCs w:val="21"/>
          <w:highlight w:val="none"/>
        </w:rPr>
        <w:t>资料，上传完毕后，等待审核；</w:t>
      </w:r>
    </w:p>
    <w:p w14:paraId="3925B8AD">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通过应标资格审查的单位进入投标环节，按照“SRM系统供应商用户手册</w:t>
      </w:r>
      <w:r>
        <w:rPr>
          <w:rFonts w:hint="eastAsia" w:ascii="宋体" w:hAnsi="宋体" w:cs="宋体"/>
          <w:b w:val="0"/>
          <w:bCs/>
          <w:color w:val="000000"/>
          <w:sz w:val="21"/>
          <w:szCs w:val="21"/>
          <w:highlight w:val="none"/>
          <w:lang w:eastAsia="zh-CN"/>
        </w:rPr>
        <w:t>（</w:t>
      </w:r>
      <w:r>
        <w:rPr>
          <w:rFonts w:hint="eastAsia" w:ascii="宋体" w:hAnsi="宋体" w:cs="宋体"/>
          <w:b w:val="0"/>
          <w:bCs/>
          <w:color w:val="000000"/>
          <w:sz w:val="21"/>
          <w:szCs w:val="21"/>
          <w:highlight w:val="none"/>
          <w:lang w:val="en-US" w:eastAsia="zh-CN"/>
        </w:rPr>
        <w:t>附件8</w:t>
      </w:r>
      <w:r>
        <w:rPr>
          <w:rFonts w:hint="eastAsia" w:ascii="宋体" w:hAnsi="宋体" w:cs="宋体"/>
          <w:b w:val="0"/>
          <w:bCs/>
          <w:color w:val="000000"/>
          <w:sz w:val="21"/>
          <w:szCs w:val="21"/>
          <w:highlight w:val="none"/>
          <w:lang w:eastAsia="zh-CN"/>
        </w:rPr>
        <w:t>）</w:t>
      </w:r>
      <w:r>
        <w:rPr>
          <w:rFonts w:hint="eastAsia" w:ascii="宋体" w:hAnsi="宋体" w:eastAsia="宋体" w:cs="宋体"/>
          <w:b w:val="0"/>
          <w:bCs/>
          <w:color w:val="000000"/>
          <w:sz w:val="21"/>
          <w:szCs w:val="21"/>
          <w:highlight w:val="none"/>
        </w:rPr>
        <w:t>”，在重汽e采通平台投递电子标书（包含资质标、技术标、商务标）；没有通过应标资质审查的单位不能进入投标环节；</w:t>
      </w:r>
    </w:p>
    <w:p w14:paraId="3B34C86F">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资质标评审：资质标审核通过的单位，可以进入公开唱标环节；</w:t>
      </w:r>
    </w:p>
    <w:p w14:paraId="7E63C2E8">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商务标评审：商务条款</w:t>
      </w:r>
      <w:r>
        <w:rPr>
          <w:rFonts w:hint="eastAsia" w:ascii="宋体" w:hAnsi="宋体" w:cs="宋体"/>
          <w:b w:val="0"/>
          <w:bCs/>
          <w:color w:val="000000"/>
          <w:sz w:val="21"/>
          <w:szCs w:val="21"/>
          <w:highlight w:val="none"/>
          <w:lang w:val="en-US" w:eastAsia="zh-CN"/>
        </w:rPr>
        <w:t>相</w:t>
      </w:r>
      <w:r>
        <w:rPr>
          <w:rFonts w:hint="eastAsia" w:ascii="宋体" w:hAnsi="宋体" w:eastAsia="宋体" w:cs="宋体"/>
          <w:b w:val="0"/>
          <w:bCs/>
          <w:color w:val="000000"/>
          <w:sz w:val="21"/>
          <w:szCs w:val="21"/>
          <w:highlight w:val="none"/>
        </w:rPr>
        <w:t>应确认→价格澄清→商务标评审；评审期间产生的商务价格澄清均由投标人在重汽e采通平台限时内完成提交；</w:t>
      </w:r>
    </w:p>
    <w:p w14:paraId="148C0E04">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注意：所有参与现场投标的投标人，需要自带笔记本电脑在</w:t>
      </w:r>
      <w:r>
        <w:rPr>
          <w:rFonts w:hint="eastAsia"/>
          <w:lang w:eastAsia="zh-CN"/>
        </w:rPr>
        <w:t>“</w:t>
      </w:r>
      <w:r>
        <w:rPr>
          <w:rFonts w:hint="eastAsia"/>
        </w:rPr>
        <w:t>重汽e采通</w:t>
      </w:r>
      <w:r>
        <w:rPr>
          <w:rFonts w:hint="eastAsia"/>
          <w:lang w:eastAsia="zh-CN"/>
        </w:rPr>
        <w:t>”</w:t>
      </w:r>
      <w:r>
        <w:rPr>
          <w:rFonts w:hint="eastAsia"/>
        </w:rPr>
        <w:t>进行自主投标和提交澄清函；投标和提交澄清函均有时间限制，超时未提交的按无效处理。</w:t>
      </w:r>
    </w:p>
    <w:p w14:paraId="7C0A112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cs="Times New Roman"/>
          <w:lang w:val="en-US" w:eastAsia="zh-CN"/>
        </w:rPr>
        <w:t>定标</w:t>
      </w:r>
    </w:p>
    <w:p w14:paraId="6B705137">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eastAsia="zh-CN"/>
        </w:rPr>
      </w:pPr>
      <w:r>
        <w:rPr>
          <w:rFonts w:hint="eastAsia"/>
        </w:rPr>
        <w:t>本项目</w:t>
      </w:r>
      <w:r>
        <w:rPr>
          <w:rFonts w:hint="eastAsia"/>
          <w:highlight w:val="none"/>
        </w:rPr>
        <w:t>只产生</w:t>
      </w:r>
      <w:r>
        <w:rPr>
          <w:rFonts w:hint="eastAsia"/>
          <w:highlight w:val="none"/>
          <w:u w:val="single"/>
          <w:lang w:val="en-US" w:eastAsia="zh-CN"/>
        </w:rPr>
        <w:t>1</w:t>
      </w:r>
      <w:r>
        <w:rPr>
          <w:rFonts w:hint="eastAsia"/>
          <w:highlight w:val="none"/>
        </w:rPr>
        <w:t>个中标</w:t>
      </w:r>
      <w:r>
        <w:rPr>
          <w:rFonts w:hint="eastAsia"/>
        </w:rPr>
        <w:t>人。中标人签订合同前须进行最终审查。最终审查的对象</w:t>
      </w:r>
      <w:r>
        <w:rPr>
          <w:rFonts w:hint="eastAsia"/>
          <w:lang w:val="en-US" w:eastAsia="zh-CN"/>
        </w:rPr>
        <w:t>是</w:t>
      </w:r>
      <w:r>
        <w:rPr>
          <w:rFonts w:hint="eastAsia"/>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lang w:val="en-US" w:eastAsia="zh-CN"/>
        </w:rPr>
        <w:t>的</w:t>
      </w:r>
      <w:r>
        <w:rPr>
          <w:rFonts w:hint="eastAsia"/>
        </w:rPr>
        <w:t>，则本次评标作废</w:t>
      </w:r>
      <w:r>
        <w:rPr>
          <w:rFonts w:hint="eastAsia"/>
          <w:lang w:val="en-US" w:eastAsia="zh-CN"/>
        </w:rPr>
        <w:t>或变更意向中标人</w:t>
      </w:r>
      <w:r>
        <w:rPr>
          <w:rFonts w:hint="eastAsia"/>
          <w:lang w:eastAsia="zh-CN"/>
        </w:rPr>
        <w:t>。</w:t>
      </w:r>
    </w:p>
    <w:p w14:paraId="434A2260">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废标及终止招标</w:t>
      </w:r>
    </w:p>
    <w:p w14:paraId="0C3179D2">
      <w:pPr>
        <w:pStyle w:val="72"/>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投标人提供的有关资格、资质证明文件不合格、不真实或提供虚假投标材料；</w:t>
      </w:r>
    </w:p>
    <w:p w14:paraId="6FDED8FB">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投标人在报价有效期内撤回投标；</w:t>
      </w:r>
    </w:p>
    <w:p w14:paraId="3376C2B4">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lang w:eastAsia="zh-CN"/>
        </w:rPr>
      </w:pPr>
      <w:r>
        <w:rPr>
          <w:rFonts w:hint="eastAsia"/>
        </w:rPr>
        <w:t>在整个评标过程中，投标人有企图影响评标结果公正性的任何活动；</w:t>
      </w:r>
    </w:p>
    <w:p w14:paraId="43958B1B">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投标人以任何方式诋毁其他投标人；</w:t>
      </w:r>
    </w:p>
    <w:p w14:paraId="4B7A3D41">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投标人串通投标；</w:t>
      </w:r>
    </w:p>
    <w:p w14:paraId="4AFE6A78">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投标人被举报、检举，并经招标人查实无误的；</w:t>
      </w:r>
    </w:p>
    <w:p w14:paraId="34970088">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以他人名义投标或者以其他方式弄虚作假，骗取中标的；</w:t>
      </w:r>
    </w:p>
    <w:p w14:paraId="37A45F95">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投标人负责人为同一人或者存在控股、管理关系的不同单位；</w:t>
      </w:r>
    </w:p>
    <w:p w14:paraId="6BBD4266">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有效投标不足三家；</w:t>
      </w:r>
    </w:p>
    <w:p w14:paraId="1D2B4C1A">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不同投标人的投标文件异常一致或者投标报价呈规律性差异的；</w:t>
      </w:r>
    </w:p>
    <w:p w14:paraId="6C84FB5F">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投标人报价均超过</w:t>
      </w:r>
      <w:r>
        <w:rPr>
          <w:rFonts w:hint="eastAsia"/>
          <w:lang w:val="en-US" w:eastAsia="zh-CN"/>
        </w:rPr>
        <w:t>最高限价</w:t>
      </w:r>
      <w:r>
        <w:rPr>
          <w:rFonts w:hint="eastAsia"/>
        </w:rPr>
        <w:t>的；</w:t>
      </w:r>
    </w:p>
    <w:p w14:paraId="627A4FDE">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未按要求填报商务报价资料，对招标开展造成较大影响；</w:t>
      </w:r>
    </w:p>
    <w:p w14:paraId="720979DB">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lang w:val="en-US" w:eastAsia="zh-CN"/>
        </w:rPr>
        <w:t>未按照招标人规定的时间内在中国重汽e采通完成投标的；</w:t>
      </w:r>
    </w:p>
    <w:p w14:paraId="2A852CD1">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法律、法规规定的其他情况。</w:t>
      </w:r>
    </w:p>
    <w:p w14:paraId="215E3D0C">
      <w:pPr>
        <w:pStyle w:val="72"/>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出现下列情形之一，招标人有权否决所有投标人的投标，并终止招标。</w:t>
      </w:r>
    </w:p>
    <w:p w14:paraId="6BC017B6">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符合条件的投标人或者对招标文件做实质响应的投标人不足三家的；</w:t>
      </w:r>
    </w:p>
    <w:p w14:paraId="4633ED60">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评标委员会经评审，认为所有投标都不符合招标文件要求的；</w:t>
      </w:r>
    </w:p>
    <w:p w14:paraId="1872B765">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因重大变故，采购任务取消的</w:t>
      </w:r>
      <w:bookmarkStart w:id="6" w:name="OLE_LINK29"/>
      <w:bookmarkStart w:id="7" w:name="OLE_LINK28"/>
      <w:bookmarkStart w:id="8" w:name="OLE_LINK25"/>
      <w:bookmarkStart w:id="9" w:name="OLE_LINK26"/>
      <w:bookmarkStart w:id="10" w:name="OLE_LINK27"/>
      <w:r>
        <w:rPr>
          <w:rFonts w:hint="eastAsia" w:ascii="宋体" w:hAnsi="宋体" w:eastAsia="宋体" w:cs="宋体"/>
          <w:sz w:val="21"/>
          <w:szCs w:val="21"/>
          <w:highlight w:val="none"/>
        </w:rPr>
        <w:t>；</w:t>
      </w:r>
      <w:bookmarkEnd w:id="6"/>
      <w:bookmarkEnd w:id="7"/>
      <w:bookmarkEnd w:id="8"/>
      <w:bookmarkEnd w:id="9"/>
      <w:bookmarkEnd w:id="10"/>
    </w:p>
    <w:p w14:paraId="5CD1D199">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招标人认为其他应终止招标的情形。</w:t>
      </w:r>
    </w:p>
    <w:p w14:paraId="24E6827E">
      <w:pPr>
        <w:pStyle w:val="72"/>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hAnsi="Courier New" w:cs="Times New Roman"/>
          <w:highlight w:val="none"/>
          <w:lang w:val="en-US" w:eastAsia="zh-CN"/>
        </w:rPr>
        <w:t>合同</w:t>
      </w:r>
      <w:r>
        <w:rPr>
          <w:rFonts w:hint="eastAsia"/>
          <w:lang w:val="en-US" w:eastAsia="zh-CN"/>
        </w:rPr>
        <w:t>签订</w:t>
      </w:r>
    </w:p>
    <w:p w14:paraId="38A4E3E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招标人根据评标工作小组的评标结果确定中标人，在重汽e采通平台公布中标结果，并发送中标通知。</w:t>
      </w:r>
    </w:p>
    <w:p w14:paraId="01A8757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中标人应该在中标通知书规定的时间、地点与招标人签订采购合同，否则按照开标后撤回投标处理。</w:t>
      </w:r>
    </w:p>
    <w:p w14:paraId="05680D5A">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b w:val="0"/>
          <w:bCs w:val="0"/>
          <w:sz w:val="21"/>
          <w:szCs w:val="21"/>
        </w:rPr>
      </w:pPr>
      <w:r>
        <w:rPr>
          <w:rFonts w:hint="eastAsia" w:ascii="宋体" w:hAnsi="宋体" w:cs="宋体"/>
          <w:b w:val="0"/>
          <w:bCs w:val="0"/>
          <w:color w:val="000000"/>
          <w:sz w:val="21"/>
          <w:szCs w:val="21"/>
        </w:rPr>
        <w:t>中标人应当按照合同约定的履约责任，在保证质量的前提下完成中标项目，不得将中标项目转包或分包给他人，否则视为违约，招标人有权解除合同。</w:t>
      </w:r>
    </w:p>
    <w:p w14:paraId="5591E191">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val="0"/>
          <w:color w:val="000000"/>
          <w:sz w:val="21"/>
          <w:szCs w:val="21"/>
          <w:highlight w:val="none"/>
        </w:rPr>
      </w:pPr>
      <w:r>
        <w:rPr>
          <w:rFonts w:hint="eastAsia" w:ascii="宋体" w:hAnsi="宋体" w:cs="宋体"/>
          <w:b/>
          <w:bCs w:val="0"/>
          <w:sz w:val="21"/>
          <w:szCs w:val="21"/>
        </w:rPr>
        <w:t>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val="0"/>
          <w:color w:val="000000"/>
          <w:sz w:val="21"/>
          <w:szCs w:val="21"/>
          <w:highlight w:val="none"/>
        </w:rPr>
      </w:pPr>
      <w:r>
        <w:rPr>
          <w:rFonts w:hint="eastAsia" w:ascii="宋体" w:hAnsi="宋体" w:cs="宋体"/>
          <w:b/>
          <w:bCs w:val="0"/>
          <w:sz w:val="21"/>
          <w:szCs w:val="21"/>
        </w:rPr>
        <w:t>合同以双方最终签署的版本为准。</w:t>
      </w:r>
    </w:p>
    <w:p w14:paraId="610E8BB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交货及付款</w:t>
      </w:r>
    </w:p>
    <w:p w14:paraId="0F20E26F">
      <w:pPr>
        <w:pStyle w:val="63"/>
        <w:keepNext w:val="0"/>
        <w:keepLines w:val="0"/>
        <w:pageBreakBefore w:val="0"/>
        <w:widowControl w:val="0"/>
        <w:numPr>
          <w:ilvl w:val="0"/>
          <w:numId w:val="0"/>
        </w:numPr>
        <w:kinsoku/>
        <w:wordWrap/>
        <w:overflowPunct/>
        <w:topLinePunct w:val="0"/>
        <w:autoSpaceDE/>
        <w:autoSpaceDN/>
        <w:bidi w:val="0"/>
        <w:snapToGrid w:val="0"/>
        <w:spacing w:line="300" w:lineRule="auto"/>
        <w:ind w:firstLine="420" w:firstLineChars="200"/>
        <w:jc w:val="left"/>
        <w:textAlignment w:val="auto"/>
        <w:rPr>
          <w:rFonts w:hint="eastAsia" w:ascii="仿宋_GB2312" w:hAnsi="仿宋_GB2312" w:eastAsia="仿宋_GB2312" w:cs="仿宋_GB2312"/>
          <w:bCs/>
        </w:rPr>
      </w:pPr>
      <w:r>
        <w:rPr>
          <w:rFonts w:hint="eastAsia" w:ascii="仿宋_GB2312" w:hAnsi="仿宋_GB2312" w:eastAsia="仿宋_GB2312" w:cs="仿宋_GB2312"/>
          <w:bCs/>
        </w:rPr>
        <w:t>1.交货期：</w:t>
      </w:r>
      <w:r>
        <w:rPr>
          <w:rFonts w:hint="eastAsia" w:ascii="仿宋_GB2312" w:hAnsi="仿宋_GB2312" w:cs="仿宋_GB2312"/>
          <w:bCs/>
          <w:lang w:val="en-US" w:eastAsia="zh-CN"/>
        </w:rPr>
        <w:t>2025年12月</w:t>
      </w:r>
      <w:r>
        <w:rPr>
          <w:rFonts w:hint="eastAsia" w:ascii="仿宋_GB2312" w:hAnsi="仿宋_GB2312" w:eastAsia="仿宋_GB2312" w:cs="仿宋_GB2312"/>
          <w:bCs/>
        </w:rPr>
        <w:t>交付2026年1月份所需数量，自</w:t>
      </w:r>
      <w:r>
        <w:rPr>
          <w:rFonts w:hint="eastAsia" w:ascii="仿宋_GB2312" w:hAnsi="仿宋_GB2312" w:cs="仿宋_GB2312"/>
          <w:bCs/>
          <w:lang w:val="en-US" w:eastAsia="zh-CN"/>
        </w:rPr>
        <w:t>2026年</w:t>
      </w:r>
      <w:r>
        <w:rPr>
          <w:rFonts w:hint="eastAsia" w:ascii="仿宋_GB2312" w:hAnsi="仿宋_GB2312" w:eastAsia="仿宋_GB2312" w:cs="仿宋_GB2312"/>
          <w:bCs/>
        </w:rPr>
        <w:t xml:space="preserve">1月份起，按每月实际数量交付。 </w:t>
      </w:r>
    </w:p>
    <w:p w14:paraId="61F0793B">
      <w:pPr>
        <w:pStyle w:val="63"/>
        <w:keepNext w:val="0"/>
        <w:keepLines w:val="0"/>
        <w:pageBreakBefore w:val="0"/>
        <w:widowControl w:val="0"/>
        <w:numPr>
          <w:ilvl w:val="0"/>
          <w:numId w:val="0"/>
        </w:numPr>
        <w:kinsoku/>
        <w:wordWrap/>
        <w:overflowPunct/>
        <w:topLinePunct w:val="0"/>
        <w:autoSpaceDE/>
        <w:autoSpaceDN/>
        <w:bidi w:val="0"/>
        <w:snapToGrid w:val="0"/>
        <w:spacing w:line="300" w:lineRule="auto"/>
        <w:ind w:firstLine="420" w:firstLineChars="200"/>
        <w:jc w:val="left"/>
        <w:textAlignment w:val="auto"/>
        <w:rPr>
          <w:rFonts w:hint="eastAsia" w:ascii="仿宋_GB2312" w:hAnsi="仿宋_GB2312" w:eastAsia="仿宋_GB2312" w:cs="仿宋_GB2312"/>
          <w:bCs/>
        </w:rPr>
      </w:pPr>
      <w:r>
        <w:rPr>
          <w:rFonts w:hint="eastAsia" w:ascii="仿宋_GB2312" w:hAnsi="仿宋_GB2312" w:eastAsia="仿宋_GB2312" w:cs="仿宋_GB2312"/>
          <w:bCs/>
        </w:rPr>
        <w:t>2.交货地点：山东省济宁市高新区诗仙路369号-中国重汽集团济宁商用车有限公司。</w:t>
      </w:r>
    </w:p>
    <w:p w14:paraId="4FA8D9EE">
      <w:pPr>
        <w:pStyle w:val="63"/>
        <w:keepNext w:val="0"/>
        <w:keepLines w:val="0"/>
        <w:pageBreakBefore w:val="0"/>
        <w:widowControl w:val="0"/>
        <w:numPr>
          <w:ilvl w:val="0"/>
          <w:numId w:val="0"/>
        </w:numPr>
        <w:kinsoku/>
        <w:wordWrap/>
        <w:overflowPunct/>
        <w:topLinePunct w:val="0"/>
        <w:autoSpaceDE/>
        <w:autoSpaceDN/>
        <w:bidi w:val="0"/>
        <w:snapToGrid w:val="0"/>
        <w:spacing w:line="300" w:lineRule="auto"/>
        <w:ind w:firstLine="420" w:firstLineChars="200"/>
        <w:jc w:val="left"/>
        <w:textAlignment w:val="auto"/>
        <w:rPr>
          <w:rFonts w:hint="eastAsia" w:ascii="仿宋_GB2312" w:hAnsi="仿宋_GB2312" w:eastAsia="仿宋_GB2312" w:cs="仿宋_GB2312"/>
          <w:bCs/>
        </w:rPr>
      </w:pPr>
      <w:r>
        <w:rPr>
          <w:rFonts w:hint="eastAsia" w:ascii="仿宋_GB2312" w:hAnsi="仿宋_GB2312" w:eastAsia="仿宋_GB2312" w:cs="仿宋_GB2312"/>
          <w:bCs/>
        </w:rPr>
        <w:t>3.交货方式：以蛋糕店门店会员券（卡）方式交货。</w:t>
      </w:r>
    </w:p>
    <w:p w14:paraId="679F4A92">
      <w:pPr>
        <w:pStyle w:val="63"/>
        <w:keepNext w:val="0"/>
        <w:keepLines w:val="0"/>
        <w:pageBreakBefore w:val="0"/>
        <w:widowControl w:val="0"/>
        <w:numPr>
          <w:ilvl w:val="0"/>
          <w:numId w:val="0"/>
        </w:numPr>
        <w:kinsoku/>
        <w:wordWrap/>
        <w:overflowPunct/>
        <w:topLinePunct w:val="0"/>
        <w:autoSpaceDE/>
        <w:autoSpaceDN/>
        <w:bidi w:val="0"/>
        <w:snapToGrid w:val="0"/>
        <w:spacing w:line="300" w:lineRule="auto"/>
        <w:ind w:firstLine="420" w:firstLineChars="200"/>
        <w:jc w:val="left"/>
        <w:textAlignment w:val="auto"/>
        <w:rPr>
          <w:rFonts w:hint="eastAsia" w:ascii="仿宋_GB2312" w:hAnsi="仿宋_GB2312" w:eastAsia="仿宋_GB2312" w:cs="仿宋_GB2312"/>
          <w:bCs/>
        </w:rPr>
      </w:pPr>
      <w:r>
        <w:rPr>
          <w:rFonts w:hint="eastAsia" w:ascii="仿宋_GB2312" w:hAnsi="仿宋_GB2312" w:eastAsia="仿宋_GB2312" w:cs="仿宋_GB2312"/>
          <w:bCs/>
        </w:rPr>
        <w:t>4.付款方式</w:t>
      </w:r>
      <w:r>
        <w:rPr>
          <w:rFonts w:hint="eastAsia" w:ascii="仿宋_GB2312" w:hAnsi="仿宋_GB2312" w:cs="仿宋_GB2312"/>
          <w:bCs/>
          <w:lang w:eastAsia="zh-CN"/>
        </w:rPr>
        <w:t>：</w:t>
      </w:r>
      <w:r>
        <w:rPr>
          <w:rFonts w:hint="eastAsia" w:ascii="仿宋_GB2312" w:hAnsi="仿宋_GB2312" w:cs="仿宋_GB2312"/>
          <w:bCs/>
          <w:lang w:val="en-US" w:eastAsia="zh-CN"/>
        </w:rPr>
        <w:t>银行转账</w:t>
      </w:r>
      <w:r>
        <w:rPr>
          <w:rFonts w:hint="eastAsia" w:ascii="仿宋_GB2312" w:hAnsi="仿宋_GB2312" w:eastAsia="仿宋_GB2312" w:cs="仿宋_GB2312"/>
          <w:bCs/>
        </w:rPr>
        <w:t xml:space="preserve"> </w:t>
      </w:r>
    </w:p>
    <w:p w14:paraId="308EF9DB">
      <w:pPr>
        <w:pStyle w:val="63"/>
        <w:keepNext w:val="0"/>
        <w:keepLines w:val="0"/>
        <w:pageBreakBefore w:val="0"/>
        <w:widowControl w:val="0"/>
        <w:numPr>
          <w:ilvl w:val="0"/>
          <w:numId w:val="0"/>
        </w:numPr>
        <w:kinsoku/>
        <w:wordWrap/>
        <w:overflowPunct/>
        <w:topLinePunct w:val="0"/>
        <w:autoSpaceDE/>
        <w:autoSpaceDN/>
        <w:bidi w:val="0"/>
        <w:snapToGrid w:val="0"/>
        <w:spacing w:line="300" w:lineRule="auto"/>
        <w:ind w:firstLine="420" w:firstLineChars="200"/>
        <w:jc w:val="left"/>
        <w:textAlignment w:val="auto"/>
        <w:rPr>
          <w:rFonts w:hint="eastAsia" w:ascii="仿宋_GB2312" w:hAnsi="仿宋_GB2312" w:eastAsia="仿宋_GB2312" w:cs="仿宋_GB2312"/>
          <w:bCs/>
          <w:kern w:val="2"/>
          <w:sz w:val="28"/>
          <w:lang w:val="en-US" w:eastAsia="zh-CN" w:bidi="ar-SA"/>
        </w:rPr>
      </w:pPr>
      <w:r>
        <w:rPr>
          <w:rFonts w:hint="eastAsia" w:ascii="仿宋_GB2312" w:hAnsi="仿宋_GB2312" w:cs="仿宋_GB2312"/>
          <w:bCs/>
          <w:lang w:val="en-US" w:eastAsia="zh-CN"/>
        </w:rPr>
        <w:t>5.付款节点：</w:t>
      </w:r>
      <w:r>
        <w:rPr>
          <w:rFonts w:hint="eastAsia" w:ascii="仿宋_GB2312" w:hAnsi="仿宋_GB2312" w:eastAsia="仿宋_GB2312" w:cs="仿宋_GB2312"/>
          <w:bCs/>
        </w:rPr>
        <w:t>到货验收合格后，卖方提供增值税普通发票，经</w:t>
      </w:r>
      <w:r>
        <w:rPr>
          <w:rFonts w:hint="eastAsia" w:ascii="仿宋_GB2312" w:hAnsi="仿宋_GB2312" w:cs="仿宋_GB2312"/>
          <w:bCs/>
          <w:lang w:val="en-US" w:eastAsia="zh-CN"/>
        </w:rPr>
        <w:t>买</w:t>
      </w:r>
      <w:r>
        <w:rPr>
          <w:rFonts w:hint="eastAsia" w:ascii="仿宋_GB2312" w:hAnsi="仿宋_GB2312" w:eastAsia="仿宋_GB2312" w:cs="仿宋_GB2312"/>
          <w:bCs/>
        </w:rPr>
        <w:t>方确认无误后结算相关费用，具体开票信息详见发票信息表。</w:t>
      </w:r>
    </w:p>
    <w:p w14:paraId="6E0D743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lang w:val="en-US" w:eastAsia="zh-CN"/>
        </w:rPr>
      </w:pPr>
      <w:r>
        <w:rPr>
          <w:rFonts w:hint="eastAsia"/>
          <w:lang w:val="en-US" w:eastAsia="zh-CN"/>
        </w:rPr>
        <w:t>本次招标最终解释权归</w:t>
      </w:r>
      <w:r>
        <w:rPr>
          <w:rFonts w:hint="eastAsia" w:ascii="宋体" w:hAnsi="宋体"/>
          <w:sz w:val="28"/>
          <w:szCs w:val="28"/>
          <w:highlight w:val="none"/>
        </w:rPr>
        <w:t>中国重汽集团济宁商用车有限公司工会委员会</w:t>
      </w:r>
      <w:bookmarkStart w:id="19" w:name="_GoBack"/>
      <w:bookmarkEnd w:id="19"/>
      <w:r>
        <w:rPr>
          <w:rFonts w:hint="eastAsia"/>
          <w:lang w:val="en-US" w:eastAsia="zh-CN"/>
        </w:rPr>
        <w:t>。</w:t>
      </w:r>
    </w:p>
    <w:p w14:paraId="66BCACD8">
      <w:pPr>
        <w:pStyle w:val="76"/>
        <w:bidi w:val="0"/>
      </w:pPr>
    </w:p>
    <w:p w14:paraId="243FF35F">
      <w:pPr>
        <w:pStyle w:val="76"/>
        <w:bidi w:val="0"/>
        <w:rPr>
          <w:rFonts w:hint="eastAsia"/>
        </w:rPr>
      </w:pPr>
      <w:bookmarkStart w:id="11" w:name="_Toc47976607"/>
    </w:p>
    <w:p w14:paraId="362F0A00">
      <w:pPr>
        <w:pStyle w:val="76"/>
        <w:bidi w:val="0"/>
        <w:rPr>
          <w:rFonts w:hint="eastAsia"/>
        </w:rPr>
      </w:pPr>
    </w:p>
    <w:bookmarkEnd w:id="11"/>
    <w:p w14:paraId="50D9D845">
      <w:pPr>
        <w:pStyle w:val="71"/>
        <w:rPr>
          <w:rFonts w:ascii="黑体" w:hAnsi="Calibri" w:eastAsia="黑体" w:cs="Times New Roman"/>
          <w:color w:val="000000"/>
          <w:sz w:val="24"/>
          <w:szCs w:val="24"/>
        </w:rPr>
      </w:pPr>
      <w:bookmarkStart w:id="12" w:name="_Toc47976615"/>
      <w:bookmarkStart w:id="13" w:name="_Toc16500"/>
      <w:r>
        <w:rPr>
          <w:rFonts w:hint="eastAsia"/>
        </w:rPr>
        <w:t>第</w:t>
      </w:r>
      <w:r>
        <w:rPr>
          <w:rFonts w:hint="eastAsia"/>
          <w:lang w:val="en-US" w:eastAsia="zh-CN"/>
        </w:rPr>
        <w:t>二</w:t>
      </w:r>
      <w:r>
        <w:rPr>
          <w:rFonts w:hint="eastAsia"/>
        </w:rPr>
        <w:t>部分　</w:t>
      </w:r>
      <w:bookmarkEnd w:id="12"/>
      <w:r>
        <w:rPr>
          <w:rFonts w:hint="eastAsia"/>
          <w:lang w:val="en-US" w:eastAsia="zh-CN"/>
        </w:rPr>
        <w:t>投标文件附件</w:t>
      </w:r>
      <w:bookmarkEnd w:id="13"/>
    </w:p>
    <w:p w14:paraId="32681108">
      <w:pPr>
        <w:jc w:val="both"/>
        <w:rPr>
          <w:rFonts w:ascii="宋体"/>
          <w:b/>
          <w:color w:val="000000"/>
          <w:szCs w:val="24"/>
        </w:rPr>
      </w:pPr>
    </w:p>
    <w:p w14:paraId="6220DDA8">
      <w:pPr>
        <w:pStyle w:val="15"/>
      </w:pPr>
    </w:p>
    <w:p w14:paraId="34291980">
      <w:pPr>
        <w:pStyle w:val="72"/>
        <w:numPr>
          <w:ilvl w:val="0"/>
          <w:numId w:val="0"/>
        </w:numPr>
        <w:ind w:leftChars="0"/>
        <w:outlineLvl w:val="1"/>
        <w:rPr>
          <w:rFonts w:hint="default" w:ascii="宋体" w:hAnsi="宋体" w:eastAsia="宋体" w:cs="宋体"/>
          <w:sz w:val="32"/>
          <w:szCs w:val="32"/>
          <w:highlight w:val="yellow"/>
          <w:lang w:val="en-US" w:eastAsia="zh-CN"/>
        </w:rPr>
      </w:pPr>
      <w:bookmarkStart w:id="14" w:name="_Toc47976618"/>
      <w:bookmarkStart w:id="15" w:name="_Toc29366869"/>
      <w:bookmarkStart w:id="16" w:name="_Toc29366865"/>
      <w:r>
        <w:rPr>
          <w:rFonts w:hint="eastAsia" w:ascii="宋体" w:hAnsi="宋体" w:eastAsia="宋体" w:cs="宋体"/>
          <w:sz w:val="32"/>
          <w:szCs w:val="32"/>
          <w:highlight w:val="none"/>
          <w:lang w:val="en-US" w:eastAsia="zh-CN"/>
        </w:rPr>
        <w:t>附件1 法定代表人授权委托书</w:t>
      </w:r>
    </w:p>
    <w:bookmarkEnd w:id="14"/>
    <w:p w14:paraId="5121093B">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80342E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cs="Times New Roman"/>
          <w:b w:val="0"/>
          <w:bCs w:val="0"/>
          <w:color w:val="000000"/>
          <w:sz w:val="24"/>
          <w:szCs w:val="24"/>
          <w:highlight w:val="none"/>
          <w:u w:val="single"/>
          <w:lang w:val="en-US" w:eastAsia="zh-CN"/>
        </w:rPr>
        <w:t>济宁商用车公司2026年度职工（会员）生日蛋糕券采购项目</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F8F578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0B7C19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3A69F347">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427685B">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6609A01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73B5E5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6F6925F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585FAE3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A49D1B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74AA84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2D6CAE40">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0AFA7C6B">
      <w:pPr>
        <w:pStyle w:val="15"/>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396A5D81">
      <w:pPr>
        <w:pStyle w:val="7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投标人基本情况及资产情况汇总表</w:t>
      </w:r>
    </w:p>
    <w:p w14:paraId="58088325">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1 投标人基本情况表</w:t>
      </w:r>
    </w:p>
    <w:p w14:paraId="0144CA54">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投标人基本情况表</w:t>
      </w:r>
    </w:p>
    <w:tbl>
      <w:tblPr>
        <w:tblStyle w:val="11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12"/>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112"/>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12"/>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112"/>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12"/>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112"/>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12"/>
              <w:spacing w:before="111"/>
              <w:ind w:left="509"/>
              <w:rPr>
                <w:highlight w:val="yellow"/>
              </w:rPr>
            </w:pPr>
            <w:r>
              <w:t xml:space="preserve">企业法人代表  </w:t>
            </w:r>
          </w:p>
        </w:tc>
        <w:tc>
          <w:tcPr>
            <w:tcW w:w="4680" w:type="dxa"/>
            <w:gridSpan w:val="4"/>
          </w:tcPr>
          <w:p w14:paraId="4B5F8599">
            <w:pPr>
              <w:pStyle w:val="4"/>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112"/>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12"/>
              <w:spacing w:before="114"/>
              <w:ind w:left="720"/>
            </w:pPr>
            <w:r>
              <w:t xml:space="preserve">品牌区分 </w:t>
            </w:r>
          </w:p>
        </w:tc>
        <w:tc>
          <w:tcPr>
            <w:tcW w:w="7500" w:type="dxa"/>
            <w:gridSpan w:val="6"/>
          </w:tcPr>
          <w:p w14:paraId="3BAE0FF2">
            <w:pPr>
              <w:pStyle w:val="112"/>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12"/>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112"/>
              <w:spacing w:before="15"/>
              <w:ind w:left="279"/>
            </w:pPr>
            <w:r>
              <w:rPr>
                <w:spacing w:val="-2"/>
              </w:rPr>
              <w:t>质量</w:t>
            </w:r>
            <w:r>
              <w:t xml:space="preserve"> </w:t>
            </w:r>
          </w:p>
          <w:p w14:paraId="38F7D920">
            <w:pPr>
              <w:pStyle w:val="112"/>
              <w:spacing w:before="30" w:line="277" w:lineRule="exact"/>
              <w:ind w:left="279"/>
            </w:pPr>
            <w:r>
              <w:rPr>
                <w:rFonts w:hint="eastAsia"/>
              </w:rPr>
              <w:t>体系</w:t>
            </w:r>
          </w:p>
        </w:tc>
        <w:tc>
          <w:tcPr>
            <w:tcW w:w="2820" w:type="dxa"/>
            <w:gridSpan w:val="2"/>
          </w:tcPr>
          <w:p w14:paraId="53E9DAB1">
            <w:pPr>
              <w:pStyle w:val="112"/>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12"/>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15"/>
        <w:rPr>
          <w:rFonts w:ascii="Times New Roman" w:hAnsi="Times New Roman" w:eastAsia="宋体" w:cs="Times New Roman"/>
          <w:b/>
          <w:bCs/>
          <w:color w:val="000000"/>
          <w:sz w:val="24"/>
          <w:szCs w:val="24"/>
        </w:rPr>
      </w:pPr>
    </w:p>
    <w:p w14:paraId="37100778">
      <w:pPr>
        <w:pStyle w:val="15"/>
        <w:rPr>
          <w:rFonts w:ascii="Times New Roman" w:hAnsi="Times New Roman" w:eastAsia="宋体" w:cs="Times New Roman"/>
          <w:b/>
          <w:bCs/>
          <w:color w:val="000000"/>
          <w:sz w:val="24"/>
          <w:szCs w:val="24"/>
        </w:rPr>
      </w:pPr>
    </w:p>
    <w:p w14:paraId="39756F36">
      <w:pPr>
        <w:pStyle w:val="15"/>
        <w:rPr>
          <w:rFonts w:ascii="Times New Roman" w:hAnsi="Times New Roman" w:eastAsia="宋体" w:cs="Times New Roman"/>
          <w:b/>
          <w:bCs/>
          <w:color w:val="000000"/>
          <w:sz w:val="24"/>
          <w:szCs w:val="24"/>
        </w:rPr>
      </w:pPr>
    </w:p>
    <w:p w14:paraId="527F4C72">
      <w:pPr>
        <w:pStyle w:val="15"/>
        <w:rPr>
          <w:rFonts w:ascii="Times New Roman" w:hAnsi="Times New Roman" w:eastAsia="宋体" w:cs="Times New Roman"/>
          <w:b/>
          <w:bCs/>
          <w:color w:val="000000"/>
          <w:sz w:val="24"/>
          <w:szCs w:val="24"/>
        </w:rPr>
      </w:pPr>
    </w:p>
    <w:p w14:paraId="0FDAE4A3">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2 资产情况汇总表</w:t>
      </w:r>
    </w:p>
    <w:p w14:paraId="54D6387F">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资产情况汇总表</w:t>
      </w:r>
    </w:p>
    <w:p w14:paraId="14935736">
      <w:pPr>
        <w:bidi w:val="0"/>
        <w:rPr>
          <w:rFonts w:hint="eastAsia"/>
        </w:rPr>
      </w:pP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FFF598B">
      <w:pPr>
        <w:rPr>
          <w:rFonts w:ascii="宋体" w:hAnsi="Calibri" w:eastAsia="宋体" w:cs="宋体"/>
          <w:b/>
          <w:bCs/>
          <w:color w:val="000000"/>
          <w:sz w:val="28"/>
          <w:szCs w:val="20"/>
        </w:rPr>
        <w:sectPr>
          <w:footerReference r:id="rId11" w:type="first"/>
          <w:footerReference r:id="rId10" w:type="default"/>
          <w:pgSz w:w="11906" w:h="16838"/>
          <w:pgMar w:top="1588" w:right="1418" w:bottom="1134" w:left="1418" w:header="851" w:footer="992" w:gutter="0"/>
          <w:cols w:space="720" w:num="1"/>
          <w:titlePg/>
          <w:docGrid w:type="lines" w:linePitch="312" w:charSpace="0"/>
        </w:sectPr>
      </w:pPr>
    </w:p>
    <w:p w14:paraId="6B20C6DF">
      <w:pPr>
        <w:pStyle w:val="7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保密承诺函</w:t>
      </w:r>
    </w:p>
    <w:p w14:paraId="0F4E083F">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cs="宋体"/>
          <w:b w:val="0"/>
          <w:bCs w:val="0"/>
          <w:sz w:val="24"/>
          <w:szCs w:val="24"/>
          <w:highlight w:val="none"/>
          <w:u w:val="single"/>
          <w:lang w:val="en-US" w:eastAsia="zh-CN"/>
        </w:rPr>
        <w:t>济宁商用车公司2026年度职工（会员）生日蛋糕券采购项目</w:t>
      </w:r>
    </w:p>
    <w:p w14:paraId="2D22553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966A3D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bookmarkEnd w:id="15"/>
    <w:bookmarkEnd w:id="16"/>
    <w:p w14:paraId="38EF994B">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53E6B306">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开标一览表</w:t>
      </w:r>
    </w:p>
    <w:tbl>
      <w:tblPr>
        <w:tblStyle w:val="31"/>
        <w:tblpPr w:leftFromText="180" w:rightFromText="180" w:vertAnchor="text" w:horzAnchor="page" w:tblpX="1735" w:tblpY="520"/>
        <w:tblOverlap w:val="never"/>
        <w:tblW w:w="4581"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8"/>
        <w:gridCol w:w="4262"/>
        <w:gridCol w:w="2538"/>
      </w:tblGrid>
      <w:tr w14:paraId="1918D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1004" w:type="pct"/>
            <w:shd w:val="clear" w:color="auto" w:fill="0070C0"/>
            <w:noWrap w:val="0"/>
            <w:vAlign w:val="center"/>
          </w:tcPr>
          <w:p w14:paraId="2533E737">
            <w:pPr>
              <w:jc w:val="center"/>
              <w:rPr>
                <w:rFonts w:hint="eastAsia" w:ascii="黑体" w:hAnsi="黑体" w:eastAsia="黑体" w:cs="黑体"/>
                <w:color w:val="FFFFFF"/>
                <w:sz w:val="24"/>
              </w:rPr>
            </w:pPr>
            <w:r>
              <w:rPr>
                <w:rFonts w:hint="eastAsia" w:ascii="黑体" w:hAnsi="黑体" w:eastAsia="黑体" w:cs="黑体"/>
                <w:color w:val="FFFFFF"/>
                <w:sz w:val="24"/>
                <w:lang w:val="en-US" w:eastAsia="zh-CN"/>
              </w:rPr>
              <w:t>项目</w:t>
            </w:r>
            <w:r>
              <w:rPr>
                <w:rFonts w:hint="eastAsia" w:ascii="黑体" w:hAnsi="黑体" w:eastAsia="黑体" w:cs="黑体"/>
                <w:color w:val="FFFFFF"/>
                <w:sz w:val="24"/>
              </w:rPr>
              <w:t>名称</w:t>
            </w:r>
          </w:p>
        </w:tc>
        <w:tc>
          <w:tcPr>
            <w:tcW w:w="2504" w:type="pct"/>
            <w:shd w:val="clear" w:color="auto" w:fill="0070C0"/>
            <w:noWrap w:val="0"/>
            <w:vAlign w:val="center"/>
          </w:tcPr>
          <w:p w14:paraId="5BEDF889">
            <w:pPr>
              <w:jc w:val="center"/>
              <w:rPr>
                <w:rFonts w:hint="eastAsia" w:ascii="黑体" w:hAnsi="黑体" w:eastAsia="黑体" w:cs="黑体"/>
                <w:color w:val="FFFFFF"/>
                <w:sz w:val="24"/>
              </w:rPr>
            </w:pPr>
            <w:r>
              <w:rPr>
                <w:rFonts w:hint="eastAsia" w:ascii="黑体" w:hAnsi="黑体" w:eastAsia="黑体" w:cs="黑体"/>
                <w:color w:val="FFFFFF"/>
                <w:sz w:val="24"/>
              </w:rPr>
              <w:t>券（卡）优惠后的最终可使用价值</w:t>
            </w:r>
            <w:r>
              <w:rPr>
                <w:rFonts w:hint="eastAsia" w:ascii="黑体" w:hAnsi="黑体" w:eastAsia="黑体" w:cs="黑体"/>
                <w:color w:val="FFFFFF"/>
                <w:sz w:val="24"/>
                <w:lang w:val="en-US" w:eastAsia="zh-CN"/>
              </w:rPr>
              <w:t>/份</w:t>
            </w:r>
          </w:p>
        </w:tc>
        <w:tc>
          <w:tcPr>
            <w:tcW w:w="1491" w:type="pct"/>
            <w:shd w:val="clear" w:color="auto" w:fill="0070C0"/>
            <w:noWrap w:val="0"/>
            <w:vAlign w:val="center"/>
          </w:tcPr>
          <w:p w14:paraId="14D29736">
            <w:pPr>
              <w:jc w:val="center"/>
              <w:rPr>
                <w:rFonts w:hint="eastAsia" w:ascii="黑体" w:hAnsi="黑体" w:eastAsia="黑体" w:cs="黑体"/>
                <w:color w:val="FFFFFF"/>
                <w:sz w:val="24"/>
              </w:rPr>
            </w:pPr>
            <w:r>
              <w:rPr>
                <w:rFonts w:hint="eastAsia" w:ascii="黑体" w:hAnsi="黑体" w:eastAsia="黑体" w:cs="黑体"/>
                <w:color w:val="FFFFFF"/>
                <w:sz w:val="24"/>
              </w:rPr>
              <w:t>交货期</w:t>
            </w:r>
          </w:p>
        </w:tc>
      </w:tr>
      <w:tr w14:paraId="00AA5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9" w:hRule="atLeast"/>
        </w:trPr>
        <w:tc>
          <w:tcPr>
            <w:tcW w:w="1004" w:type="pct"/>
            <w:noWrap w:val="0"/>
            <w:vAlign w:val="center"/>
          </w:tcPr>
          <w:p w14:paraId="5191F801">
            <w:pPr>
              <w:jc w:val="center"/>
              <w:rPr>
                <w:rFonts w:hint="eastAsia" w:ascii="宋体" w:hAnsi="宋体"/>
                <w:sz w:val="24"/>
              </w:rPr>
            </w:pPr>
            <w:r>
              <w:rPr>
                <w:rFonts w:hint="eastAsia" w:ascii="宋体" w:hAnsi="宋体"/>
                <w:sz w:val="24"/>
              </w:rPr>
              <w:t>济宁商用车有限公司2026年职工（会员）生日蛋糕券采购项目</w:t>
            </w:r>
          </w:p>
        </w:tc>
        <w:tc>
          <w:tcPr>
            <w:tcW w:w="2504" w:type="pct"/>
            <w:noWrap w:val="0"/>
            <w:vAlign w:val="center"/>
          </w:tcPr>
          <w:p w14:paraId="3E421FFB">
            <w:pPr>
              <w:jc w:val="center"/>
              <w:rPr>
                <w:rFonts w:hint="default" w:ascii="宋体" w:hAnsi="宋体" w:eastAsia="仿宋_GB2312"/>
                <w:sz w:val="24"/>
                <w:lang w:val="en-US" w:eastAsia="zh-CN"/>
              </w:rPr>
            </w:pPr>
            <w:r>
              <w:rPr>
                <w:rFonts w:hint="eastAsia" w:ascii="宋体" w:hAnsi="宋体"/>
                <w:sz w:val="24"/>
                <w:u w:val="single"/>
                <w:lang w:val="en-US" w:eastAsia="zh-CN"/>
              </w:rPr>
              <w:t xml:space="preserve">          </w:t>
            </w:r>
            <w:r>
              <w:rPr>
                <w:rFonts w:hint="eastAsia" w:ascii="宋体" w:hAnsi="宋体"/>
                <w:sz w:val="24"/>
                <w:lang w:val="en-US" w:eastAsia="zh-CN"/>
              </w:rPr>
              <w:t>元/份（含税13%）</w:t>
            </w:r>
          </w:p>
        </w:tc>
        <w:tc>
          <w:tcPr>
            <w:tcW w:w="1491" w:type="pct"/>
            <w:noWrap w:val="0"/>
            <w:vAlign w:val="center"/>
          </w:tcPr>
          <w:p w14:paraId="2A18FFCF">
            <w:pPr>
              <w:jc w:val="center"/>
              <w:rPr>
                <w:rFonts w:hint="eastAsia" w:ascii="宋体" w:hAnsi="宋体"/>
                <w:sz w:val="24"/>
              </w:rPr>
            </w:pPr>
          </w:p>
        </w:tc>
      </w:tr>
      <w:tr w14:paraId="0DE02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7" w:hRule="atLeast"/>
        </w:trPr>
        <w:tc>
          <w:tcPr>
            <w:tcW w:w="1004" w:type="pct"/>
            <w:noWrap w:val="0"/>
            <w:vAlign w:val="center"/>
          </w:tcPr>
          <w:p w14:paraId="07820540">
            <w:pPr>
              <w:jc w:val="both"/>
              <w:rPr>
                <w:rFonts w:hint="default" w:ascii="宋体" w:hAnsi="宋体" w:eastAsia="仿宋_GB2312"/>
                <w:sz w:val="24"/>
                <w:lang w:val="en-US" w:eastAsia="zh-CN"/>
              </w:rPr>
            </w:pPr>
            <w:r>
              <w:rPr>
                <w:rFonts w:hint="eastAsia" w:ascii="宋体" w:hAnsi="宋体"/>
                <w:sz w:val="24"/>
                <w:lang w:val="en-US" w:eastAsia="zh-CN"/>
              </w:rPr>
              <w:t>其他增值服务</w:t>
            </w:r>
          </w:p>
        </w:tc>
        <w:tc>
          <w:tcPr>
            <w:tcW w:w="3995" w:type="pct"/>
            <w:gridSpan w:val="2"/>
            <w:noWrap w:val="0"/>
            <w:vAlign w:val="center"/>
          </w:tcPr>
          <w:p w14:paraId="441B6692">
            <w:pPr>
              <w:jc w:val="both"/>
              <w:rPr>
                <w:rFonts w:hint="eastAsia" w:ascii="宋体" w:hAnsi="宋体"/>
                <w:sz w:val="24"/>
                <w:lang w:val="en-US" w:eastAsia="zh-CN"/>
              </w:rPr>
            </w:pPr>
          </w:p>
        </w:tc>
      </w:tr>
    </w:tbl>
    <w:p w14:paraId="425FFD8F">
      <w:pPr>
        <w:pStyle w:val="76"/>
        <w:bidi w:val="0"/>
      </w:pPr>
    </w:p>
    <w:p w14:paraId="6E7F97B7">
      <w:pPr>
        <w:pStyle w:val="76"/>
        <w:bidi w:val="0"/>
      </w:pPr>
    </w:p>
    <w:p w14:paraId="0A484835">
      <w:pPr>
        <w:rPr>
          <w:rFonts w:hint="eastAsia" w:ascii="宋体" w:hAnsi="宋体" w:eastAsia="宋体" w:cs="宋体"/>
          <w:sz w:val="32"/>
          <w:szCs w:val="32"/>
          <w:highlight w:val="none"/>
          <w:lang w:val="en-US" w:eastAsia="zh-CN"/>
        </w:rPr>
      </w:pPr>
      <w:bookmarkStart w:id="17" w:name="_Toc47976616"/>
      <w:bookmarkStart w:id="18" w:name="_Toc4225"/>
      <w:r>
        <w:rPr>
          <w:rFonts w:hint="eastAsia" w:ascii="宋体" w:hAnsi="宋体" w:eastAsia="宋体" w:cs="宋体"/>
          <w:sz w:val="32"/>
          <w:szCs w:val="32"/>
          <w:highlight w:val="none"/>
          <w:lang w:val="en-US" w:eastAsia="zh-CN"/>
        </w:rPr>
        <w:br w:type="page"/>
      </w:r>
    </w:p>
    <w:p w14:paraId="230754D8">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w:t>
      </w:r>
      <w:bookmarkEnd w:id="17"/>
      <w:bookmarkEnd w:id="18"/>
      <w:r>
        <w:rPr>
          <w:rFonts w:hint="eastAsia" w:ascii="宋体" w:hAnsi="宋体" w:eastAsia="宋体" w:cs="宋体"/>
          <w:sz w:val="32"/>
          <w:szCs w:val="32"/>
          <w:highlight w:val="none"/>
          <w:lang w:val="en-US" w:eastAsia="zh-CN"/>
        </w:rPr>
        <w:t>5 投标函</w:t>
      </w:r>
    </w:p>
    <w:p w14:paraId="2859053B">
      <w:pPr>
        <w:spacing w:line="360" w:lineRule="auto"/>
        <w:jc w:val="center"/>
        <w:rPr>
          <w:rFonts w:eastAsia="黑体"/>
          <w:b/>
          <w:bCs/>
          <w:sz w:val="28"/>
        </w:rPr>
      </w:pPr>
      <w:r>
        <w:rPr>
          <w:rFonts w:hint="eastAsia" w:eastAsia="黑体"/>
          <w:b/>
          <w:bCs/>
          <w:sz w:val="28"/>
        </w:rPr>
        <w:t>投标书</w:t>
      </w:r>
    </w:p>
    <w:p w14:paraId="751719C2">
      <w:pPr>
        <w:spacing w:line="360" w:lineRule="auto"/>
        <w:rPr>
          <w:rFonts w:ascii="宋体" w:hAnsi="宋体"/>
          <w:sz w:val="24"/>
          <w:szCs w:val="18"/>
          <w:u w:val="single"/>
        </w:rPr>
      </w:pPr>
      <w:r>
        <w:rPr>
          <w:rFonts w:hint="eastAsia" w:ascii="宋体" w:hAnsi="宋体"/>
          <w:sz w:val="24"/>
          <w:szCs w:val="18"/>
        </w:rPr>
        <w:t xml:space="preserve">致 </w:t>
      </w:r>
      <w:r>
        <w:rPr>
          <w:rFonts w:hint="eastAsia" w:ascii="宋体" w:hAnsi="宋体"/>
          <w:sz w:val="24"/>
          <w:szCs w:val="18"/>
          <w:u w:val="single"/>
        </w:rPr>
        <w:t>中国重汽集团</w:t>
      </w:r>
      <w:r>
        <w:rPr>
          <w:rFonts w:hint="eastAsia" w:ascii="宋体" w:hAnsi="宋体"/>
          <w:sz w:val="24"/>
          <w:szCs w:val="18"/>
          <w:u w:val="single"/>
          <w:lang w:val="en-US" w:eastAsia="zh-CN"/>
        </w:rPr>
        <w:t>济宁商用车</w:t>
      </w:r>
      <w:r>
        <w:rPr>
          <w:rFonts w:hint="eastAsia" w:ascii="宋体" w:hAnsi="宋体"/>
          <w:sz w:val="24"/>
          <w:szCs w:val="18"/>
          <w:u w:val="single"/>
        </w:rPr>
        <w:t>有限公司工会委员会：</w:t>
      </w:r>
    </w:p>
    <w:p w14:paraId="4703F03F">
      <w:pPr>
        <w:spacing w:line="360" w:lineRule="auto"/>
        <w:ind w:firstLine="645"/>
        <w:rPr>
          <w:rFonts w:ascii="宋体" w:hAnsi="宋体"/>
          <w:sz w:val="24"/>
          <w:szCs w:val="18"/>
        </w:rPr>
      </w:pPr>
      <w:r>
        <w:rPr>
          <w:rFonts w:hint="eastAsia" w:ascii="宋体" w:hAnsi="宋体"/>
          <w:sz w:val="24"/>
          <w:szCs w:val="18"/>
        </w:rPr>
        <w:t>根据贵方为（</w:t>
      </w:r>
      <w:r>
        <w:rPr>
          <w:rFonts w:hint="eastAsia" w:ascii="宋体" w:hAnsi="宋体"/>
          <w:sz w:val="24"/>
          <w:szCs w:val="18"/>
          <w:u w:val="single"/>
        </w:rPr>
        <w:t xml:space="preserve">项目名称）     </w:t>
      </w:r>
      <w:r>
        <w:rPr>
          <w:rFonts w:hint="eastAsia" w:ascii="宋体" w:hAnsi="宋体"/>
          <w:sz w:val="24"/>
          <w:szCs w:val="18"/>
          <w:u w:val="single"/>
          <w:lang w:val="en-US" w:eastAsia="zh-CN"/>
        </w:rPr>
        <w:t xml:space="preserve">  </w:t>
      </w:r>
      <w:r>
        <w:rPr>
          <w:rFonts w:hint="eastAsia" w:ascii="宋体" w:hAnsi="宋体"/>
          <w:sz w:val="24"/>
          <w:szCs w:val="18"/>
          <w:u w:val="single"/>
        </w:rPr>
        <w:t xml:space="preserve">                    </w:t>
      </w:r>
      <w:r>
        <w:rPr>
          <w:rFonts w:hint="eastAsia" w:ascii="宋体" w:hAnsi="宋体"/>
          <w:sz w:val="24"/>
          <w:szCs w:val="18"/>
        </w:rPr>
        <w:t>招标采购物品及服务的投标邀请，签字代表</w:t>
      </w:r>
      <w:r>
        <w:rPr>
          <w:rFonts w:hint="eastAsia" w:ascii="宋体" w:hAnsi="宋体"/>
          <w:sz w:val="24"/>
          <w:szCs w:val="18"/>
          <w:u w:val="single"/>
        </w:rPr>
        <w:t xml:space="preserve">（全名、职务）     </w:t>
      </w:r>
      <w:r>
        <w:rPr>
          <w:rFonts w:hint="eastAsia" w:ascii="宋体" w:hAnsi="宋体"/>
          <w:sz w:val="24"/>
          <w:szCs w:val="18"/>
          <w:u w:val="single"/>
          <w:lang w:val="en-US" w:eastAsia="zh-CN"/>
        </w:rPr>
        <w:t xml:space="preserve"> </w:t>
      </w:r>
      <w:r>
        <w:rPr>
          <w:rFonts w:hint="eastAsia" w:ascii="宋体" w:hAnsi="宋体"/>
          <w:sz w:val="24"/>
          <w:szCs w:val="18"/>
          <w:u w:val="single"/>
        </w:rPr>
        <w:t xml:space="preserve">   </w:t>
      </w:r>
      <w:r>
        <w:rPr>
          <w:rFonts w:hint="eastAsia" w:ascii="宋体" w:hAnsi="宋体"/>
          <w:sz w:val="24"/>
          <w:szCs w:val="18"/>
          <w:u w:val="single"/>
          <w:lang w:val="en-US" w:eastAsia="zh-CN"/>
        </w:rPr>
        <w:t xml:space="preserve"> </w:t>
      </w:r>
      <w:r>
        <w:rPr>
          <w:rFonts w:hint="eastAsia" w:ascii="宋体" w:hAnsi="宋体"/>
          <w:sz w:val="24"/>
          <w:szCs w:val="18"/>
          <w:u w:val="single"/>
        </w:rPr>
        <w:t xml:space="preserve">   </w:t>
      </w:r>
      <w:r>
        <w:rPr>
          <w:rFonts w:hint="eastAsia" w:ascii="宋体" w:hAnsi="宋体"/>
          <w:sz w:val="24"/>
          <w:szCs w:val="18"/>
        </w:rPr>
        <w:t>经正式授权并代表投标人</w:t>
      </w:r>
      <w:r>
        <w:rPr>
          <w:rFonts w:hint="eastAsia" w:ascii="宋体" w:hAnsi="宋体"/>
          <w:sz w:val="24"/>
          <w:szCs w:val="18"/>
          <w:u w:val="single"/>
        </w:rPr>
        <w:t xml:space="preserve">（投标人名称、地址）      </w:t>
      </w:r>
      <w:r>
        <w:rPr>
          <w:rFonts w:hint="eastAsia" w:ascii="宋体" w:hAnsi="宋体"/>
          <w:sz w:val="24"/>
          <w:szCs w:val="18"/>
          <w:u w:val="single"/>
          <w:lang w:val="en-US" w:eastAsia="zh-CN"/>
        </w:rPr>
        <w:t xml:space="preserve">  </w:t>
      </w:r>
      <w:r>
        <w:rPr>
          <w:rFonts w:hint="eastAsia" w:ascii="宋体" w:hAnsi="宋体"/>
          <w:sz w:val="24"/>
          <w:szCs w:val="18"/>
          <w:u w:val="single"/>
        </w:rPr>
        <w:t xml:space="preserve">        </w:t>
      </w:r>
      <w:r>
        <w:rPr>
          <w:rFonts w:hint="eastAsia" w:ascii="宋体" w:hAnsi="宋体"/>
          <w:sz w:val="24"/>
          <w:szCs w:val="18"/>
        </w:rPr>
        <w:t>提交下述文件：</w:t>
      </w:r>
    </w:p>
    <w:p w14:paraId="0C0150FC">
      <w:pPr>
        <w:spacing w:line="360" w:lineRule="auto"/>
        <w:rPr>
          <w:rFonts w:ascii="宋体" w:hAnsi="宋体"/>
          <w:sz w:val="24"/>
          <w:szCs w:val="18"/>
        </w:rPr>
      </w:pPr>
      <w:r>
        <w:rPr>
          <w:rFonts w:hint="eastAsia" w:ascii="宋体" w:hAnsi="宋体"/>
          <w:sz w:val="24"/>
          <w:szCs w:val="18"/>
        </w:rPr>
        <w:t>标书</w:t>
      </w:r>
    </w:p>
    <w:p w14:paraId="621F4759">
      <w:pPr>
        <w:spacing w:line="360" w:lineRule="auto"/>
        <w:rPr>
          <w:rFonts w:ascii="宋体" w:hAnsi="宋体"/>
          <w:sz w:val="24"/>
          <w:szCs w:val="18"/>
        </w:rPr>
      </w:pPr>
      <w:r>
        <w:rPr>
          <w:rFonts w:hint="eastAsia" w:ascii="宋体" w:hAnsi="宋体"/>
          <w:sz w:val="24"/>
          <w:szCs w:val="18"/>
        </w:rPr>
        <w:t>据此，签字代表宣布同意如下：</w:t>
      </w:r>
    </w:p>
    <w:p w14:paraId="274EC6BA">
      <w:pPr>
        <w:numPr>
          <w:ilvl w:val="0"/>
          <w:numId w:val="28"/>
        </w:numPr>
        <w:spacing w:line="360" w:lineRule="auto"/>
        <w:rPr>
          <w:rFonts w:ascii="宋体" w:hAnsi="宋体"/>
          <w:sz w:val="24"/>
          <w:szCs w:val="18"/>
          <w:u w:val="single"/>
        </w:rPr>
      </w:pPr>
      <w:r>
        <w:rPr>
          <w:rFonts w:hint="eastAsia" w:ascii="宋体" w:hAnsi="宋体"/>
          <w:sz w:val="24"/>
          <w:szCs w:val="18"/>
        </w:rPr>
        <w:t>所附投标报价表中规定</w:t>
      </w:r>
      <w:r>
        <w:rPr>
          <w:rFonts w:hint="eastAsia" w:ascii="宋体" w:hAnsi="宋体"/>
          <w:sz w:val="24"/>
          <w:szCs w:val="18"/>
          <w:lang w:eastAsia="zh-CN"/>
        </w:rPr>
        <w:t>的</w:t>
      </w:r>
      <w:r>
        <w:rPr>
          <w:rFonts w:hint="eastAsia" w:ascii="宋体" w:hAnsi="宋体"/>
          <w:sz w:val="24"/>
          <w:szCs w:val="18"/>
          <w:lang w:val="en-US" w:eastAsia="zh-CN"/>
        </w:rPr>
        <w:t>招标人采购的</w:t>
      </w:r>
      <w:r>
        <w:rPr>
          <w:rFonts w:hint="eastAsia" w:ascii="宋体" w:hAnsi="宋体"/>
          <w:sz w:val="24"/>
          <w:szCs w:val="18"/>
        </w:rPr>
        <w:t>蛋糕券（卡）优惠后的最终可使用价值</w:t>
      </w:r>
      <w:r>
        <w:rPr>
          <w:rFonts w:hint="eastAsia" w:ascii="宋体" w:hAnsi="宋体"/>
          <w:sz w:val="24"/>
          <w:szCs w:val="18"/>
          <w:lang w:val="en-US" w:eastAsia="zh-CN"/>
        </w:rPr>
        <w:t>为</w:t>
      </w:r>
      <w:r>
        <w:rPr>
          <w:rFonts w:hint="eastAsia" w:ascii="宋体" w:hAnsi="宋体"/>
          <w:sz w:val="24"/>
          <w:szCs w:val="18"/>
          <w:u w:val="single"/>
          <w:lang w:val="en-US" w:eastAsia="zh-CN"/>
        </w:rPr>
        <w:t xml:space="preserve">     </w:t>
      </w:r>
    </w:p>
    <w:p w14:paraId="146497CB">
      <w:pPr>
        <w:numPr>
          <w:ilvl w:val="0"/>
          <w:numId w:val="0"/>
        </w:numPr>
        <w:spacing w:line="360" w:lineRule="auto"/>
        <w:ind w:left="435" w:leftChars="0"/>
        <w:rPr>
          <w:rFonts w:ascii="宋体" w:hAnsi="宋体"/>
          <w:sz w:val="24"/>
          <w:szCs w:val="18"/>
          <w:u w:val="single"/>
        </w:rPr>
      </w:pPr>
      <w:r>
        <w:rPr>
          <w:rFonts w:hint="eastAsia" w:ascii="宋体" w:hAnsi="宋体"/>
          <w:sz w:val="24"/>
          <w:szCs w:val="18"/>
          <w:u w:val="single"/>
          <w:lang w:val="en-US" w:eastAsia="zh-CN"/>
        </w:rPr>
        <w:t xml:space="preserve">               元/份。大写：                            。</w:t>
      </w:r>
    </w:p>
    <w:p w14:paraId="0B13DB99">
      <w:pPr>
        <w:numPr>
          <w:ilvl w:val="0"/>
          <w:numId w:val="28"/>
        </w:numPr>
        <w:spacing w:line="360" w:lineRule="auto"/>
        <w:rPr>
          <w:rFonts w:ascii="宋体" w:hAnsi="宋体"/>
          <w:sz w:val="24"/>
          <w:szCs w:val="18"/>
        </w:rPr>
      </w:pPr>
      <w:r>
        <w:rPr>
          <w:rFonts w:hint="eastAsia" w:ascii="宋体" w:hAnsi="宋体"/>
          <w:sz w:val="24"/>
          <w:szCs w:val="18"/>
        </w:rPr>
        <w:t>投标人将按招标文件的规定履行合同责任和义务。</w:t>
      </w:r>
    </w:p>
    <w:p w14:paraId="59387A29">
      <w:pPr>
        <w:numPr>
          <w:ilvl w:val="0"/>
          <w:numId w:val="28"/>
        </w:numPr>
        <w:spacing w:line="360" w:lineRule="auto"/>
        <w:rPr>
          <w:rFonts w:ascii="宋体" w:hAnsi="宋体"/>
          <w:sz w:val="24"/>
          <w:szCs w:val="18"/>
        </w:rPr>
      </w:pPr>
      <w:r>
        <w:rPr>
          <w:rFonts w:hint="eastAsia" w:ascii="宋体" w:hAnsi="宋体"/>
          <w:sz w:val="24"/>
          <w:szCs w:val="18"/>
        </w:rPr>
        <w:t>投标人已详细审查全部招标文件，包括修改文件（如有的话）以及全部参考资料和有关附件，我们完全理解并同意放弃对这方面有不明及误解的权利。</w:t>
      </w:r>
    </w:p>
    <w:p w14:paraId="343D0CF7">
      <w:pPr>
        <w:numPr>
          <w:ilvl w:val="0"/>
          <w:numId w:val="28"/>
        </w:numPr>
        <w:spacing w:line="360" w:lineRule="auto"/>
        <w:rPr>
          <w:rFonts w:ascii="宋体" w:hAnsi="宋体"/>
          <w:sz w:val="24"/>
          <w:szCs w:val="18"/>
        </w:rPr>
      </w:pPr>
      <w:r>
        <w:rPr>
          <w:rFonts w:hint="eastAsia"/>
          <w:sz w:val="24"/>
          <w:szCs w:val="20"/>
        </w:rPr>
        <w:t>投标有效期：自投标截止之日起30个日历日内有效</w:t>
      </w:r>
      <w:r>
        <w:rPr>
          <w:rFonts w:hint="eastAsia" w:ascii="宋体" w:hAnsi="宋体"/>
          <w:sz w:val="24"/>
          <w:szCs w:val="20"/>
        </w:rPr>
        <w:t>。</w:t>
      </w:r>
    </w:p>
    <w:p w14:paraId="11504A83">
      <w:pPr>
        <w:numPr>
          <w:ilvl w:val="0"/>
          <w:numId w:val="28"/>
        </w:numPr>
        <w:spacing w:line="360" w:lineRule="auto"/>
        <w:rPr>
          <w:rFonts w:ascii="宋体" w:hAnsi="宋体"/>
          <w:sz w:val="24"/>
          <w:szCs w:val="18"/>
        </w:rPr>
      </w:pPr>
      <w:r>
        <w:rPr>
          <w:rFonts w:hint="eastAsia" w:ascii="宋体" w:hAnsi="宋体"/>
          <w:sz w:val="24"/>
          <w:szCs w:val="18"/>
        </w:rPr>
        <w:t>投标人同意提供贵方要求的可能与投标有关的一切数据和资料，完全理解贵方不一定要接受最低价的投标或收到的任何投标。</w:t>
      </w:r>
    </w:p>
    <w:p w14:paraId="4A87D7D8">
      <w:pPr>
        <w:numPr>
          <w:ilvl w:val="0"/>
          <w:numId w:val="28"/>
        </w:numPr>
        <w:spacing w:line="360" w:lineRule="auto"/>
        <w:rPr>
          <w:rFonts w:ascii="宋体" w:hAnsi="宋体"/>
          <w:sz w:val="24"/>
          <w:szCs w:val="18"/>
        </w:rPr>
      </w:pPr>
      <w:r>
        <w:rPr>
          <w:rFonts w:hint="eastAsia" w:ascii="宋体" w:hAnsi="宋体"/>
          <w:sz w:val="24"/>
          <w:szCs w:val="18"/>
        </w:rPr>
        <w:t>与本投标有关的一切正式往来通讯请寄：</w:t>
      </w:r>
    </w:p>
    <w:p w14:paraId="476317D6">
      <w:pPr>
        <w:spacing w:line="360" w:lineRule="auto"/>
        <w:ind w:left="795"/>
        <w:rPr>
          <w:rFonts w:ascii="宋体" w:hAnsi="宋体"/>
          <w:sz w:val="24"/>
          <w:szCs w:val="18"/>
        </w:rPr>
      </w:pPr>
      <w:r>
        <w:rPr>
          <w:rFonts w:hint="eastAsia" w:ascii="宋体" w:hAnsi="宋体"/>
          <w:sz w:val="24"/>
          <w:szCs w:val="18"/>
        </w:rPr>
        <w:t>地址：                                   邮编：</w:t>
      </w:r>
    </w:p>
    <w:p w14:paraId="0440A4CF">
      <w:pPr>
        <w:spacing w:line="360" w:lineRule="auto"/>
        <w:ind w:left="795"/>
        <w:rPr>
          <w:rFonts w:ascii="宋体" w:hAnsi="宋体"/>
          <w:sz w:val="24"/>
          <w:szCs w:val="18"/>
        </w:rPr>
      </w:pPr>
      <w:r>
        <w:rPr>
          <w:rFonts w:hint="eastAsia" w:ascii="宋体" w:hAnsi="宋体"/>
          <w:sz w:val="24"/>
          <w:szCs w:val="18"/>
        </w:rPr>
        <w:t>电话：                                   传真：</w:t>
      </w:r>
    </w:p>
    <w:p w14:paraId="4711BFF7">
      <w:pPr>
        <w:spacing w:line="360" w:lineRule="auto"/>
        <w:ind w:left="795"/>
        <w:rPr>
          <w:sz w:val="24"/>
          <w:szCs w:val="18"/>
        </w:rPr>
      </w:pPr>
    </w:p>
    <w:p w14:paraId="69DBF3BF">
      <w:pPr>
        <w:spacing w:line="360" w:lineRule="auto"/>
        <w:ind w:left="795"/>
        <w:rPr>
          <w:sz w:val="24"/>
          <w:szCs w:val="18"/>
        </w:rPr>
      </w:pPr>
    </w:p>
    <w:p w14:paraId="564F6447">
      <w:pPr>
        <w:spacing w:line="360" w:lineRule="auto"/>
        <w:ind w:left="795"/>
        <w:rPr>
          <w:sz w:val="24"/>
          <w:szCs w:val="18"/>
        </w:rPr>
      </w:pPr>
      <w:r>
        <w:rPr>
          <w:rFonts w:hint="eastAsia"/>
          <w:sz w:val="24"/>
          <w:szCs w:val="18"/>
        </w:rPr>
        <w:t>投标人代表签字：                 职务：                 日期：</w:t>
      </w:r>
    </w:p>
    <w:p w14:paraId="6A4734D3">
      <w:pPr>
        <w:spacing w:line="360" w:lineRule="auto"/>
        <w:ind w:left="795"/>
        <w:rPr>
          <w:sz w:val="24"/>
          <w:szCs w:val="18"/>
        </w:rPr>
      </w:pPr>
      <w:r>
        <w:rPr>
          <w:rFonts w:hint="eastAsia"/>
          <w:sz w:val="24"/>
          <w:szCs w:val="18"/>
        </w:rPr>
        <w:t>投标人代表姓名、职务（印刷体）：</w:t>
      </w:r>
    </w:p>
    <w:p w14:paraId="5534945F">
      <w:pPr>
        <w:spacing w:line="360" w:lineRule="auto"/>
        <w:ind w:left="795"/>
        <w:rPr>
          <w:sz w:val="24"/>
          <w:szCs w:val="18"/>
        </w:rPr>
      </w:pPr>
      <w:r>
        <w:rPr>
          <w:rFonts w:hint="eastAsia"/>
          <w:sz w:val="24"/>
          <w:szCs w:val="18"/>
        </w:rPr>
        <w:t>投标人名称（及公章）：</w:t>
      </w:r>
    </w:p>
    <w:p w14:paraId="4DC7CB51">
      <w:pPr>
        <w:pStyle w:val="76"/>
        <w:bidi w:val="0"/>
      </w:pPr>
      <w:r>
        <w:rPr>
          <w:rFonts w:hint="eastAsia"/>
          <w:sz w:val="24"/>
          <w:szCs w:val="18"/>
        </w:rPr>
        <w:t>日期：        年       月       日</w:t>
      </w:r>
    </w:p>
    <w:p w14:paraId="391DF144">
      <w:pPr>
        <w:pStyle w:val="76"/>
        <w:bidi w:val="0"/>
      </w:pPr>
    </w:p>
    <w:p w14:paraId="4E421771">
      <w:pPr>
        <w:pStyle w:val="76"/>
        <w:bidi w:val="0"/>
      </w:pPr>
    </w:p>
    <w:p w14:paraId="32C9A5BE">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4E91CA03">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附件6 商务条款偏离表</w:t>
      </w:r>
    </w:p>
    <w:p w14:paraId="38D36224">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商务条款偏离表</w:t>
      </w:r>
    </w:p>
    <w:tbl>
      <w:tblPr>
        <w:tblStyle w:val="3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6A31E3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EAA7D60">
            <w:pPr>
              <w:jc w:val="center"/>
              <w:rPr>
                <w:rFonts w:hint="default" w:ascii="Times New Roman" w:hAnsi="Times New Roman" w:eastAsia="宋体" w:cs="Times New Roman"/>
                <w:b/>
                <w:szCs w:val="20"/>
                <w:lang w:val="en-US"/>
              </w:rPr>
            </w:pPr>
            <w:r>
              <w:rPr>
                <w:rFonts w:hint="eastAsia" w:ascii="宋体" w:hAnsi="宋体" w:cs="宋体"/>
                <w:b/>
                <w:bCs/>
                <w:i w:val="0"/>
                <w:iCs w:val="0"/>
                <w:sz w:val="24"/>
                <w:szCs w:val="24"/>
                <w:highlight w:val="none"/>
                <w:u w:val="none"/>
                <w:lang w:val="en-US" w:eastAsia="zh-CN"/>
              </w:rPr>
              <w:t>济宁商用车公司2026年度职工（会员）生日蛋糕券采购项目</w:t>
            </w:r>
          </w:p>
        </w:tc>
        <w:tc>
          <w:tcPr>
            <w:tcW w:w="2875" w:type="dxa"/>
            <w:tcBorders>
              <w:top w:val="single" w:color="auto" w:sz="4" w:space="0"/>
              <w:left w:val="single" w:color="auto" w:sz="4" w:space="0"/>
              <w:bottom w:val="single" w:color="auto" w:sz="4" w:space="0"/>
              <w:right w:val="single" w:color="auto" w:sz="4" w:space="0"/>
            </w:tcBorders>
            <w:vAlign w:val="center"/>
          </w:tcPr>
          <w:p w14:paraId="11CC7152">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1938DE94">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2EA137BC">
            <w:pPr>
              <w:jc w:val="center"/>
              <w:rPr>
                <w:rFonts w:ascii="Times New Roman" w:hAnsi="Times New Roman" w:eastAsia="宋体" w:cs="Times New Roman"/>
                <w:b/>
                <w:szCs w:val="20"/>
              </w:rPr>
            </w:pPr>
            <w:r>
              <w:rPr>
                <w:rFonts w:hint="eastAsia" w:ascii="宋体" w:hAnsi="宋体" w:eastAsia="宋体" w:cs="宋体"/>
                <w:b/>
                <w:szCs w:val="20"/>
              </w:rPr>
              <w:t>是否偏离</w:t>
            </w:r>
          </w:p>
          <w:p w14:paraId="695C9B64">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5D3B8B5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63008E0">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51AB607E">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479390B">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84F2FF5">
            <w:pPr>
              <w:jc w:val="center"/>
              <w:rPr>
                <w:rFonts w:ascii="Times New Roman" w:hAnsi="Times New Roman" w:eastAsia="宋体" w:cs="Times New Roman"/>
                <w:b/>
                <w:szCs w:val="20"/>
              </w:rPr>
            </w:pPr>
          </w:p>
        </w:tc>
      </w:tr>
      <w:tr w14:paraId="0E4AFE4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D873810">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6C8F3F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72EB4D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084D158">
            <w:pPr>
              <w:jc w:val="center"/>
              <w:rPr>
                <w:rFonts w:ascii="Times New Roman" w:hAnsi="Times New Roman" w:eastAsia="宋体" w:cs="Times New Roman"/>
                <w:b/>
                <w:szCs w:val="21"/>
              </w:rPr>
            </w:pPr>
          </w:p>
        </w:tc>
      </w:tr>
      <w:tr w14:paraId="5C0B8A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9D4069E">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4964D6D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0CC919F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1DA3E96">
            <w:pPr>
              <w:jc w:val="center"/>
              <w:rPr>
                <w:rFonts w:ascii="Times New Roman" w:hAnsi="Times New Roman" w:eastAsia="宋体" w:cs="Times New Roman"/>
                <w:b/>
                <w:szCs w:val="20"/>
              </w:rPr>
            </w:pPr>
          </w:p>
        </w:tc>
      </w:tr>
      <w:tr w14:paraId="2D16E8D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3D5B77B">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099352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FFCFD26">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F93773C">
            <w:pPr>
              <w:jc w:val="center"/>
              <w:rPr>
                <w:rFonts w:ascii="Times New Roman" w:hAnsi="Times New Roman" w:eastAsia="宋体" w:cs="Times New Roman"/>
                <w:b/>
                <w:szCs w:val="21"/>
              </w:rPr>
            </w:pPr>
          </w:p>
          <w:p w14:paraId="2311C360">
            <w:pPr>
              <w:jc w:val="center"/>
              <w:rPr>
                <w:rFonts w:ascii="Times New Roman" w:hAnsi="Times New Roman" w:eastAsia="宋体" w:cs="Times New Roman"/>
                <w:b/>
                <w:szCs w:val="21"/>
              </w:rPr>
            </w:pPr>
          </w:p>
          <w:p w14:paraId="7FD0011A">
            <w:pPr>
              <w:jc w:val="center"/>
              <w:rPr>
                <w:rFonts w:ascii="Times New Roman" w:hAnsi="Times New Roman" w:eastAsia="宋体" w:cs="Times New Roman"/>
                <w:b/>
                <w:szCs w:val="21"/>
              </w:rPr>
            </w:pPr>
          </w:p>
          <w:p w14:paraId="7E133CE2">
            <w:pPr>
              <w:jc w:val="center"/>
              <w:rPr>
                <w:rFonts w:ascii="Times New Roman" w:hAnsi="Times New Roman" w:eastAsia="宋体" w:cs="Times New Roman"/>
                <w:b/>
                <w:szCs w:val="21"/>
              </w:rPr>
            </w:pPr>
          </w:p>
          <w:p w14:paraId="51AC5346">
            <w:pPr>
              <w:jc w:val="center"/>
              <w:rPr>
                <w:rFonts w:ascii="Times New Roman" w:hAnsi="Times New Roman" w:eastAsia="宋体" w:cs="Times New Roman"/>
                <w:b/>
                <w:szCs w:val="21"/>
              </w:rPr>
            </w:pPr>
          </w:p>
          <w:p w14:paraId="2BC45769">
            <w:pPr>
              <w:jc w:val="center"/>
              <w:rPr>
                <w:rFonts w:ascii="Times New Roman" w:hAnsi="Times New Roman" w:eastAsia="宋体" w:cs="Times New Roman"/>
                <w:b/>
                <w:szCs w:val="21"/>
              </w:rPr>
            </w:pPr>
          </w:p>
          <w:p w14:paraId="76CE503C">
            <w:pPr>
              <w:jc w:val="center"/>
              <w:rPr>
                <w:rFonts w:ascii="Times New Roman" w:hAnsi="Times New Roman" w:eastAsia="宋体" w:cs="Times New Roman"/>
                <w:b/>
                <w:szCs w:val="21"/>
              </w:rPr>
            </w:pPr>
          </w:p>
          <w:p w14:paraId="085D6DBC">
            <w:pPr>
              <w:jc w:val="center"/>
              <w:rPr>
                <w:rFonts w:ascii="Times New Roman" w:hAnsi="Times New Roman" w:eastAsia="宋体" w:cs="Times New Roman"/>
                <w:b/>
                <w:szCs w:val="21"/>
              </w:rPr>
            </w:pPr>
          </w:p>
          <w:p w14:paraId="1571192F">
            <w:pPr>
              <w:jc w:val="center"/>
              <w:rPr>
                <w:rFonts w:ascii="Times New Roman" w:hAnsi="Times New Roman" w:eastAsia="宋体" w:cs="Times New Roman"/>
                <w:b/>
                <w:szCs w:val="21"/>
              </w:rPr>
            </w:pPr>
          </w:p>
          <w:p w14:paraId="7D15E4F6">
            <w:pPr>
              <w:jc w:val="center"/>
              <w:rPr>
                <w:rFonts w:ascii="Times New Roman" w:hAnsi="Times New Roman" w:eastAsia="宋体" w:cs="Times New Roman"/>
                <w:b/>
                <w:szCs w:val="21"/>
              </w:rPr>
            </w:pPr>
          </w:p>
          <w:p w14:paraId="4542552C">
            <w:pPr>
              <w:jc w:val="center"/>
              <w:rPr>
                <w:rFonts w:ascii="Times New Roman" w:hAnsi="Times New Roman" w:eastAsia="宋体" w:cs="Times New Roman"/>
                <w:b/>
                <w:szCs w:val="21"/>
              </w:rPr>
            </w:pPr>
          </w:p>
          <w:p w14:paraId="53820639">
            <w:pPr>
              <w:jc w:val="center"/>
              <w:rPr>
                <w:rFonts w:ascii="Times New Roman" w:hAnsi="Times New Roman" w:eastAsia="宋体" w:cs="Times New Roman"/>
                <w:b/>
                <w:szCs w:val="21"/>
              </w:rPr>
            </w:pPr>
          </w:p>
          <w:p w14:paraId="58C55B20">
            <w:pPr>
              <w:jc w:val="center"/>
              <w:rPr>
                <w:rFonts w:ascii="Times New Roman" w:hAnsi="Times New Roman" w:eastAsia="宋体" w:cs="Times New Roman"/>
                <w:b/>
                <w:szCs w:val="21"/>
              </w:rPr>
            </w:pPr>
          </w:p>
          <w:p w14:paraId="0214A778">
            <w:pPr>
              <w:jc w:val="center"/>
              <w:rPr>
                <w:rFonts w:ascii="Times New Roman" w:hAnsi="Times New Roman" w:eastAsia="宋体" w:cs="Times New Roman"/>
                <w:b/>
                <w:szCs w:val="21"/>
              </w:rPr>
            </w:pPr>
          </w:p>
          <w:p w14:paraId="6EFAB8EF">
            <w:pPr>
              <w:jc w:val="center"/>
              <w:rPr>
                <w:rFonts w:ascii="Times New Roman" w:hAnsi="Times New Roman" w:eastAsia="宋体" w:cs="Times New Roman"/>
                <w:b/>
                <w:szCs w:val="21"/>
              </w:rPr>
            </w:pPr>
          </w:p>
          <w:p w14:paraId="576EE7F4">
            <w:pPr>
              <w:jc w:val="center"/>
              <w:rPr>
                <w:rFonts w:ascii="Times New Roman" w:hAnsi="Times New Roman" w:eastAsia="宋体" w:cs="Times New Roman"/>
                <w:b/>
                <w:szCs w:val="21"/>
              </w:rPr>
            </w:pPr>
          </w:p>
          <w:p w14:paraId="1C6A0C58">
            <w:pPr>
              <w:jc w:val="center"/>
              <w:rPr>
                <w:rFonts w:ascii="Times New Roman" w:hAnsi="Times New Roman" w:eastAsia="宋体" w:cs="Times New Roman"/>
                <w:b/>
                <w:szCs w:val="20"/>
              </w:rPr>
            </w:pPr>
          </w:p>
        </w:tc>
      </w:tr>
      <w:tr w14:paraId="026C472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568D7A9">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6D9879D6">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69E4C958">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66DF1D53">
            <w:pPr>
              <w:jc w:val="center"/>
              <w:rPr>
                <w:rFonts w:ascii="Times New Roman" w:hAnsi="Times New Roman" w:eastAsia="宋体" w:cs="Times New Roman"/>
                <w:b/>
                <w:szCs w:val="20"/>
              </w:rPr>
            </w:pPr>
          </w:p>
        </w:tc>
      </w:tr>
    </w:tbl>
    <w:p w14:paraId="1D46FAD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ACA508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14A64866">
      <w:pPr>
        <w:pStyle w:val="11"/>
        <w:rPr>
          <w:rFonts w:hint="default"/>
          <w:lang w:val="en-US" w:eastAsia="zh-CN"/>
        </w:rPr>
      </w:pPr>
    </w:p>
    <w:p w14:paraId="0D0184EF">
      <w:pPr>
        <w:pStyle w:val="76"/>
        <w:rPr>
          <w:rFonts w:hint="default" w:hAnsi="宋体"/>
          <w:sz w:val="24"/>
          <w:lang w:val="en-US"/>
        </w:rPr>
      </w:pPr>
    </w:p>
    <w:p w14:paraId="25341579">
      <w:pPr>
        <w:pStyle w:val="76"/>
        <w:rPr>
          <w:rFonts w:hint="default" w:hAnsi="宋体"/>
          <w:sz w:val="24"/>
          <w:lang w:val="en-US"/>
        </w:rPr>
      </w:pPr>
    </w:p>
    <w:p w14:paraId="3D42EF00">
      <w:pPr>
        <w:pStyle w:val="76"/>
        <w:rPr>
          <w:rFonts w:hint="default" w:hAnsi="宋体"/>
          <w:sz w:val="24"/>
          <w:lang w:val="en-US"/>
        </w:rPr>
      </w:pPr>
    </w:p>
    <w:p w14:paraId="16DD544E">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71860C29">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附件7 分项报价表</w:t>
      </w:r>
    </w:p>
    <w:p w14:paraId="7E95F46C">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分项报价表</w:t>
      </w:r>
    </w:p>
    <w:p w14:paraId="690158EE">
      <w:pPr>
        <w:rPr>
          <w:rFonts w:hint="default" w:hAnsi="宋体"/>
          <w:sz w:val="24"/>
          <w:lang w:val="en-US"/>
        </w:rPr>
      </w:pPr>
      <w:r>
        <w:rPr>
          <w:rFonts w:hint="default" w:hAnsi="宋体"/>
          <w:sz w:val="24"/>
          <w:lang w:val="en-US"/>
        </w:rPr>
        <w:br w:type="page"/>
      </w:r>
    </w:p>
    <w:p w14:paraId="7F7233A4">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附件8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7"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8"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9"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0" cstate="print"/>
                    <a:srcRect/>
                    <a:stretch>
                      <a:fillRect/>
                    </a:stretch>
                  </pic:blipFill>
                  <pic:spPr>
                    <a:xfrm>
                      <a:off x="0" y="0"/>
                      <a:ext cx="5760085" cy="2853055"/>
                    </a:xfrm>
                    <a:prstGeom prst="rect">
                      <a:avLst/>
                    </a:prstGeom>
                  </pic:spPr>
                </pic:pic>
              </a:graphicData>
            </a:graphic>
          </wp:inline>
        </w:drawing>
      </w:r>
    </w:p>
    <w:p w14:paraId="17346439">
      <w:pPr>
        <w:numPr>
          <w:ilvl w:val="0"/>
          <w:numId w:val="29"/>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5"/>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1" cstate="print"/>
                    <a:srcRect/>
                    <a:stretch>
                      <a:fillRect/>
                    </a:stretch>
                  </pic:blipFill>
                  <pic:spPr>
                    <a:xfrm>
                      <a:off x="0" y="0"/>
                      <a:ext cx="5760085" cy="2809875"/>
                    </a:xfrm>
                    <a:prstGeom prst="rect">
                      <a:avLst/>
                    </a:prstGeom>
                  </pic:spPr>
                </pic:pic>
              </a:graphicData>
            </a:graphic>
          </wp:inline>
        </w:drawing>
      </w:r>
    </w:p>
    <w:p w14:paraId="5F803865">
      <w:pPr>
        <w:pStyle w:val="15"/>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2" cstate="print"/>
                    <a:srcRect/>
                    <a:stretch>
                      <a:fillRect/>
                    </a:stretch>
                  </pic:blipFill>
                  <pic:spPr>
                    <a:xfrm>
                      <a:off x="0" y="0"/>
                      <a:ext cx="5760085" cy="2820035"/>
                    </a:xfrm>
                    <a:prstGeom prst="rect">
                      <a:avLst/>
                    </a:prstGeom>
                  </pic:spPr>
                </pic:pic>
              </a:graphicData>
            </a:graphic>
          </wp:inline>
        </w:drawing>
      </w:r>
    </w:p>
    <w:p w14:paraId="1B088E0A">
      <w:pPr>
        <w:pStyle w:val="15"/>
      </w:pPr>
    </w:p>
    <w:p w14:paraId="7AAAB53F">
      <w:pPr>
        <w:pStyle w:val="15"/>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w:t>
      </w:r>
      <w:r>
        <w:rPr>
          <w:rFonts w:hint="eastAsia" w:ascii="宋体" w:hAnsi="Courier New" w:eastAsia="宋体" w:cs="Times New Roman"/>
          <w:b/>
          <w:bCs/>
          <w:kern w:val="2"/>
          <w:sz w:val="21"/>
          <w:lang w:val="en-US" w:eastAsia="zh-CN" w:bidi="ar-SA"/>
        </w:rPr>
        <w:t>“项目名称”和“采购形式编号”见第一部分的“项目介绍”；</w:t>
      </w:r>
    </w:p>
    <w:p w14:paraId="1F9C4FE5">
      <w:pPr>
        <w:pStyle w:val="15"/>
        <w:bidi w:val="0"/>
        <w:rPr>
          <w:rFonts w:hint="eastAsia"/>
          <w:b/>
          <w:bCs/>
          <w:lang w:val="en-US" w:eastAsia="zh-CN"/>
        </w:rPr>
      </w:pPr>
      <w:r>
        <w:rPr>
          <w:rFonts w:hint="eastAsia"/>
          <w:b/>
          <w:bCs/>
        </w:rPr>
        <w:t>2.配套能力“供货类别”填“直管单位非生产招标</w:t>
      </w:r>
      <w:r>
        <w:rPr>
          <w:rFonts w:hint="eastAsia"/>
          <w:b/>
          <w:bCs/>
          <w:highlight w:val="none"/>
        </w:rPr>
        <w:t xml:space="preserve"> / </w:t>
      </w:r>
      <w:r>
        <w:rPr>
          <w:rFonts w:hint="eastAsia"/>
          <w:b/>
          <w:bCs/>
          <w:highlight w:val="none"/>
          <w:lang w:val="en-US" w:eastAsia="zh-CN"/>
        </w:rPr>
        <w:t>货物</w:t>
      </w:r>
      <w:r>
        <w:rPr>
          <w:rFonts w:hint="eastAsia"/>
          <w:b/>
          <w:bCs/>
          <w:highlight w:val="none"/>
        </w:rPr>
        <w:t xml:space="preserve"> /</w:t>
      </w:r>
      <w:r>
        <w:rPr>
          <w:rFonts w:hint="eastAsia"/>
          <w:b/>
          <w:bCs/>
          <w:highlight w:val="none"/>
          <w:lang w:val="en-US" w:eastAsia="zh-CN"/>
        </w:rPr>
        <w:t>职工福利</w:t>
      </w:r>
      <w:r>
        <w:rPr>
          <w:rFonts w:hint="eastAsia"/>
          <w:b/>
          <w:bCs/>
          <w:highlight w:val="none"/>
        </w:rPr>
        <w:t>”，业务主管部门选择“</w:t>
      </w:r>
      <w:r>
        <w:rPr>
          <w:rFonts w:hint="eastAsia"/>
          <w:b/>
          <w:bCs/>
          <w:highlight w:val="none"/>
          <w:lang w:val="en-US" w:eastAsia="zh-CN"/>
        </w:rPr>
        <w:t>党群工作</w:t>
      </w:r>
      <w:r>
        <w:rPr>
          <w:rFonts w:hint="eastAsia"/>
          <w:b/>
          <w:bCs/>
          <w:highlight w:val="none"/>
        </w:rPr>
        <w:t>部”。</w:t>
      </w:r>
    </w:p>
    <w:p w14:paraId="454958B0">
      <w:pPr>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br w:type="page"/>
      </w:r>
    </w:p>
    <w:p w14:paraId="6FEFF112">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附件9 SRM系统供应商用户手册</w:t>
      </w:r>
    </w:p>
    <w:p w14:paraId="4F79C23C">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38"/>
          <w:rFonts w:hint="eastAsia" w:ascii="宋体" w:hAnsi="宋体" w:eastAsia="宋体" w:cs="宋体"/>
          <w:sz w:val="24"/>
          <w:szCs w:val="24"/>
        </w:rPr>
        <w:fldChar w:fldCharType="begin"/>
      </w:r>
      <w:r>
        <w:rPr>
          <w:rStyle w:val="38"/>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38"/>
          <w:rFonts w:hint="eastAsia" w:ascii="宋体" w:hAnsi="宋体" w:eastAsia="宋体" w:cs="宋体"/>
          <w:sz w:val="24"/>
          <w:szCs w:val="24"/>
        </w:rPr>
        <w:fldChar w:fldCharType="separate"/>
      </w:r>
      <w:r>
        <w:rPr>
          <w:rStyle w:val="38"/>
          <w:rFonts w:hint="eastAsia" w:ascii="宋体" w:hAnsi="宋体" w:eastAsia="宋体" w:cs="宋体"/>
          <w:sz w:val="24"/>
          <w:szCs w:val="24"/>
        </w:rPr>
        <w:t>http</w:t>
      </w:r>
      <w:r>
        <w:rPr>
          <w:rStyle w:val="38"/>
          <w:rFonts w:hint="eastAsia" w:ascii="宋体" w:hAnsi="宋体" w:eastAsia="宋体" w:cs="宋体"/>
          <w:sz w:val="24"/>
          <w:szCs w:val="24"/>
          <w:lang w:val="en-US" w:eastAsia="zh-CN"/>
        </w:rPr>
        <w:t>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6870C91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6B38AD38">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09129DA8">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29700869">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3"/>
                    <a:stretch>
                      <a:fillRect/>
                    </a:stretch>
                  </pic:blipFill>
                  <pic:spPr>
                    <a:xfrm>
                      <a:off x="0" y="0"/>
                      <a:ext cx="5760085" cy="2269864"/>
                    </a:xfrm>
                    <a:prstGeom prst="rect">
                      <a:avLst/>
                    </a:prstGeom>
                  </pic:spPr>
                </pic:pic>
              </a:graphicData>
            </a:graphic>
          </wp:inline>
        </w:drawing>
      </w:r>
    </w:p>
    <w:p w14:paraId="6FC0C503">
      <w:pPr>
        <w:snapToGrid/>
        <w:spacing w:before="0" w:after="0" w:line="240" w:lineRule="auto"/>
        <w:ind w:left="0" w:right="0"/>
        <w:jc w:val="both"/>
      </w:pPr>
    </w:p>
    <w:p w14:paraId="12566FF3">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5B08C7A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5452BC84">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4"/>
                    <a:stretch>
                      <a:fillRect/>
                    </a:stretch>
                  </pic:blipFill>
                  <pic:spPr>
                    <a:xfrm>
                      <a:off x="0" y="0"/>
                      <a:ext cx="5760085" cy="2125673"/>
                    </a:xfrm>
                    <a:prstGeom prst="rect">
                      <a:avLst/>
                    </a:prstGeom>
                  </pic:spPr>
                </pic:pic>
              </a:graphicData>
            </a:graphic>
          </wp:inline>
        </w:drawing>
      </w:r>
    </w:p>
    <w:p w14:paraId="44AAA1FA">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767038DF">
      <w:pPr>
        <w:pStyle w:val="15"/>
        <w:rPr>
          <w:b/>
          <w:bCs/>
          <w:highlight w:val="none"/>
        </w:rPr>
      </w:pPr>
      <w:r>
        <w:rPr>
          <w:rFonts w:hint="eastAsia" w:ascii="宋体" w:hAnsi="宋体" w:eastAsia="宋体" w:cs="宋体"/>
          <w:b/>
          <w:bCs/>
          <w:i w:val="0"/>
          <w:strike w:val="0"/>
          <w:color w:val="000000"/>
          <w:sz w:val="24"/>
          <w:szCs w:val="28"/>
          <w:highlight w:val="none"/>
          <w:u w:val="none"/>
          <w:lang w:val="en-US" w:eastAsia="zh-CN"/>
        </w:rPr>
        <w:t>注意：系统内的投标报价单位为“万元”，如开标现场发现填错报价，即直接淘汰</w:t>
      </w:r>
      <w:r>
        <w:rPr>
          <w:rFonts w:hint="eastAsia" w:hAnsi="宋体" w:eastAsia="宋体" w:cs="宋体"/>
          <w:b/>
          <w:bCs/>
          <w:i w:val="0"/>
          <w:strike w:val="0"/>
          <w:color w:val="000000"/>
          <w:sz w:val="24"/>
          <w:szCs w:val="28"/>
          <w:highlight w:val="none"/>
          <w:u w:val="none"/>
          <w:lang w:val="en-US" w:eastAsia="zh-CN"/>
        </w:rPr>
        <w:t>。</w:t>
      </w:r>
    </w:p>
    <w:p w14:paraId="2C1CB367">
      <w:pPr>
        <w:pStyle w:val="5"/>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5"/>
                    <a:stretch>
                      <a:fillRect/>
                    </a:stretch>
                  </pic:blipFill>
                  <pic:spPr>
                    <a:xfrm>
                      <a:off x="0" y="0"/>
                      <a:ext cx="5490210" cy="2669498"/>
                    </a:xfrm>
                    <a:prstGeom prst="rect">
                      <a:avLst/>
                    </a:prstGeom>
                  </pic:spPr>
                </pic:pic>
              </a:graphicData>
            </a:graphic>
          </wp:inline>
        </w:drawing>
      </w:r>
    </w:p>
    <w:p w14:paraId="10FBE35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587847E9">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33A7F0B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14:paraId="7DFB480E">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6"/>
                    <a:stretch>
                      <a:fillRect/>
                    </a:stretch>
                  </pic:blipFill>
                  <pic:spPr>
                    <a:xfrm>
                      <a:off x="0" y="0"/>
                      <a:ext cx="5490210" cy="1992743"/>
                    </a:xfrm>
                    <a:prstGeom prst="rect">
                      <a:avLst/>
                    </a:prstGeom>
                  </pic:spPr>
                </pic:pic>
              </a:graphicData>
            </a:graphic>
          </wp:inline>
        </w:drawing>
      </w:r>
    </w:p>
    <w:p w14:paraId="79933C9D">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6351E23D">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063B414B">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6B4F12C4">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60B7C771">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6D12A282">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3EE190DD">
      <w:pPr>
        <w:pStyle w:val="5"/>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7"/>
                    <a:stretch>
                      <a:fillRect/>
                    </a:stretch>
                  </pic:blipFill>
                  <pic:spPr>
                    <a:xfrm>
                      <a:off x="0" y="0"/>
                      <a:ext cx="5490210" cy="2544669"/>
                    </a:xfrm>
                    <a:prstGeom prst="rect">
                      <a:avLst/>
                    </a:prstGeom>
                  </pic:spPr>
                </pic:pic>
              </a:graphicData>
            </a:graphic>
          </wp:inline>
        </w:drawing>
      </w:r>
    </w:p>
    <w:p w14:paraId="5845F660">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4D335B85">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43DC18C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5C92D437">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8"/>
                    <a:stretch>
                      <a:fillRect/>
                    </a:stretch>
                  </pic:blipFill>
                  <pic:spPr>
                    <a:xfrm>
                      <a:off x="0" y="0"/>
                      <a:ext cx="5760085" cy="1956600"/>
                    </a:xfrm>
                    <a:prstGeom prst="rect">
                      <a:avLst/>
                    </a:prstGeom>
                  </pic:spPr>
                </pic:pic>
              </a:graphicData>
            </a:graphic>
          </wp:inline>
        </w:drawing>
      </w:r>
    </w:p>
    <w:p w14:paraId="6D948036">
      <w:pPr>
        <w:pStyle w:val="76"/>
        <w:rPr>
          <w:rFonts w:hint="default" w:hAnsi="宋体"/>
          <w:sz w:val="24"/>
          <w:lang w:val="en-US"/>
        </w:rPr>
      </w:pPr>
    </w:p>
    <w:sectPr>
      <w:headerReference r:id="rId12" w:type="first"/>
      <w:footerReference r:id="rId14" w:type="first"/>
      <w:footerReference r:id="rId13"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仿宋">
    <w:panose1 w:val="02010609060101010101"/>
    <w:charset w:val="86"/>
    <w:family w:val="auto"/>
    <w:pitch w:val="default"/>
    <w:sig w:usb0="800002BF" w:usb1="38CF7CFA" w:usb2="00000016" w:usb3="00000000" w:csb0="00040001"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5"/>
      </w:rPr>
    </w:pPr>
    <w:r>
      <w:fldChar w:fldCharType="begin"/>
    </w:r>
    <w:r>
      <w:rPr>
        <w:rStyle w:val="35"/>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1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1F351B">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40DB97">
                          <w:pPr>
                            <w:pStyle w:val="19"/>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2640DB97">
                    <w:pPr>
                      <w:pStyle w:val="19"/>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20"/>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B20830A4"/>
    <w:multiLevelType w:val="multilevel"/>
    <w:tmpl w:val="B20830A4"/>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B862383A"/>
    <w:multiLevelType w:val="multilevel"/>
    <w:tmpl w:val="B862383A"/>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B9F08EBE"/>
    <w:multiLevelType w:val="multilevel"/>
    <w:tmpl w:val="B9F08EBE"/>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BD4C6742"/>
    <w:multiLevelType w:val="singleLevel"/>
    <w:tmpl w:val="BD4C6742"/>
    <w:lvl w:ilvl="0" w:tentative="0">
      <w:start w:val="1"/>
      <w:numFmt w:val="decimal"/>
      <w:lvlText w:val="%1."/>
      <w:lvlJc w:val="left"/>
      <w:pPr>
        <w:ind w:left="425" w:hanging="425"/>
      </w:pPr>
      <w:rPr>
        <w:rFonts w:hint="default"/>
      </w:rPr>
    </w:lvl>
  </w:abstractNum>
  <w:abstractNum w:abstractNumId="5">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6">
    <w:nsid w:val="D05F1A21"/>
    <w:multiLevelType w:val="multilevel"/>
    <w:tmpl w:val="D05F1A21"/>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b w:val="0"/>
        <w:bCs w:val="0"/>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7">
    <w:nsid w:val="D87ECBDD"/>
    <w:multiLevelType w:val="multilevel"/>
    <w:tmpl w:val="D87ECBDD"/>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8">
    <w:nsid w:val="E8A8D5DF"/>
    <w:multiLevelType w:val="multilevel"/>
    <w:tmpl w:val="E8A8D5DF"/>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9">
    <w:nsid w:val="F40E5138"/>
    <w:multiLevelType w:val="singleLevel"/>
    <w:tmpl w:val="F40E5138"/>
    <w:lvl w:ilvl="0" w:tentative="0">
      <w:start w:val="1"/>
      <w:numFmt w:val="bullet"/>
      <w:suff w:val="nothing"/>
      <w:lvlText w:val=""/>
      <w:lvlJc w:val="left"/>
      <w:pPr>
        <w:ind w:left="0" w:leftChars="0" w:firstLine="0" w:firstLineChars="0"/>
      </w:pPr>
      <w:rPr>
        <w:rFonts w:hint="default" w:ascii="Wingdings" w:hAnsi="Wingdings"/>
      </w:rPr>
    </w:lvl>
  </w:abstractNum>
  <w:abstractNum w:abstractNumId="10">
    <w:nsid w:val="00000003"/>
    <w:multiLevelType w:val="singleLevel"/>
    <w:tmpl w:val="00000003"/>
    <w:lvl w:ilvl="0" w:tentative="0">
      <w:start w:val="5"/>
      <w:numFmt w:val="decimal"/>
      <w:lvlText w:val="%1."/>
      <w:lvlJc w:val="left"/>
      <w:pPr>
        <w:tabs>
          <w:tab w:val="left" w:pos="312"/>
        </w:tabs>
      </w:pPr>
    </w:lvl>
  </w:abstractNum>
  <w:abstractNum w:abstractNumId="11">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13">
    <w:nsid w:val="13C67257"/>
    <w:multiLevelType w:val="multilevel"/>
    <w:tmpl w:val="13C67257"/>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leftChars="0" w:hanging="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99F58C0"/>
    <w:multiLevelType w:val="multilevel"/>
    <w:tmpl w:val="199F58C0"/>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18">
    <w:nsid w:val="3DA58DF5"/>
    <w:multiLevelType w:val="multilevel"/>
    <w:tmpl w:val="3DA58DF5"/>
    <w:lvl w:ilvl="0" w:tentative="0">
      <w:start w:val="1"/>
      <w:numFmt w:val="decimal"/>
      <w:lvlText w:val="%1."/>
      <w:lvlJc w:val="left"/>
      <w:pPr>
        <w:ind w:left="425" w:hanging="425"/>
      </w:pPr>
      <w:rPr>
        <w:rFonts w:hint="default"/>
        <w:b w:val="0"/>
        <w:bCs w:val="0"/>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9">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5A6836EF"/>
    <w:multiLevelType w:val="singleLevel"/>
    <w:tmpl w:val="5A6836EF"/>
    <w:lvl w:ilvl="0" w:tentative="0">
      <w:start w:val="1"/>
      <w:numFmt w:val="decimal"/>
      <w:suff w:val="nothing"/>
      <w:lvlText w:val="%1."/>
      <w:lvlJc w:val="left"/>
      <w:pPr>
        <w:ind w:left="0" w:firstLine="0"/>
      </w:pPr>
    </w:lvl>
  </w:abstractNum>
  <w:abstractNum w:abstractNumId="24">
    <w:nsid w:val="5B6F7349"/>
    <w:multiLevelType w:val="multilevel"/>
    <w:tmpl w:val="5B6F7349"/>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5">
    <w:nsid w:val="5EEE3A7E"/>
    <w:multiLevelType w:val="multilevel"/>
    <w:tmpl w:val="5EEE3A7E"/>
    <w:lvl w:ilvl="0" w:tentative="0">
      <w:start w:val="1"/>
      <w:numFmt w:val="bullet"/>
      <w:suff w:val="nothing"/>
      <w:lvlText w:val=""/>
      <w:lvlJc w:val="left"/>
      <w:pPr>
        <w:ind w:left="0" w:leftChars="0" w:firstLine="0" w:firstLineChars="0"/>
      </w:pPr>
      <w:rPr>
        <w:rFonts w:hint="default" w:ascii="Wingdings" w:hAnsi="Wingdings"/>
        <w:color w:val="auto"/>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8">
    <w:nsid w:val="6EC2D667"/>
    <w:multiLevelType w:val="singleLevel"/>
    <w:tmpl w:val="6EC2D667"/>
    <w:lvl w:ilvl="0" w:tentative="0">
      <w:start w:val="1"/>
      <w:numFmt w:val="bullet"/>
      <w:lvlText w:val=""/>
      <w:lvlJc w:val="left"/>
      <w:pPr>
        <w:ind w:left="420" w:hanging="420"/>
      </w:pPr>
      <w:rPr>
        <w:rFonts w:hint="default" w:ascii="Wingdings" w:hAnsi="Wingdings"/>
        <w:color w:val="FF0000"/>
      </w:rPr>
    </w:lvl>
  </w:abstractNum>
  <w:num w:numId="1">
    <w:abstractNumId w:val="19"/>
  </w:num>
  <w:num w:numId="2">
    <w:abstractNumId w:val="26"/>
  </w:num>
  <w:num w:numId="3">
    <w:abstractNumId w:val="22"/>
  </w:num>
  <w:num w:numId="4">
    <w:abstractNumId w:val="20"/>
  </w:num>
  <w:num w:numId="5">
    <w:abstractNumId w:val="11"/>
  </w:num>
  <w:num w:numId="6">
    <w:abstractNumId w:val="14"/>
  </w:num>
  <w:num w:numId="7">
    <w:abstractNumId w:val="16"/>
  </w:num>
  <w:num w:numId="8">
    <w:abstractNumId w:val="21"/>
  </w:num>
  <w:num w:numId="9">
    <w:abstractNumId w:val="4"/>
  </w:num>
  <w:num w:numId="10">
    <w:abstractNumId w:val="13"/>
  </w:num>
  <w:num w:numId="11">
    <w:abstractNumId w:val="8"/>
  </w:num>
  <w:num w:numId="12">
    <w:abstractNumId w:val="27"/>
  </w:num>
  <w:num w:numId="13">
    <w:abstractNumId w:val="0"/>
  </w:num>
  <w:num w:numId="14">
    <w:abstractNumId w:val="5"/>
  </w:num>
  <w:num w:numId="15">
    <w:abstractNumId w:val="6"/>
  </w:num>
  <w:num w:numId="16">
    <w:abstractNumId w:val="3"/>
  </w:num>
  <w:num w:numId="17">
    <w:abstractNumId w:val="12"/>
  </w:num>
  <w:num w:numId="18">
    <w:abstractNumId w:val="15"/>
  </w:num>
  <w:num w:numId="19">
    <w:abstractNumId w:val="2"/>
  </w:num>
  <w:num w:numId="20">
    <w:abstractNumId w:val="25"/>
  </w:num>
  <w:num w:numId="21">
    <w:abstractNumId w:val="7"/>
  </w:num>
  <w:num w:numId="22">
    <w:abstractNumId w:val="24"/>
  </w:num>
  <w:num w:numId="23">
    <w:abstractNumId w:val="28"/>
  </w:num>
  <w:num w:numId="24">
    <w:abstractNumId w:val="9"/>
  </w:num>
  <w:num w:numId="25">
    <w:abstractNumId w:val="1"/>
  </w:num>
  <w:num w:numId="26">
    <w:abstractNumId w:val="18"/>
  </w:num>
  <w:num w:numId="27">
    <w:abstractNumId w:val="23"/>
  </w:num>
  <w:num w:numId="28">
    <w:abstractNumId w:val="17"/>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4"/>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2578"/>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563B79"/>
    <w:rsid w:val="02CC3DCA"/>
    <w:rsid w:val="02FE76EF"/>
    <w:rsid w:val="03F033B0"/>
    <w:rsid w:val="057C1D39"/>
    <w:rsid w:val="05891259"/>
    <w:rsid w:val="0654565B"/>
    <w:rsid w:val="08633479"/>
    <w:rsid w:val="0A63147A"/>
    <w:rsid w:val="0ADB2EF0"/>
    <w:rsid w:val="0ADD4CBE"/>
    <w:rsid w:val="0C83309C"/>
    <w:rsid w:val="0CB51572"/>
    <w:rsid w:val="0DE73E36"/>
    <w:rsid w:val="0E4D31E3"/>
    <w:rsid w:val="0E530E38"/>
    <w:rsid w:val="100B6328"/>
    <w:rsid w:val="10DC2AA3"/>
    <w:rsid w:val="10FA7C8C"/>
    <w:rsid w:val="12F64B6E"/>
    <w:rsid w:val="130B198F"/>
    <w:rsid w:val="13FA68E0"/>
    <w:rsid w:val="15BB1367"/>
    <w:rsid w:val="16A918E4"/>
    <w:rsid w:val="17D966D6"/>
    <w:rsid w:val="19517BDA"/>
    <w:rsid w:val="19E33213"/>
    <w:rsid w:val="1A35762B"/>
    <w:rsid w:val="1A463A67"/>
    <w:rsid w:val="1B481CDF"/>
    <w:rsid w:val="1B5544F0"/>
    <w:rsid w:val="1BA3160C"/>
    <w:rsid w:val="1BC71D3B"/>
    <w:rsid w:val="1C59115B"/>
    <w:rsid w:val="1D596BD7"/>
    <w:rsid w:val="1E296445"/>
    <w:rsid w:val="1EFD1680"/>
    <w:rsid w:val="1FB23E60"/>
    <w:rsid w:val="1FBA79B4"/>
    <w:rsid w:val="212F23EA"/>
    <w:rsid w:val="21F50ADF"/>
    <w:rsid w:val="226A2E83"/>
    <w:rsid w:val="227640E7"/>
    <w:rsid w:val="227F2CA6"/>
    <w:rsid w:val="22C5630B"/>
    <w:rsid w:val="23567554"/>
    <w:rsid w:val="23EC0BA6"/>
    <w:rsid w:val="24701A48"/>
    <w:rsid w:val="25BB24BA"/>
    <w:rsid w:val="25EC6AF8"/>
    <w:rsid w:val="268B0052"/>
    <w:rsid w:val="26CF6817"/>
    <w:rsid w:val="27743C90"/>
    <w:rsid w:val="27B358EA"/>
    <w:rsid w:val="28B55739"/>
    <w:rsid w:val="291A445E"/>
    <w:rsid w:val="29CA2459"/>
    <w:rsid w:val="2B271A58"/>
    <w:rsid w:val="2B6304A7"/>
    <w:rsid w:val="2C642D3E"/>
    <w:rsid w:val="2CEC36FF"/>
    <w:rsid w:val="2CF6734C"/>
    <w:rsid w:val="2D4D284A"/>
    <w:rsid w:val="2D663463"/>
    <w:rsid w:val="2E112A52"/>
    <w:rsid w:val="2E345691"/>
    <w:rsid w:val="2EF96EE4"/>
    <w:rsid w:val="2FC569A4"/>
    <w:rsid w:val="31E37A09"/>
    <w:rsid w:val="32C207BF"/>
    <w:rsid w:val="3380787D"/>
    <w:rsid w:val="33822A0F"/>
    <w:rsid w:val="34F565DC"/>
    <w:rsid w:val="35D271A0"/>
    <w:rsid w:val="36254FE4"/>
    <w:rsid w:val="36AA39B8"/>
    <w:rsid w:val="372F61E0"/>
    <w:rsid w:val="39322FCA"/>
    <w:rsid w:val="3A503E1E"/>
    <w:rsid w:val="3AB90991"/>
    <w:rsid w:val="3B447061"/>
    <w:rsid w:val="3B706131"/>
    <w:rsid w:val="3BF833EC"/>
    <w:rsid w:val="3C8E02FC"/>
    <w:rsid w:val="3E6F041E"/>
    <w:rsid w:val="3E846635"/>
    <w:rsid w:val="3F201662"/>
    <w:rsid w:val="3F9D2397"/>
    <w:rsid w:val="41A5482C"/>
    <w:rsid w:val="4275481E"/>
    <w:rsid w:val="428B617A"/>
    <w:rsid w:val="42CE288A"/>
    <w:rsid w:val="433D7BDC"/>
    <w:rsid w:val="437E1813"/>
    <w:rsid w:val="43A427AA"/>
    <w:rsid w:val="444E2202"/>
    <w:rsid w:val="45354CBC"/>
    <w:rsid w:val="45BD47FC"/>
    <w:rsid w:val="45CC5FB2"/>
    <w:rsid w:val="46B75BA8"/>
    <w:rsid w:val="46E91D19"/>
    <w:rsid w:val="48144E52"/>
    <w:rsid w:val="48C97955"/>
    <w:rsid w:val="49880C8F"/>
    <w:rsid w:val="4A8835F7"/>
    <w:rsid w:val="4B592E71"/>
    <w:rsid w:val="4DF75369"/>
    <w:rsid w:val="4EA23B01"/>
    <w:rsid w:val="4EB0217D"/>
    <w:rsid w:val="4F8B220C"/>
    <w:rsid w:val="504F4EAF"/>
    <w:rsid w:val="516C4BAA"/>
    <w:rsid w:val="51D51447"/>
    <w:rsid w:val="52B9239A"/>
    <w:rsid w:val="52D52A7F"/>
    <w:rsid w:val="53807425"/>
    <w:rsid w:val="54BD78FD"/>
    <w:rsid w:val="552A3C28"/>
    <w:rsid w:val="555A2DA3"/>
    <w:rsid w:val="56901A99"/>
    <w:rsid w:val="58693B1B"/>
    <w:rsid w:val="58A86DDE"/>
    <w:rsid w:val="59154AD7"/>
    <w:rsid w:val="5A542AB4"/>
    <w:rsid w:val="5ADF548D"/>
    <w:rsid w:val="5BF95104"/>
    <w:rsid w:val="5C4627AE"/>
    <w:rsid w:val="5C9249CA"/>
    <w:rsid w:val="5D5C60B4"/>
    <w:rsid w:val="5D8073BF"/>
    <w:rsid w:val="5EE67F8C"/>
    <w:rsid w:val="60651FB9"/>
    <w:rsid w:val="60820189"/>
    <w:rsid w:val="614E12EC"/>
    <w:rsid w:val="616D6769"/>
    <w:rsid w:val="63F04A69"/>
    <w:rsid w:val="646A3D0C"/>
    <w:rsid w:val="64A82747"/>
    <w:rsid w:val="65336B29"/>
    <w:rsid w:val="66A50B1E"/>
    <w:rsid w:val="67095CF1"/>
    <w:rsid w:val="674E3DF4"/>
    <w:rsid w:val="67B2063C"/>
    <w:rsid w:val="67C97AC3"/>
    <w:rsid w:val="67E30EC1"/>
    <w:rsid w:val="6A4E3B2B"/>
    <w:rsid w:val="6AC838A9"/>
    <w:rsid w:val="6B481C3B"/>
    <w:rsid w:val="6B875383"/>
    <w:rsid w:val="6C1331A3"/>
    <w:rsid w:val="6C765676"/>
    <w:rsid w:val="6CA84BC1"/>
    <w:rsid w:val="6D170ADE"/>
    <w:rsid w:val="6D3E4756"/>
    <w:rsid w:val="6FC523EB"/>
    <w:rsid w:val="6FE22646"/>
    <w:rsid w:val="70825D63"/>
    <w:rsid w:val="71144B84"/>
    <w:rsid w:val="71FE41EB"/>
    <w:rsid w:val="72895F2E"/>
    <w:rsid w:val="72C02EBE"/>
    <w:rsid w:val="72C507AD"/>
    <w:rsid w:val="72D028D8"/>
    <w:rsid w:val="745D47C3"/>
    <w:rsid w:val="75341FA7"/>
    <w:rsid w:val="764F7753"/>
    <w:rsid w:val="76AC3757"/>
    <w:rsid w:val="77D4005C"/>
    <w:rsid w:val="78292927"/>
    <w:rsid w:val="7C6021A7"/>
    <w:rsid w:val="7CAB4D9F"/>
    <w:rsid w:val="7CB93F8E"/>
    <w:rsid w:val="7CF66B46"/>
    <w:rsid w:val="7D4A0A5C"/>
    <w:rsid w:val="7D97125D"/>
    <w:rsid w:val="7DB618B0"/>
    <w:rsid w:val="7DBD28BA"/>
    <w:rsid w:val="7E736B66"/>
    <w:rsid w:val="7EEE33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11"/>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6"/>
    <w:qFormat/>
    <w:uiPriority w:val="99"/>
    <w:pPr>
      <w:jc w:val="left"/>
    </w:pPr>
  </w:style>
  <w:style w:type="paragraph" w:styleId="11">
    <w:name w:val="Body Text"/>
    <w:basedOn w:val="1"/>
    <w:next w:val="12"/>
    <w:link w:val="42"/>
    <w:semiHidden/>
    <w:qFormat/>
    <w:uiPriority w:val="98"/>
    <w:rPr>
      <w:rFonts w:ascii="仿宋_GB2312" w:eastAsia="仿宋_GB2312"/>
      <w:sz w:val="32"/>
    </w:rPr>
  </w:style>
  <w:style w:type="paragraph" w:customStyle="1" w:styleId="1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0"/>
    <w:next w:val="10"/>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basedOn w:val="33"/>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11"/>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4"/>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0"/>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character" w:customStyle="1" w:styleId="66">
    <w:name w:val="style61"/>
    <w:semiHidden/>
    <w:qFormat/>
    <w:uiPriority w:val="98"/>
  </w:style>
  <w:style w:type="character" w:customStyle="1" w:styleId="67">
    <w:name w:val="标题 1 字符"/>
    <w:basedOn w:val="33"/>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3"/>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1">
    <w:name w:val="章节"/>
    <w:basedOn w:val="15"/>
    <w:qFormat/>
    <w:uiPriority w:val="0"/>
    <w:pPr>
      <w:spacing w:line="360" w:lineRule="auto"/>
      <w:jc w:val="center"/>
      <w:outlineLvl w:val="0"/>
    </w:pPr>
    <w:rPr>
      <w:rFonts w:ascii="黑体" w:eastAsia="黑体"/>
      <w:b/>
      <w:bCs/>
      <w:sz w:val="36"/>
      <w:szCs w:val="36"/>
    </w:rPr>
  </w:style>
  <w:style w:type="paragraph" w:customStyle="1" w:styleId="72">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5"/>
    <w:qFormat/>
    <w:uiPriority w:val="2"/>
    <w:pPr>
      <w:numPr>
        <w:ilvl w:val="0"/>
        <w:numId w:val="3"/>
      </w:numPr>
      <w:spacing w:line="360" w:lineRule="auto"/>
      <w:outlineLvl w:val="2"/>
    </w:pPr>
    <w:rPr>
      <w:b/>
    </w:rPr>
  </w:style>
  <w:style w:type="paragraph" w:customStyle="1" w:styleId="74">
    <w:name w:val="3级标题"/>
    <w:basedOn w:val="15"/>
    <w:link w:val="102"/>
    <w:qFormat/>
    <w:uiPriority w:val="3"/>
    <w:pPr>
      <w:numPr>
        <w:ilvl w:val="0"/>
        <w:numId w:val="4"/>
      </w:numPr>
      <w:spacing w:line="360" w:lineRule="auto"/>
      <w:outlineLvl w:val="3"/>
    </w:pPr>
    <w:rPr>
      <w:b/>
    </w:rPr>
  </w:style>
  <w:style w:type="paragraph" w:customStyle="1" w:styleId="75">
    <w:name w:val="（4）级标题"/>
    <w:basedOn w:val="15"/>
    <w:qFormat/>
    <w:uiPriority w:val="8"/>
    <w:pPr>
      <w:numPr>
        <w:ilvl w:val="0"/>
        <w:numId w:val="5"/>
      </w:numPr>
      <w:spacing w:line="360" w:lineRule="auto"/>
      <w:outlineLvl w:val="4"/>
    </w:pPr>
  </w:style>
  <w:style w:type="paragraph" w:customStyle="1" w:styleId="76">
    <w:name w:val="标书正文"/>
    <w:basedOn w:val="15"/>
    <w:link w:val="97"/>
    <w:qFormat/>
    <w:uiPriority w:val="9"/>
    <w:pPr>
      <w:spacing w:line="360" w:lineRule="auto"/>
      <w:jc w:val="left"/>
    </w:pPr>
  </w:style>
  <w:style w:type="character" w:customStyle="1" w:styleId="77">
    <w:name w:val="标题 4 字符"/>
    <w:basedOn w:val="33"/>
    <w:link w:val="5"/>
    <w:semiHidden/>
    <w:qFormat/>
    <w:uiPriority w:val="0"/>
    <w:rPr>
      <w:rFonts w:ascii="Arial" w:hAnsi="Arial"/>
      <w:b/>
      <w:bCs/>
      <w:kern w:val="2"/>
      <w:sz w:val="21"/>
      <w:szCs w:val="28"/>
    </w:rPr>
  </w:style>
  <w:style w:type="character" w:customStyle="1" w:styleId="78">
    <w:name w:val="标题 5 字符"/>
    <w:basedOn w:val="33"/>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3"/>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3"/>
    <w:link w:val="23"/>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3"/>
    <w:link w:val="17"/>
    <w:semiHidden/>
    <w:qFormat/>
    <w:uiPriority w:val="0"/>
    <w:rPr>
      <w:sz w:val="24"/>
    </w:rPr>
  </w:style>
  <w:style w:type="character" w:customStyle="1" w:styleId="87">
    <w:name w:val="日期 字符"/>
    <w:basedOn w:val="33"/>
    <w:link w:val="16"/>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3"/>
    <w:semiHidden/>
    <w:qFormat/>
    <w:uiPriority w:val="98"/>
    <w:rPr>
      <w:rFonts w:ascii="Microsoft YaHei UI" w:eastAsia="Microsoft YaHei UI"/>
      <w:kern w:val="2"/>
      <w:sz w:val="18"/>
      <w:szCs w:val="18"/>
    </w:rPr>
  </w:style>
  <w:style w:type="character" w:customStyle="1" w:styleId="93">
    <w:name w:val="文档结构图 字符1"/>
    <w:basedOn w:val="33"/>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3"/>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1"/>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3"/>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1"/>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3"/>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6"/>
    <w:semiHidden/>
    <w:qFormat/>
    <w:locked/>
    <w:uiPriority w:val="99"/>
    <w:rPr>
      <w:rFonts w:ascii="Cambria" w:hAnsi="Cambria" w:cs="Cambria"/>
      <w:sz w:val="24"/>
      <w:szCs w:val="24"/>
      <w:shd w:val="pct20" w:color="auto" w:fill="auto"/>
    </w:rPr>
  </w:style>
  <w:style w:type="character" w:customStyle="1" w:styleId="109">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标题 3 Char"/>
    <w:link w:val="4"/>
    <w:qFormat/>
    <w:uiPriority w:val="0"/>
    <w:rPr>
      <w:b/>
      <w:sz w:val="32"/>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 w:type="paragraph" w:customStyle="1" w:styleId="114">
    <w:name w:val="标书二级标题"/>
    <w:basedOn w:val="3"/>
    <w:qFormat/>
    <w:uiPriority w:val="0"/>
    <w:pPr>
      <w:spacing w:before="0" w:after="0" w:line="240" w:lineRule="auto"/>
      <w:jc w:val="left"/>
    </w:pPr>
    <w:rPr>
      <w:rFonts w:ascii="宋体" w:hAnsi="宋体" w:cstheme="minorBidi"/>
      <w:b w:val="0"/>
      <w:sz w:val="28"/>
      <w:szCs w:val="30"/>
      <w:lang w:val="en-US" w:eastAsia="zh-CN"/>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3.png"/><Relationship Id="rId27" Type="http://schemas.openxmlformats.org/officeDocument/2006/relationships/image" Target="media/image12.png"/><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26</Pages>
  <Words>7781</Words>
  <Characters>8155</Characters>
  <Lines>127</Lines>
  <Paragraphs>35</Paragraphs>
  <TotalTime>0</TotalTime>
  <ScaleCrop>false</ScaleCrop>
  <LinksUpToDate>false</LinksUpToDate>
  <CharactersWithSpaces>9601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cp:lastModifiedBy>
  <cp:lastPrinted>2020-06-28T02:28:00Z</cp:lastPrinted>
  <dcterms:modified xsi:type="dcterms:W3CDTF">2025-10-21T07:04:28Z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C0E52DBF9FCB4F07BC67952552803439_13</vt:lpwstr>
  </property>
  <property fmtid="{D5CDD505-2E9C-101B-9397-08002B2CF9AE}" pid="4" name="KSOTemplateDocerSaveRecord">
    <vt:lpwstr>eyJoZGlkIjoiZWQxZjNmOWI4MjYxMjE3YWYxMWY4NzIzOWZkNTY1ZGEiLCJ1c2VySWQiOiI4MjkwNzMwMzkifQ==</vt:lpwstr>
  </property>
</Properties>
</file>