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w:t>
      </w:r>
      <w:r>
        <w:rPr>
          <w:rFonts w:hint="eastAsia" w:ascii="Calibri" w:hAnsi="宋体" w:eastAsia="宋体" w:cs="Times New Roman"/>
          <w:b/>
          <w:bCs/>
          <w:color w:val="000000"/>
          <w:spacing w:val="-8"/>
          <w:sz w:val="48"/>
          <w:szCs w:val="44"/>
          <w:lang w:val="en-US" w:eastAsia="zh-CN"/>
        </w:rPr>
        <w:t>卡车股份</w:t>
      </w:r>
      <w:r>
        <w:rPr>
          <w:rFonts w:hint="eastAsia" w:ascii="Calibri" w:hAnsi="宋体" w:eastAsia="宋体" w:cs="Times New Roman"/>
          <w:b/>
          <w:bCs/>
          <w:color w:val="000000"/>
          <w:spacing w:val="-8"/>
          <w:sz w:val="48"/>
          <w:szCs w:val="44"/>
        </w:rPr>
        <w:t>有限公司</w:t>
      </w:r>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固废站打包机设备项目</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16"/>
        <w:rPr>
          <w:rFonts w:hint="eastAsia"/>
          <w:lang w:eastAsia="zh-CN"/>
        </w:rPr>
      </w:pPr>
    </w:p>
    <w:p>
      <w:pPr>
        <w:pStyle w:val="16"/>
        <w:rPr>
          <w:rFonts w:hint="eastAsia"/>
          <w:lang w:eastAsia="zh-CN"/>
        </w:rPr>
      </w:pPr>
    </w:p>
    <w:p>
      <w:pPr>
        <w:pStyle w:val="16"/>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eastAsia="zh-CN"/>
        </w:rPr>
        <w:t xml:space="preserve">9 </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50</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63</w:t>
          </w:r>
        </w:p>
        <w:p>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6"/>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color w:val="000000"/>
                <w:sz w:val="24"/>
                <w:szCs w:val="24"/>
                <w:highlight w:val="none"/>
                <w:u w:val="single"/>
                <w:lang w:val="en-US" w:eastAsia="zh-CN"/>
              </w:rPr>
              <w:t>固废站打包机设备</w:t>
            </w:r>
            <w:r>
              <w:rPr>
                <w:rFonts w:hint="eastAsia" w:ascii="宋体" w:hAnsi="宋体" w:eastAsia="宋体" w:cs="宋体"/>
                <w:color w:val="000000"/>
                <w:sz w:val="24"/>
                <w:szCs w:val="24"/>
                <w:highlight w:val="none"/>
                <w:u w:val="single"/>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CGZX2023080365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color w:val="000000"/>
                <w:sz w:val="24"/>
                <w:szCs w:val="24"/>
                <w:highlight w:val="none"/>
                <w:u w:val="single"/>
                <w:lang w:val="en-US" w:eastAsia="zh-CN"/>
              </w:rPr>
              <w:t>固废站带门式全自动打包机设备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孔明伟</w:t>
            </w:r>
          </w:p>
          <w:p>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17860609557</w:t>
            </w:r>
          </w:p>
          <w:p>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kongmingwei@sinotruk.com</w:t>
            </w:r>
          </w:p>
          <w:p>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color w:val="auto"/>
                <w:sz w:val="24"/>
                <w:szCs w:val="24"/>
                <w:highlight w:val="none"/>
                <w:u w:val="single"/>
              </w:rPr>
              <w:t>朱兆祥</w:t>
            </w:r>
          </w:p>
          <w:p>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ascii="宋体" w:hAnsi="宋体" w:eastAsia="宋体" w:cs="宋体"/>
                <w:color w:val="auto"/>
                <w:sz w:val="24"/>
                <w:szCs w:val="24"/>
                <w:highlight w:val="none"/>
                <w:u w:val="single"/>
              </w:rPr>
              <w:t>13808932207</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zhuzhaoxiang@sinotruk.com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20</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审计的公司财务报表（资产负债表、损益表、现金流量表）未显示异常；</w:t>
            </w:r>
          </w:p>
          <w:p>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eastAsia="zh-CN"/>
              </w:rPr>
              <w:t xml:space="preserve"> </w:t>
            </w:r>
            <w:r>
              <w:rPr>
                <w:rFonts w:hint="eastAsia" w:ascii="宋体" w:hAnsi="宋体" w:eastAsia="宋体" w:cs="宋体"/>
                <w:bCs/>
                <w:sz w:val="24"/>
                <w:szCs w:val="24"/>
                <w:highlight w:val="yellow"/>
                <w:lang w:val="en-US" w:eastAsia="zh-CN"/>
              </w:rPr>
              <w:t>26</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eastAsia="zh-CN"/>
              </w:rPr>
              <w:t xml:space="preserve"> </w:t>
            </w:r>
            <w:r>
              <w:rPr>
                <w:rFonts w:hint="eastAsia" w:ascii="宋体" w:hAnsi="宋体" w:eastAsia="宋体" w:cs="宋体"/>
                <w:bCs/>
                <w:sz w:val="24"/>
                <w:szCs w:val="24"/>
                <w:highlight w:val="yellow"/>
                <w:lang w:val="en-US" w:eastAsia="zh-CN"/>
              </w:rPr>
              <w:t>13</w:t>
            </w:r>
            <w:r>
              <w:rPr>
                <w:rFonts w:hint="eastAsia" w:ascii="宋体" w:hAnsi="宋体" w:eastAsia="宋体" w:cs="宋体"/>
                <w:bCs/>
                <w:sz w:val="24"/>
                <w:szCs w:val="24"/>
                <w:highlight w:val="yellow"/>
                <w:u w:val="single"/>
                <w:lang w:val="en-US" w:eastAsia="zh-CN"/>
              </w:rPr>
              <w:t xml:space="preserve"> </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eastAsia="zh-CN"/>
              </w:rPr>
              <w:t xml:space="preserve"> </w:t>
            </w:r>
            <w:r>
              <w:rPr>
                <w:rFonts w:hint="eastAsia" w:ascii="宋体" w:hAnsi="宋体" w:eastAsia="宋体" w:cs="宋体"/>
                <w:sz w:val="24"/>
                <w:szCs w:val="24"/>
                <w:highlight w:val="yellow"/>
                <w:lang w:val="en-US" w:eastAsia="zh-CN"/>
              </w:rPr>
              <w:t>13</w:t>
            </w:r>
            <w:r>
              <w:rPr>
                <w:rFonts w:hint="eastAsia" w:ascii="宋体" w:hAnsi="宋体" w:eastAsia="宋体" w:cs="宋体"/>
                <w:sz w:val="24"/>
                <w:szCs w:val="24"/>
                <w:highlight w:val="yellow"/>
                <w:lang w:eastAsia="zh-CN"/>
              </w:rPr>
              <w:t xml:space="preserve"> </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2023年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eastAsia="zh-CN"/>
              </w:rPr>
              <w:t xml:space="preserve"> </w:t>
            </w:r>
            <w:r>
              <w:rPr>
                <w:rFonts w:hint="eastAsia" w:eastAsia="宋体" w:cs="宋体"/>
                <w:highlight w:val="yellow"/>
                <w:lang w:val="en-US" w:eastAsia="zh-CN"/>
              </w:rPr>
              <w:t>13</w:t>
            </w:r>
            <w:r>
              <w:rPr>
                <w:rFonts w:hint="eastAsia" w:eastAsia="宋体" w:cs="宋体"/>
                <w:highlight w:val="yellow"/>
                <w:lang w:eastAsia="zh-CN"/>
              </w:rPr>
              <w:t xml:space="preserve"> </w:t>
            </w:r>
            <w:r>
              <w:rPr>
                <w:rFonts w:hint="eastAsia" w:eastAsia="宋体" w:cs="宋体"/>
                <w:highlight w:val="yellow"/>
              </w:rPr>
              <w:t>日</w:t>
            </w:r>
            <w:r>
              <w:rPr>
                <w:rFonts w:hint="eastAsia" w:eastAsia="宋体" w:cs="宋体"/>
                <w:highlight w:val="yellow"/>
                <w:lang w:eastAsia="zh-CN"/>
              </w:rPr>
              <w:t xml:space="preserve"> 17 </w:t>
            </w:r>
            <w:r>
              <w:rPr>
                <w:rFonts w:hint="eastAsia" w:eastAsia="宋体" w:cs="宋体"/>
                <w:highlight w:val="yellow"/>
                <w:lang w:val="en-US" w:eastAsia="zh-CN"/>
              </w:rPr>
              <w:t>时00分00秒</w:t>
            </w:r>
          </w:p>
          <w:p>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两</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正本一份，副本一份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6"/>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孔明伟/17860609557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月</w:t>
            </w:r>
            <w:r>
              <w:rPr>
                <w:rFonts w:hint="eastAsia" w:hAnsi="宋体" w:eastAsia="宋体" w:cs="宋体"/>
                <w:sz w:val="24"/>
                <w:szCs w:val="24"/>
                <w:highlight w:val="yellow"/>
                <w:lang w:eastAsia="zh-CN"/>
              </w:rPr>
              <w:t xml:space="preserve"> </w:t>
            </w:r>
            <w:r>
              <w:rPr>
                <w:rFonts w:hint="eastAsia" w:hAnsi="宋体" w:eastAsia="宋体" w:cs="宋体"/>
                <w:sz w:val="24"/>
                <w:szCs w:val="24"/>
                <w:highlight w:val="yellow"/>
                <w:lang w:val="en-US" w:eastAsia="zh-CN"/>
              </w:rPr>
              <w:t>16</w:t>
            </w:r>
            <w:r>
              <w:rPr>
                <w:rFonts w:hint="eastAsia" w:hAnsi="宋体" w:eastAsia="宋体" w:cs="宋体"/>
                <w:sz w:val="24"/>
                <w:szCs w:val="24"/>
                <w:highlight w:val="yellow"/>
                <w:lang w:eastAsia="zh-CN"/>
              </w:rPr>
              <w:t xml:space="preserve"> </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5000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00</w:t>
            </w:r>
            <w:r>
              <w:rPr>
                <w:rFonts w:hint="eastAsia" w:ascii="宋体" w:hAnsi="宋体" w:eastAsia="宋体" w:cs="宋体"/>
                <w:sz w:val="24"/>
                <w:szCs w:val="24"/>
                <w:highlight w:val="none"/>
              </w:rPr>
              <w:t>元</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b w:val="0"/>
                <w:bCs w:val="0"/>
                <w:sz w:val="24"/>
                <w:szCs w:val="24"/>
                <w:highlight w:val="none"/>
              </w:rPr>
              <w:t>中国重汽集团济南卡车股份有限公司</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b w:val="0"/>
                <w:bCs w:val="0"/>
                <w:sz w:val="24"/>
                <w:szCs w:val="24"/>
                <w:highlight w:val="none"/>
              </w:rPr>
              <w:t>招商银行股份有限公司济南分行营业部</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b w:val="0"/>
                <w:bCs w:val="0"/>
                <w:sz w:val="24"/>
                <w:szCs w:val="24"/>
                <w:highlight w:val="none"/>
              </w:rPr>
              <w:t>531900051810601</w:t>
            </w:r>
          </w:p>
          <w:p>
            <w:pPr>
              <w:ind w:firstLine="482" w:firstLineChars="200"/>
              <w:rPr>
                <w:rFonts w:ascii="宋体" w:hAnsi="宋体" w:eastAsia="宋体" w:cs="宋体"/>
                <w:sz w:val="24"/>
                <w:szCs w:val="24"/>
                <w:highlight w:val="cyan"/>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b w:val="0"/>
                <w:bCs w:val="0"/>
                <w:sz w:val="24"/>
                <w:szCs w:val="24"/>
                <w:lang w:val="en-US" w:eastAsia="zh-CN"/>
              </w:rPr>
              <w:t>308451028020</w:t>
            </w:r>
          </w:p>
          <w:p>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eastAsia="zh-CN"/>
              </w:rPr>
              <w:t xml:space="preserve"> </w:t>
            </w:r>
            <w:r>
              <w:rPr>
                <w:rFonts w:hint="eastAsia" w:ascii="宋体" w:hAnsi="宋体" w:cs="宋体"/>
                <w:sz w:val="24"/>
                <w:szCs w:val="24"/>
                <w:highlight w:val="yellow"/>
                <w:lang w:val="en-US" w:eastAsia="zh-CN"/>
              </w:rPr>
              <w:t>13</w:t>
            </w:r>
            <w:r>
              <w:rPr>
                <w:rFonts w:hint="eastAsia" w:ascii="宋体" w:hAnsi="宋体" w:cs="宋体"/>
                <w:sz w:val="24"/>
                <w:szCs w:val="24"/>
                <w:highlight w:val="yellow"/>
                <w:lang w:eastAsia="zh-CN"/>
              </w:rPr>
              <w:t xml:space="preserve"> </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16</w:t>
            </w:r>
            <w:r>
              <w:rPr>
                <w:rFonts w:hint="eastAsia" w:ascii="宋体" w:hAnsi="宋体" w:cs="宋体"/>
                <w:sz w:val="24"/>
                <w:szCs w:val="24"/>
                <w:highlight w:val="yellow"/>
                <w:lang w:eastAsia="zh-CN"/>
              </w:rPr>
              <w:t xml:space="preserve"> </w:t>
            </w:r>
            <w:r>
              <w:rPr>
                <w:rFonts w:hint="eastAsia" w:ascii="宋体" w:hAnsi="宋体" w:cs="宋体"/>
                <w:sz w:val="24"/>
                <w:szCs w:val="24"/>
                <w:highlight w:val="yellow"/>
              </w:rPr>
              <w:t>日</w:t>
            </w:r>
            <w:r>
              <w:rPr>
                <w:rFonts w:hint="eastAsia" w:ascii="宋体" w:hAnsi="宋体" w:cs="宋体"/>
                <w:sz w:val="24"/>
                <w:szCs w:val="24"/>
                <w:highlight w:val="yellow"/>
                <w:lang w:eastAsia="zh-CN"/>
              </w:rPr>
              <w:t xml:space="preserve"> </w:t>
            </w:r>
            <w:r>
              <w:rPr>
                <w:rFonts w:hint="eastAsia" w:ascii="宋体" w:hAnsi="宋体" w:cs="宋体"/>
                <w:sz w:val="24"/>
                <w:szCs w:val="24"/>
                <w:highlight w:val="yellow"/>
                <w:lang w:val="en-US" w:eastAsia="zh-CN"/>
              </w:rPr>
              <w:t>9:00</w:t>
            </w:r>
            <w:bookmarkStart w:id="183" w:name="_GoBack"/>
            <w:bookmarkEnd w:id="183"/>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20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20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接续</w:t>
            </w:r>
            <w:r>
              <w:rPr>
                <w:rFonts w:hint="eastAsia" w:hAnsi="宋体" w:eastAsia="宋体" w:cs="宋体"/>
                <w:color w:val="000000"/>
                <w:sz w:val="24"/>
                <w:szCs w:val="24"/>
                <w:highlight w:val="yellow"/>
                <w:lang w:val="en-US" w:eastAsia="zh-CN"/>
              </w:rPr>
              <w:t>20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highlight w:val="none"/>
                <w:u w:val="single"/>
              </w:rPr>
              <w:t>济南市莱芜区口镇中国重汽集团济南卡车股份有限公司</w:t>
            </w:r>
            <w:r>
              <w:rPr>
                <w:rFonts w:hint="eastAsia" w:hAnsi="宋体" w:eastAsia="宋体" w:cs="宋体"/>
                <w:color w:val="000000"/>
                <w:sz w:val="24"/>
                <w:szCs w:val="24"/>
                <w:highlight w:val="none"/>
                <w:u w:val="single"/>
                <w:lang w:val="en-US" w:eastAsia="zh-CN"/>
              </w:rPr>
              <w:t>莱芜工厂</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16"/>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rPr>
              <w:t>（1）</w:t>
            </w:r>
            <w:r>
              <w:rPr>
                <w:rFonts w:hint="eastAsia" w:eastAsia="宋体" w:cs="Times New Roman"/>
                <w:color w:val="000000"/>
                <w:sz w:val="24"/>
                <w:szCs w:val="24"/>
                <w:highlight w:val="none"/>
                <w:lang w:val="en-US" w:eastAsia="zh-CN"/>
              </w:rPr>
              <w:t>合同签订生效后</w:t>
            </w:r>
            <w:r>
              <w:rPr>
                <w:rFonts w:eastAsia="宋体" w:cs="Times New Roman"/>
                <w:color w:val="000000"/>
                <w:sz w:val="24"/>
                <w:szCs w:val="24"/>
                <w:highlight w:val="none"/>
              </w:rPr>
              <w:t>，</w:t>
            </w:r>
            <w:r>
              <w:rPr>
                <w:rFonts w:hint="eastAsia" w:eastAsia="宋体" w:cs="Times New Roman"/>
                <w:color w:val="000000"/>
                <w:sz w:val="24"/>
                <w:szCs w:val="24"/>
                <w:highlight w:val="none"/>
              </w:rPr>
              <w:t>中标人</w:t>
            </w:r>
            <w:r>
              <w:rPr>
                <w:rFonts w:eastAsia="宋体" w:cs="Times New Roman"/>
                <w:color w:val="000000"/>
                <w:sz w:val="24"/>
                <w:szCs w:val="24"/>
                <w:highlight w:val="none"/>
              </w:rPr>
              <w:t>提交金额为合同价款</w:t>
            </w:r>
            <w:r>
              <w:rPr>
                <w:rFonts w:eastAsia="宋体" w:cs="Times New Roman"/>
                <w:b/>
                <w:bCs/>
                <w:color w:val="000000"/>
                <w:sz w:val="24"/>
                <w:szCs w:val="24"/>
                <w:highlight w:val="none"/>
              </w:rPr>
              <w:t>30%</w:t>
            </w:r>
            <w:r>
              <w:rPr>
                <w:rFonts w:eastAsia="宋体" w:cs="Times New Roman"/>
                <w:color w:val="000000"/>
                <w:sz w:val="24"/>
                <w:szCs w:val="24"/>
                <w:highlight w:val="none"/>
              </w:rPr>
              <w:t>的收据并提供合同价款</w:t>
            </w:r>
            <w:r>
              <w:rPr>
                <w:rFonts w:eastAsia="宋体" w:cs="Times New Roman"/>
                <w:b/>
                <w:bCs/>
                <w:color w:val="000000"/>
                <w:sz w:val="24"/>
                <w:szCs w:val="24"/>
                <w:highlight w:val="none"/>
              </w:rPr>
              <w:t>30%</w:t>
            </w:r>
            <w:r>
              <w:rPr>
                <w:rFonts w:eastAsia="宋体" w:cs="Times New Roman"/>
                <w:color w:val="000000"/>
                <w:sz w:val="24"/>
                <w:szCs w:val="24"/>
                <w:highlight w:val="none"/>
              </w:rPr>
              <w:t>的增值税专用发票（含复印件二份），经</w:t>
            </w:r>
            <w:r>
              <w:rPr>
                <w:rFonts w:hint="eastAsia" w:eastAsia="宋体" w:cs="Times New Roman"/>
                <w:color w:val="000000"/>
                <w:sz w:val="24"/>
                <w:szCs w:val="24"/>
                <w:highlight w:val="none"/>
                <w:lang w:val="en-US" w:eastAsia="zh-CN"/>
              </w:rPr>
              <w:t>招标人</w:t>
            </w:r>
            <w:r>
              <w:rPr>
                <w:rFonts w:eastAsia="宋体" w:cs="Times New Roman"/>
                <w:color w:val="000000"/>
                <w:sz w:val="24"/>
                <w:szCs w:val="24"/>
                <w:highlight w:val="none"/>
              </w:rPr>
              <w:t>依照财务制度审核无误后</w:t>
            </w:r>
            <w:r>
              <w:rPr>
                <w:rFonts w:hint="eastAsia" w:eastAsia="宋体" w:cs="Times New Roman"/>
                <w:color w:val="000000"/>
                <w:sz w:val="24"/>
                <w:szCs w:val="24"/>
                <w:highlight w:val="none"/>
                <w:lang w:val="en-US" w:eastAsia="zh-CN"/>
              </w:rPr>
              <w:t>30日</w:t>
            </w:r>
            <w:r>
              <w:rPr>
                <w:rFonts w:eastAsia="宋体" w:cs="Times New Roman"/>
                <w:color w:val="000000"/>
                <w:sz w:val="24"/>
                <w:szCs w:val="24"/>
                <w:highlight w:val="none"/>
              </w:rPr>
              <w:t>支付</w:t>
            </w:r>
            <w:r>
              <w:rPr>
                <w:rFonts w:hint="eastAsia" w:eastAsia="宋体" w:cs="Times New Roman"/>
                <w:color w:val="000000"/>
                <w:sz w:val="24"/>
                <w:szCs w:val="24"/>
                <w:highlight w:val="none"/>
                <w:lang w:eastAsia="zh-CN"/>
              </w:rPr>
              <w:t>；</w:t>
            </w:r>
          </w:p>
          <w:p>
            <w:pPr>
              <w:pStyle w:val="16"/>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设备全部到齐，经现场安装调试验收合格交付使用后，卖方提交金额为合同价款</w:t>
            </w:r>
            <w:r>
              <w:rPr>
                <w:rFonts w:hint="eastAsia" w:hAnsi="宋体" w:eastAsia="宋体" w:cs="宋体"/>
                <w:b/>
                <w:bCs/>
                <w:color w:val="000000"/>
                <w:sz w:val="24"/>
                <w:szCs w:val="24"/>
                <w:highlight w:val="none"/>
                <w:lang w:val="en-US" w:eastAsia="zh-CN"/>
              </w:rPr>
              <w:t>60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的收据并附带下列单据，经买方依照财务制度审核无误后</w:t>
            </w:r>
            <w:r>
              <w:rPr>
                <w:rFonts w:hint="eastAsia" w:hAnsi="宋体" w:eastAsia="宋体" w:cs="宋体"/>
                <w:color w:val="000000"/>
                <w:sz w:val="24"/>
                <w:szCs w:val="24"/>
                <w:highlight w:val="none"/>
                <w:u w:val="single"/>
              </w:rPr>
              <w:t>30个</w:t>
            </w:r>
            <w:r>
              <w:rPr>
                <w:rFonts w:hint="eastAsia" w:hAnsi="宋体" w:eastAsia="宋体" w:cs="宋体"/>
                <w:color w:val="000000"/>
                <w:sz w:val="24"/>
                <w:szCs w:val="24"/>
                <w:highlight w:val="none"/>
              </w:rPr>
              <w:t>工作日内支付</w:t>
            </w:r>
            <w:r>
              <w:rPr>
                <w:rFonts w:hint="eastAsia" w:hAnsi="宋体" w:eastAsia="宋体" w:cs="宋体"/>
                <w:color w:val="000000"/>
                <w:sz w:val="24"/>
                <w:szCs w:val="24"/>
                <w:highlight w:val="none"/>
                <w:lang w:eastAsia="zh-CN"/>
              </w:rPr>
              <w:t>；</w:t>
            </w:r>
          </w:p>
          <w:p>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w:t>
            </w:r>
            <w:r>
              <w:rPr>
                <w:rFonts w:hint="eastAsia" w:hAnsi="宋体" w:eastAsia="宋体" w:cs="宋体"/>
                <w:b/>
                <w:bCs/>
                <w:color w:val="000000"/>
                <w:sz w:val="24"/>
                <w:szCs w:val="24"/>
                <w:highlight w:val="none"/>
                <w:lang w:val="en-US" w:eastAsia="zh-CN"/>
              </w:rPr>
              <w:t>70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的增值税专用发票（含复印件二份），具体开票信息详见发票信息表，根据表中所列分别开具增值税发票。</w:t>
            </w:r>
          </w:p>
          <w:p>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ind w:firstLine="480" w:firstLineChars="200"/>
              <w:rPr>
                <w:rFonts w:ascii="宋体" w:hAnsi="宋体" w:eastAsia="宋体" w:cs="宋体"/>
                <w:sz w:val="24"/>
                <w:szCs w:val="24"/>
              </w:rPr>
            </w:pPr>
            <w:r>
              <w:rPr>
                <w:rFonts w:hint="eastAsia" w:ascii="宋体" w:hAnsi="Courier New" w:eastAsia="宋体" w:cs="Times New Roman"/>
                <w:color w:val="000000"/>
                <w:sz w:val="24"/>
                <w:szCs w:val="24"/>
                <w:highlight w:val="none"/>
              </w:rPr>
              <w:t>合同总价款的</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eastAsia="宋体" w:cs="Times New Roman"/>
                <w:color w:val="000000"/>
                <w:sz w:val="24"/>
                <w:szCs w:val="24"/>
                <w:highlight w:val="none"/>
              </w:rPr>
              <w:t>30</w:t>
            </w:r>
            <w:r>
              <w:rPr>
                <w:rFonts w:hint="eastAsia" w:hAnsi="宋体" w:eastAsia="宋体" w:cs="宋体"/>
                <w:color w:val="000000"/>
                <w:sz w:val="24"/>
                <w:szCs w:val="24"/>
                <w:highlight w:val="none"/>
                <w:u w:val="single"/>
              </w:rPr>
              <w:t>个</w:t>
            </w:r>
            <w:r>
              <w:rPr>
                <w:rFonts w:hint="eastAsia" w:hAnsi="宋体" w:eastAsia="宋体" w:cs="宋体"/>
                <w:color w:val="000000"/>
                <w:sz w:val="24"/>
                <w:szCs w:val="24"/>
                <w:highlight w:val="none"/>
              </w:rPr>
              <w:t>工作日</w:t>
            </w:r>
            <w:r>
              <w:rPr>
                <w:rFonts w:hint="eastAsia" w:ascii="宋体" w:hAnsi="Courier New" w:eastAsia="宋体" w:cs="Times New Roman"/>
                <w:color w:val="000000"/>
                <w:sz w:val="24"/>
                <w:szCs w:val="24"/>
                <w:highlight w:val="none"/>
              </w:rPr>
              <w:t>。如有质量问题，质量保证金予以相应扣除</w:t>
            </w:r>
            <w:r>
              <w:rPr>
                <w:rFonts w:hint="eastAsia" w:ascii="宋体" w:hAnsi="Courier New" w:eastAsia="宋体" w:cs="Times New Roman"/>
                <w:color w:val="000000"/>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default" w:ascii="宋体" w:hAnsi="宋体" w:eastAsia="宋体" w:cs="宋体"/>
                <w:bCs/>
                <w:sz w:val="24"/>
                <w:szCs w:val="24"/>
                <w:lang w:val="en-US" w:eastAsia="zh-CN"/>
              </w:rPr>
            </w:pPr>
            <w:r>
              <w:rPr>
                <w:rFonts w:hint="eastAsia" w:ascii="宋体" w:hAnsi="宋体" w:eastAsia="宋体" w:cs="宋体"/>
                <w:b/>
                <w:color w:val="000000"/>
                <w:sz w:val="24"/>
                <w:szCs w:val="24"/>
                <w:highlight w:val="none"/>
              </w:rPr>
              <w:t>增值税专用发票开票信息：</w:t>
            </w:r>
            <w:r>
              <w:rPr>
                <w:rFonts w:hint="eastAsia" w:ascii="宋体" w:hAnsi="宋体" w:eastAsia="宋体" w:cs="宋体"/>
                <w:b/>
                <w:color w:val="000000"/>
                <w:sz w:val="24"/>
                <w:szCs w:val="24"/>
                <w:highlight w:val="none"/>
                <w:lang w:val="en-US" w:eastAsia="zh-CN"/>
              </w:rPr>
              <w:t>由合同签约单位提供。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订后15日内需根据设计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lang w:val="en-US"/>
        </w:rPr>
      </w:pPr>
      <w:r>
        <w:rPr>
          <w:rFonts w:hint="eastAsia" w:ascii="宋体" w:hAnsi="宋体" w:eastAsia="宋体" w:cs="宋体"/>
          <w:color w:val="000000"/>
          <w:sz w:val="24"/>
          <w:szCs w:val="24"/>
          <w:highlight w:val="yellow"/>
          <w:lang w:val="en-US"/>
        </w:rPr>
        <w:t>满足国务院、政府及招标人公司最新防疫政策要求，</w:t>
      </w: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其他情况请选择视频</w:t>
      </w:r>
      <w:r>
        <w:rPr>
          <w:rFonts w:hint="eastAsia" w:ascii="宋体" w:hAnsi="宋体" w:eastAsia="宋体" w:cs="宋体"/>
          <w:color w:val="000000"/>
          <w:sz w:val="24"/>
          <w:szCs w:val="24"/>
          <w:highlight w:val="yellow"/>
        </w:rPr>
        <w:t>参与</w:t>
      </w:r>
      <w:r>
        <w:rPr>
          <w:rFonts w:hint="eastAsia" w:ascii="宋体" w:hAnsi="宋体" w:eastAsia="宋体" w:cs="宋体"/>
          <w:color w:val="000000"/>
          <w:sz w:val="24"/>
          <w:szCs w:val="24"/>
          <w:highlight w:val="yellow"/>
          <w:lang w:val="en-US" w:eastAsia="zh-CN"/>
        </w:rPr>
        <w:t>开标，</w:t>
      </w:r>
      <w:r>
        <w:rPr>
          <w:rFonts w:hint="eastAsia" w:ascii="宋体" w:hAnsi="宋体" w:eastAsia="宋体" w:cs="宋体"/>
          <w:color w:val="000000"/>
          <w:sz w:val="24"/>
          <w:szCs w:val="24"/>
          <w:highlight w:val="yellow"/>
        </w:rPr>
        <w:t>视频链接会在报名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6950"/>
      <w:bookmarkStart w:id="8" w:name="_Toc33285487"/>
      <w:bookmarkStart w:id="9" w:name="_Toc33266914"/>
      <w:bookmarkStart w:id="10" w:name="_Toc33265653"/>
      <w:bookmarkStart w:id="11" w:name="_Toc33266627"/>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技术标入围后，合理最低价中标</w:t>
      </w:r>
      <w:bookmarkStart w:id="14" w:name="_Toc33266628"/>
      <w:bookmarkStart w:id="15" w:name="_Toc33266915"/>
      <w:bookmarkStart w:id="16" w:name="_Toc33266951"/>
      <w:bookmarkStart w:id="17" w:name="_Toc395116634"/>
      <w:bookmarkStart w:id="18" w:name="_Toc33285489"/>
      <w:bookmarkStart w:id="19" w:name="_Toc33265753"/>
      <w:bookmarkStart w:id="20" w:name="_Toc33267002"/>
      <w:bookmarkStart w:id="21" w:name="_Toc33265654"/>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auto"/>
          <w:sz w:val="24"/>
          <w:szCs w:val="24"/>
        </w:rPr>
        <w:t>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9"/>
      <w:bookmarkStart w:id="24" w:name="OLE_LINK25"/>
      <w:bookmarkStart w:id="25" w:name="OLE_LINK26"/>
      <w:bookmarkStart w:id="26" w:name="OLE_LINK27"/>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w:t>
      </w:r>
      <w:r>
        <w:rPr>
          <w:rFonts w:hint="eastAsia" w:ascii="宋体" w:hAnsi="宋体" w:eastAsia="宋体" w:cs="宋体"/>
          <w:kern w:val="0"/>
          <w:sz w:val="24"/>
          <w:szCs w:val="24"/>
          <w:highlight w:val="none"/>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w:t>
      </w:r>
      <w:r>
        <w:rPr>
          <w:rFonts w:hint="eastAsia" w:ascii="宋体" w:hAnsi="宋体" w:eastAsia="宋体" w:cs="宋体"/>
          <w:b/>
          <w:bCs/>
          <w:color w:val="000000"/>
          <w:sz w:val="24"/>
          <w:szCs w:val="24"/>
        </w:rPr>
        <w:t>经第三方机构审计</w:t>
      </w:r>
      <w:r>
        <w:rPr>
          <w:rFonts w:hint="eastAsia" w:ascii="宋体" w:hAnsi="宋体" w:eastAsia="宋体" w:cs="宋体"/>
          <w:color w:val="000000"/>
          <w:sz w:val="24"/>
          <w:szCs w:val="24"/>
        </w:rPr>
        <w:t>的财务报表（资产负债表、损益表、现金流量表）复印件，必须连续，同时填写投标人基本情况及资产情况汇总表（附件3）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9企业最近半年的完税证明；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1.11企业</w:t>
      </w:r>
      <w:r>
        <w:rPr>
          <w:rFonts w:hint="eastAsia" w:ascii="宋体" w:hAnsi="宋体" w:eastAsia="宋体" w:cs="宋体"/>
          <w:color w:val="000000"/>
          <w:sz w:val="24"/>
          <w:szCs w:val="24"/>
        </w:rPr>
        <w:t>近三年同类项目业绩</w:t>
      </w:r>
      <w:r>
        <w:rPr>
          <w:rFonts w:hint="eastAsia" w:ascii="宋体" w:hAnsi="宋体" w:eastAsia="宋体" w:cs="宋体"/>
          <w:color w:val="000000"/>
          <w:sz w:val="24"/>
          <w:szCs w:val="24"/>
          <w:lang w:val="en-US" w:eastAsia="zh-CN"/>
        </w:rPr>
        <w:t>证明；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1.12投标保证金缴纳凭证。</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16"/>
      </w:pP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w:t>
      </w:r>
      <w:r>
        <w:rPr>
          <w:rFonts w:hint="eastAsia" w:ascii="Calibri" w:hAnsi="宋体" w:eastAsia="宋体" w:cs="Times New Roman"/>
          <w:b/>
          <w:bCs/>
          <w:color w:val="000000"/>
          <w:spacing w:val="-8"/>
          <w:sz w:val="48"/>
          <w:szCs w:val="44"/>
          <w:lang w:val="en-US" w:eastAsia="zh-CN"/>
        </w:rPr>
        <w:t>卡车股份</w:t>
      </w:r>
      <w:r>
        <w:rPr>
          <w:rFonts w:hint="eastAsia" w:ascii="Calibri" w:hAnsi="宋体" w:eastAsia="宋体" w:cs="Times New Roman"/>
          <w:b/>
          <w:bCs/>
          <w:color w:val="000000"/>
          <w:spacing w:val="-8"/>
          <w:sz w:val="48"/>
          <w:szCs w:val="44"/>
        </w:rPr>
        <w:t>有限公司</w:t>
      </w: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固废站打包机设备项目</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6"/>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pPr>
    </w:p>
    <w:p>
      <w:pPr>
        <w:pStyle w:val="16"/>
        <w:rPr>
          <w:rFonts w:ascii="黑体" w:hAnsi="宋体" w:eastAsia="黑体" w:cs="Times New Roman"/>
          <w:color w:val="000000"/>
          <w:sz w:val="72"/>
          <w:szCs w:val="72"/>
        </w:rPr>
      </w:pPr>
    </w:p>
    <w:p>
      <w:pPr>
        <w:pStyle w:val="16"/>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eastAsia="zh-CN"/>
        </w:rPr>
        <w:t xml:space="preserve">9 </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color w:val="000000"/>
          <w:sz w:val="24"/>
          <w:szCs w:val="24"/>
          <w:highlight w:val="yellow"/>
          <w:u w:val="single"/>
          <w:lang w:val="en-US" w:eastAsia="zh-CN"/>
        </w:rPr>
        <w:t>固废站打包机设备项目</w:t>
      </w:r>
    </w:p>
    <w:p>
      <w:pPr>
        <w:spacing w:line="360" w:lineRule="auto"/>
        <w:outlineLvl w:val="3"/>
        <w:rPr>
          <w:rFonts w:ascii="宋体" w:hAnsi="宋体" w:eastAsia="宋体" w:cs="宋体"/>
          <w:sz w:val="24"/>
          <w:szCs w:val="24"/>
          <w:highlight w:val="none"/>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highlight w:val="none"/>
        </w:rPr>
        <w:t>：</w:t>
      </w:r>
      <w:r>
        <w:rPr>
          <w:rFonts w:hint="eastAsia" w:hAnsi="宋体" w:eastAsia="宋体" w:cs="宋体"/>
          <w:color w:val="000000"/>
          <w:sz w:val="24"/>
          <w:szCs w:val="24"/>
          <w:highlight w:val="none"/>
          <w:u w:val="single"/>
        </w:rPr>
        <w:t>济南市莱芜区口镇中国重汽集团济南卡车股份有限公司</w:t>
      </w:r>
      <w:r>
        <w:rPr>
          <w:rFonts w:hint="eastAsia" w:hAnsi="宋体" w:eastAsia="宋体" w:cs="宋体"/>
          <w:color w:val="000000"/>
          <w:sz w:val="24"/>
          <w:szCs w:val="24"/>
          <w:highlight w:val="none"/>
          <w:u w:val="single"/>
          <w:lang w:val="en-US" w:eastAsia="zh-CN"/>
        </w:rPr>
        <w:t>莱芜工厂</w:t>
      </w:r>
    </w:p>
    <w:p>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hAnsi="宋体" w:eastAsia="宋体" w:cs="宋体"/>
          <w:color w:val="000000"/>
          <w:sz w:val="24"/>
          <w:szCs w:val="24"/>
          <w:highlight w:val="none"/>
          <w:u w:val="single"/>
        </w:rPr>
        <w:t>济南市莱芜区口镇中国重汽集团济南卡车股份有限公司</w:t>
      </w:r>
      <w:r>
        <w:rPr>
          <w:rFonts w:hint="eastAsia" w:hAnsi="宋体" w:eastAsia="宋体" w:cs="宋体"/>
          <w:color w:val="000000"/>
          <w:sz w:val="24"/>
          <w:szCs w:val="24"/>
          <w:highlight w:val="none"/>
          <w:u w:val="single"/>
          <w:lang w:val="en-US" w:eastAsia="zh-CN"/>
        </w:rPr>
        <w:t>莱芜工厂</w:t>
      </w:r>
    </w:p>
    <w:p>
      <w:pPr>
        <w:ind w:left="480" w:hanging="480" w:hangingChars="200"/>
        <w:rPr>
          <w:rFonts w:hint="eastAsia" w:ascii="宋体" w:hAnsi="宋体" w:eastAsia="宋体" w:cs="宋体"/>
          <w:sz w:val="24"/>
          <w:szCs w:val="24"/>
        </w:rPr>
      </w:pPr>
      <w:r>
        <w:rPr>
          <w:rFonts w:hint="eastAsia" w:ascii="宋体" w:hAnsi="宋体" w:eastAsia="宋体" w:cs="宋体"/>
          <w:sz w:val="24"/>
          <w:szCs w:val="24"/>
        </w:rPr>
        <w:t>四、工作制度：</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生产纲领：</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工时基数：满足每月30天，每班8小时生产需求；</w:t>
      </w:r>
    </w:p>
    <w:p>
      <w:pPr>
        <w:spacing w:line="360" w:lineRule="auto"/>
        <w:ind w:left="479" w:leftChars="228" w:firstLine="0" w:firstLineChars="0"/>
        <w:rPr>
          <w:rFonts w:hint="eastAsia" w:ascii="宋体" w:hAnsi="宋体" w:eastAsia="宋体" w:cs="宋体"/>
          <w:bCs/>
          <w:sz w:val="24"/>
          <w:szCs w:val="24"/>
          <w:highlight w:val="none"/>
        </w:rPr>
      </w:pPr>
      <w:r>
        <w:rPr>
          <w:rFonts w:hint="eastAsia" w:ascii="宋体" w:hAnsi="宋体" w:eastAsia="宋体" w:cs="宋体"/>
          <w:bCs/>
          <w:sz w:val="24"/>
          <w:szCs w:val="24"/>
          <w:highlight w:val="none"/>
        </w:rPr>
        <w:t>节拍控制：8-10吨/小时。</w:t>
      </w:r>
      <w:r>
        <w:rPr>
          <w:rFonts w:hint="eastAsia" w:ascii="宋体" w:hAnsi="宋体" w:eastAsia="宋体" w:cs="宋体"/>
          <w:bCs/>
          <w:sz w:val="24"/>
          <w:szCs w:val="24"/>
          <w:highlight w:val="none"/>
        </w:rPr>
        <w:br w:type="textWrapping"/>
      </w: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能源供给</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电力：中国制式，三相五线制供电，供电电压380V±10%/220V±10%，供电频率50Hz±0.5Hz</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w:t>
      </w:r>
      <w:r>
        <w:rPr>
          <w:rFonts w:ascii="Times New Roman" w:hAnsi="Times New Roman" w:eastAsia="宋体" w:cs="Times New Roman"/>
          <w:bCs/>
          <w:sz w:val="24"/>
          <w:szCs w:val="24"/>
        </w:rPr>
        <w:t>室内环境：</w:t>
      </w:r>
      <w:r>
        <w:rPr>
          <w:rFonts w:hint="eastAsia" w:ascii="宋体" w:hAnsi="宋体" w:eastAsia="宋体" w:cs="宋体"/>
          <w:sz w:val="24"/>
          <w:szCs w:val="24"/>
        </w:rPr>
        <w:t>温度：0℃～</w:t>
      </w:r>
      <w:r>
        <w:rPr>
          <w:rFonts w:hint="eastAsia" w:ascii="宋体" w:hAnsi="宋体" w:eastAsia="宋体" w:cs="宋体"/>
          <w:sz w:val="24"/>
          <w:szCs w:val="24"/>
          <w:lang w:eastAsia="zh-CN"/>
        </w:rPr>
        <w:t>6</w:t>
      </w:r>
      <w:r>
        <w:rPr>
          <w:rFonts w:hint="eastAsia" w:ascii="宋体" w:hAnsi="宋体" w:eastAsia="宋体" w:cs="宋体"/>
          <w:sz w:val="24"/>
          <w:szCs w:val="24"/>
        </w:rPr>
        <w:t>0</w:t>
      </w:r>
      <w:bookmarkStart w:id="35" w:name="_Hlk33180226"/>
      <w:r>
        <w:rPr>
          <w:rFonts w:hint="eastAsia" w:ascii="宋体" w:hAnsi="宋体" w:eastAsia="宋体" w:cs="宋体"/>
          <w:sz w:val="24"/>
          <w:szCs w:val="24"/>
        </w:rPr>
        <w:t>℃</w:t>
      </w:r>
      <w:bookmarkEnd w:id="35"/>
      <w:r>
        <w:rPr>
          <w:rFonts w:hint="eastAsia" w:ascii="宋体" w:hAnsi="宋体" w:eastAsia="宋体" w:cs="宋体"/>
          <w:sz w:val="24"/>
          <w:szCs w:val="24"/>
          <w:lang w:eastAsia="zh-CN"/>
        </w:rPr>
        <w:t>、</w:t>
      </w:r>
      <w:r>
        <w:rPr>
          <w:rFonts w:hint="eastAsia" w:ascii="宋体" w:hAnsi="宋体" w:eastAsia="宋体" w:cs="宋体"/>
          <w:sz w:val="24"/>
          <w:szCs w:val="24"/>
        </w:rPr>
        <w:t>相对湿度：≤90%</w:t>
      </w:r>
      <w:r>
        <w:rPr>
          <w:rFonts w:hint="eastAsia" w:ascii="宋体" w:hAnsi="宋体" w:eastAsia="宋体" w:cs="宋体"/>
          <w:bCs/>
          <w:sz w:val="24"/>
          <w:szCs w:val="24"/>
          <w:highlight w:val="none"/>
        </w:rPr>
        <w:t>。</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w:t>
      </w:r>
      <w:r>
        <w:rPr>
          <w:rFonts w:hint="eastAsia" w:ascii="宋体" w:hAnsi="宋体" w:eastAsia="宋体" w:cs="宋体"/>
          <w:sz w:val="24"/>
          <w:szCs w:val="24"/>
        </w:rPr>
        <w:t>室外温度：</w:t>
      </w:r>
      <w:bookmarkStart w:id="36" w:name="_Hlk33180233"/>
      <w:r>
        <w:rPr>
          <w:rFonts w:hint="eastAsia" w:ascii="宋体" w:hAnsi="宋体" w:eastAsia="宋体" w:cs="宋体"/>
          <w:sz w:val="24"/>
          <w:szCs w:val="24"/>
        </w:rPr>
        <w:t>日均最高温度33℃</w:t>
      </w:r>
      <w:bookmarkEnd w:id="36"/>
      <w:r>
        <w:rPr>
          <w:rFonts w:hint="eastAsia" w:ascii="宋体" w:hAnsi="宋体" w:eastAsia="宋体" w:cs="宋体"/>
          <w:sz w:val="24"/>
          <w:szCs w:val="24"/>
        </w:rPr>
        <w:t>，日均最低温度-5℃</w:t>
      </w:r>
      <w:r>
        <w:rPr>
          <w:rFonts w:hint="eastAsia" w:ascii="宋体" w:hAnsi="宋体" w:eastAsia="宋体" w:cs="宋体"/>
          <w:bCs/>
          <w:sz w:val="24"/>
          <w:szCs w:val="24"/>
          <w:highlight w:val="none"/>
        </w:rPr>
        <w:t>。</w:t>
      </w:r>
    </w:p>
    <w:p>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历史最高温度37.8℃，历史最低温度-18</w:t>
      </w:r>
      <w:bookmarkStart w:id="37" w:name="_Hlk33180492"/>
      <w:r>
        <w:rPr>
          <w:rFonts w:hint="eastAsia" w:ascii="宋体" w:hAnsi="宋体" w:eastAsia="宋体" w:cs="宋体"/>
          <w:bCs/>
          <w:sz w:val="24"/>
          <w:szCs w:val="24"/>
          <w:highlight w:val="none"/>
        </w:rPr>
        <w:t>℃</w:t>
      </w:r>
      <w:bookmarkEnd w:id="37"/>
      <w:r>
        <w:rPr>
          <w:rFonts w:hint="eastAsia" w:ascii="宋体" w:hAnsi="宋体" w:eastAsia="宋体" w:cs="宋体"/>
          <w:bCs/>
          <w:sz w:val="24"/>
          <w:szCs w:val="24"/>
          <w:highlight w:val="none"/>
          <w:lang w:eastAsia="zh-CN"/>
        </w:rPr>
        <w:t>。</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年平均气温：12.7℃，年平均相对湿度：65%。</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sz w:val="24"/>
          <w:szCs w:val="24"/>
          <w:u w:val="single"/>
        </w:rPr>
        <w:t>带门式全自动打包机</w:t>
      </w:r>
      <w:r>
        <w:rPr>
          <w:rFonts w:hint="eastAsia" w:ascii="宋体" w:hAnsi="宋体" w:eastAsia="宋体" w:cs="宋体"/>
          <w:b/>
          <w:sz w:val="24"/>
          <w:szCs w:val="24"/>
          <w:u w:val="single"/>
          <w:lang w:val="en-US" w:eastAsia="zh-CN"/>
        </w:rPr>
        <w:t>设备</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1套</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14"/>
        <w:gridCol w:w="3764"/>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71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3764" w:type="dxa"/>
            <w:vAlign w:val="center"/>
          </w:tcPr>
          <w:p>
            <w:pPr>
              <w:spacing w:line="360" w:lineRule="exact"/>
              <w:jc w:val="center"/>
              <w:rPr>
                <w:rFonts w:ascii="宋体" w:hAnsi="宋体" w:eastAsia="宋体" w:cs="宋体"/>
                <w:sz w:val="24"/>
                <w:szCs w:val="24"/>
              </w:rPr>
            </w:pPr>
            <w:r>
              <w:rPr>
                <w:rFonts w:hint="eastAsia" w:ascii="宋体" w:hAnsi="宋体" w:eastAsia="宋体" w:cs="Times New Roman"/>
                <w:sz w:val="24"/>
                <w:szCs w:val="24"/>
              </w:rPr>
              <w:t>规格型号/要求</w:t>
            </w:r>
          </w:p>
        </w:tc>
        <w:tc>
          <w:tcPr>
            <w:tcW w:w="1513"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1714"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带门式全自动打包机</w:t>
            </w:r>
          </w:p>
        </w:tc>
        <w:tc>
          <w:tcPr>
            <w:tcW w:w="3764"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8-10吨/小时，连续工作8小时</w:t>
            </w:r>
          </w:p>
        </w:tc>
        <w:tc>
          <w:tcPr>
            <w:tcW w:w="1513" w:type="dxa"/>
            <w:vAlign w:val="center"/>
          </w:tcPr>
          <w:p>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套</w:t>
            </w:r>
          </w:p>
        </w:tc>
        <w:tc>
          <w:tcPr>
            <w:tcW w:w="1105" w:type="dxa"/>
            <w:vAlign w:val="center"/>
          </w:tcPr>
          <w:p>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带门式全自动打包机平面布置图如下（参考，具体请查看现场安装位置及尺寸） ：</w:t>
      </w:r>
    </w:p>
    <w:p>
      <w:pPr>
        <w:pStyle w:val="16"/>
        <w:jc w:val="center"/>
        <w:rPr>
          <w:rFonts w:hint="eastAsia" w:hAnsi="宋体" w:eastAsia="宋体" w:cs="宋体"/>
          <w:sz w:val="24"/>
          <w:szCs w:val="24"/>
        </w:rPr>
      </w:pPr>
      <w:r>
        <w:rPr>
          <w:rFonts w:hint="eastAsia" w:hAnsi="宋体" w:eastAsia="宋体" w:cs="宋体"/>
          <w:sz w:val="24"/>
          <w:szCs w:val="24"/>
        </w:rPr>
        <w:drawing>
          <wp:inline distT="0" distB="0" distL="0" distR="0">
            <wp:extent cx="3638550" cy="4381500"/>
            <wp:effectExtent l="0" t="0" r="0" b="0"/>
            <wp:docPr id="359778841" name="图片 1" descr="a69a5caf4bac0a82c03adfcaae9e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78841" name="图片 1" descr="a69a5caf4bac0a82c03adfcaae9e9d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638550" cy="4381500"/>
                    </a:xfrm>
                    <a:prstGeom prst="rect">
                      <a:avLst/>
                    </a:prstGeom>
                    <a:noFill/>
                    <a:ln>
                      <a:noFill/>
                    </a:ln>
                    <a:effectLst/>
                  </pic:spPr>
                </pic:pic>
              </a:graphicData>
            </a:graphic>
          </wp:inline>
        </w:drawing>
      </w:r>
    </w:p>
    <w:p>
      <w:pPr>
        <w:spacing w:line="360" w:lineRule="auto"/>
        <w:ind w:firstLine="480" w:firstLineChars="200"/>
        <w:jc w:val="center"/>
        <w:rPr>
          <w:rFonts w:hint="eastAsia" w:ascii="宋体" w:hAnsi="宋体" w:eastAsia="宋体" w:cs="宋体"/>
          <w:bCs/>
          <w:sz w:val="24"/>
          <w:szCs w:val="24"/>
          <w:lang w:eastAsia="zh-CN"/>
        </w:rPr>
      </w:pPr>
      <w:r>
        <w:rPr>
          <w:rFonts w:hint="eastAsia" w:ascii="宋体" w:hAnsi="宋体" w:eastAsia="宋体" w:cs="宋体"/>
          <w:bCs/>
          <w:sz w:val="24"/>
          <w:szCs w:val="24"/>
        </w:rPr>
        <w:t>厂房尺寸为13.5米✖2</w:t>
      </w:r>
      <w:r>
        <w:rPr>
          <w:rFonts w:hint="eastAsia" w:ascii="宋体" w:hAnsi="宋体" w:eastAsia="宋体" w:cs="宋体"/>
          <w:bCs/>
          <w:sz w:val="24"/>
          <w:szCs w:val="24"/>
          <w:lang w:eastAsia="zh-CN"/>
        </w:rPr>
        <w:t>6</w:t>
      </w:r>
      <w:r>
        <w:rPr>
          <w:rFonts w:hint="eastAsia" w:ascii="宋体" w:hAnsi="宋体" w:eastAsia="宋体" w:cs="宋体"/>
          <w:bCs/>
          <w:sz w:val="24"/>
          <w:szCs w:val="24"/>
        </w:rPr>
        <w:t>米，打包机右侧要留出包区，尺寸在</w:t>
      </w:r>
      <w:r>
        <w:rPr>
          <w:rFonts w:hint="eastAsia" w:ascii="宋体" w:hAnsi="宋体" w:eastAsia="宋体" w:cs="宋体"/>
          <w:bCs/>
          <w:sz w:val="24"/>
          <w:szCs w:val="24"/>
          <w:lang w:eastAsia="zh-CN"/>
        </w:rPr>
        <w:t>6</w:t>
      </w:r>
      <w:r>
        <w:rPr>
          <w:rFonts w:hint="eastAsia" w:ascii="宋体" w:hAnsi="宋体" w:eastAsia="宋体" w:cs="宋体"/>
          <w:bCs/>
          <w:sz w:val="24"/>
          <w:szCs w:val="24"/>
        </w:rPr>
        <w:t>-</w:t>
      </w:r>
      <w:r>
        <w:rPr>
          <w:rFonts w:hint="eastAsia" w:ascii="宋体" w:hAnsi="宋体" w:eastAsia="宋体" w:cs="宋体"/>
          <w:bCs/>
          <w:sz w:val="24"/>
          <w:szCs w:val="24"/>
          <w:lang w:eastAsia="zh-CN"/>
        </w:rPr>
        <w:t>6</w:t>
      </w:r>
      <w:r>
        <w:rPr>
          <w:rFonts w:hint="eastAsia" w:ascii="宋体" w:hAnsi="宋体" w:eastAsia="宋体" w:cs="宋体"/>
          <w:bCs/>
          <w:sz w:val="24"/>
          <w:szCs w:val="24"/>
        </w:rPr>
        <w:t>.5米</w:t>
      </w:r>
      <w:r>
        <w:rPr>
          <w:rFonts w:hint="eastAsia" w:ascii="宋体" w:hAnsi="宋体" w:eastAsia="宋体" w:cs="宋体"/>
          <w:bCs/>
          <w:sz w:val="24"/>
          <w:szCs w:val="24"/>
          <w:lang w:eastAsia="zh-CN"/>
        </w:rPr>
        <w:t>。</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p>
    <w:p>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w:t>
      </w:r>
      <w:r>
        <w:rPr>
          <w:rFonts w:hint="eastAsia" w:ascii="宋体" w:hAnsi="宋体" w:eastAsia="宋体" w:cs="宋体"/>
          <w:bCs/>
          <w:sz w:val="24"/>
          <w:szCs w:val="24"/>
          <w:lang w:eastAsia="zh-CN"/>
        </w:rPr>
        <w:t>招标人</w:t>
      </w:r>
      <w:r>
        <w:rPr>
          <w:rFonts w:hint="eastAsia" w:ascii="宋体" w:hAnsi="宋体" w:eastAsia="宋体" w:cs="宋体"/>
          <w:bCs/>
          <w:sz w:val="24"/>
          <w:szCs w:val="24"/>
        </w:rPr>
        <w:t>负责基坑土建部分； 设备首次用油请提供单独报价</w:t>
      </w:r>
      <w:r>
        <w:rPr>
          <w:rFonts w:hint="eastAsia" w:ascii="宋体" w:hAnsi="宋体" w:eastAsia="宋体" w:cs="宋体"/>
          <w:bCs/>
          <w:sz w:val="24"/>
          <w:szCs w:val="24"/>
          <w:lang w:eastAsia="zh-CN"/>
        </w:rPr>
        <w:t>。</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3.</w:t>
      </w:r>
      <w:r>
        <w:rPr>
          <w:rFonts w:hint="eastAsia" w:ascii="宋体" w:hAnsi="宋体" w:eastAsia="宋体" w:cs="宋体"/>
          <w:bCs/>
          <w:sz w:val="24"/>
          <w:szCs w:val="24"/>
        </w:rPr>
        <w:t>本表“供货方式”指：交钥匙方式——包括设备的设计、制造、运输、卸载、安装、调试、试运行、验收以及培训等直至达到买方的各项要求并交付使用</w:t>
      </w:r>
      <w:r>
        <w:rPr>
          <w:rFonts w:hint="eastAsia" w:ascii="宋体" w:hAnsi="宋体" w:eastAsia="宋体" w:cs="宋体"/>
          <w:bCs/>
          <w:sz w:val="24"/>
          <w:szCs w:val="24"/>
          <w:lang w:eastAsia="zh-CN"/>
        </w:rPr>
        <w:t>。</w:t>
      </w:r>
    </w:p>
    <w:p>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4.交货期：中标通知书下达后2个月内(包含设计、制造、运输、安装、调试、试运行、验收、培训等，直至交付使用) 。</w:t>
      </w:r>
    </w:p>
    <w:p>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5.交货地点：中国重汽集团济南卡车股份有限公司莱芜工厂。</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8"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8"/>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1.本章技术要求，仅对功能、设计、结构、性能、安装和试验检验等方面，提出了最低和一般性的技术要求，并未对一切技术细节做出规定</w:t>
      </w:r>
      <w:r>
        <w:rPr>
          <w:rFonts w:hint="eastAsia" w:ascii="宋体" w:hAnsi="宋体" w:eastAsia="宋体" w:cs="Times New Roman"/>
          <w:sz w:val="24"/>
          <w:szCs w:val="24"/>
          <w:lang w:eastAsia="zh-CN"/>
        </w:rPr>
        <w:t>，</w:t>
      </w:r>
      <w:r>
        <w:rPr>
          <w:rFonts w:hint="eastAsia" w:ascii="宋体" w:hAnsi="宋体" w:eastAsia="宋体" w:cs="宋体"/>
          <w:color w:val="000000"/>
          <w:sz w:val="24"/>
          <w:szCs w:val="24"/>
        </w:rPr>
        <w:t>未充分引述有关标准和规范的条文</w:t>
      </w:r>
      <w:r>
        <w:rPr>
          <w:rFonts w:hint="eastAsia" w:ascii="宋体" w:hAnsi="宋体" w:eastAsia="宋体" w:cs="Times New Roman"/>
          <w:sz w:val="24"/>
          <w:szCs w:val="24"/>
        </w:rPr>
        <w:t>。</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8.</w:t>
      </w:r>
      <w:r>
        <w:rPr>
          <w:rFonts w:hint="eastAsia" w:ascii="宋体" w:hAnsi="宋体" w:eastAsia="宋体" w:cs="Times New Roman"/>
          <w:sz w:val="24"/>
          <w:szCs w:val="24"/>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9.</w:t>
      </w:r>
      <w:r>
        <w:rPr>
          <w:rFonts w:hint="eastAsia" w:ascii="宋体" w:hAnsi="宋体" w:eastAsia="宋体" w:cs="Times New Roman"/>
          <w:sz w:val="24"/>
          <w:szCs w:val="24"/>
        </w:rPr>
        <w:t>在本标书中没有提及到的部分，所有供应商必须保证设备各部分功能齐全并便于使用，这部分价格应该包含在报价中，而不得另行加价。</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10.</w:t>
      </w:r>
      <w:r>
        <w:rPr>
          <w:rFonts w:hint="eastAsia" w:ascii="宋体" w:hAnsi="宋体" w:eastAsia="宋体" w:cs="Times New Roman"/>
          <w:sz w:val="24"/>
          <w:szCs w:val="24"/>
        </w:rPr>
        <w:t>本招标文件中所有加注“*”的条款为否决项，不允许出现偏离。</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11.若设备安装、调试过程中需使用招标人产品的，明确招标人提供调试所用产品数量，超出此数量部分由投标方（中标单位）提供，由此产生的相关费用由投标方（中标单位）承担。</w:t>
      </w:r>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hint="eastAsia"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pPr>
        <w:spacing w:line="360" w:lineRule="auto"/>
        <w:ind w:firstLine="480" w:firstLineChars="200"/>
        <w:rPr>
          <w:rFonts w:hint="eastAsia" w:ascii="宋体" w:hAnsi="宋体" w:eastAsia="宋体" w:cs="Times New Roman"/>
          <w:sz w:val="24"/>
          <w:szCs w:val="24"/>
          <w:highlight w:val="yellow"/>
          <w:lang w:eastAsia="zh-CN"/>
        </w:rPr>
      </w:pPr>
      <w:r>
        <w:rPr>
          <w:rFonts w:hint="eastAsia" w:ascii="宋体" w:hAnsi="宋体" w:eastAsia="宋体" w:cs="Times New Roman"/>
          <w:sz w:val="24"/>
          <w:szCs w:val="24"/>
          <w:highlight w:val="yellow"/>
          <w:lang w:val="en-US" w:eastAsia="zh-CN"/>
        </w:rPr>
        <w:t>8.</w:t>
      </w:r>
      <w:r>
        <w:rPr>
          <w:rFonts w:hint="eastAsia" w:ascii="宋体" w:hAnsi="宋体" w:eastAsia="宋体" w:cs="Times New Roman"/>
          <w:sz w:val="24"/>
          <w:szCs w:val="24"/>
          <w:highlight w:val="yellow"/>
        </w:rPr>
        <w:t>带门式全自动打包机布置在中国重汽集团济南卡车有限公司莱芜工厂,用于包装塑料，废纸箱打包工序。整套设备必须为新制造的全新设备，采用成熟技术和结构，关键配套件均采用世界名优产品；结构设计合理，性能稳定可靠；在工作状态时，有足够的静态、动态刚度，保证系统具有良好的动态品质；所选驱动系统和执行部件精度、响应速度符合设计标准。可长期满足加工零件的工艺及产品的质量要求。密封性能优良无漏油现象，操作维修方便、安全，整机造型美观，售后服务优良</w:t>
      </w:r>
      <w:r>
        <w:rPr>
          <w:rFonts w:hint="eastAsia" w:ascii="宋体" w:hAnsi="宋体" w:eastAsia="宋体" w:cs="Times New Roman"/>
          <w:sz w:val="24"/>
          <w:szCs w:val="24"/>
          <w:highlight w:val="yellow"/>
          <w:lang w:eastAsia="zh-CN"/>
        </w:rPr>
        <w:t>。</w:t>
      </w:r>
    </w:p>
    <w:p>
      <w:pPr>
        <w:pStyle w:val="112"/>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宋体" w:hAnsi="宋体" w:eastAsia="宋体" w:cs="Arial"/>
          <w:color w:val="000000"/>
          <w:sz w:val="24"/>
          <w:szCs w:val="24"/>
        </w:rPr>
      </w:pPr>
      <w:r>
        <w:rPr>
          <w:rFonts w:hint="eastAsia" w:ascii="宋体" w:hAnsi="宋体" w:eastAsia="宋体" w:cs="Arial"/>
          <w:color w:val="000000"/>
          <w:sz w:val="24"/>
          <w:szCs w:val="24"/>
        </w:rPr>
        <w:t>在基本要求和执行标准基础上，本技术标书对所采购的货物的技术及使用等方面做出如下要求：</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1.主要技术参数：</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1.1回收物主要技术参数</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回收物物料材料：包装塑料，废纸箱；</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包型尺寸：W1100mm*H1250mm*L1100mm；</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单包重量：350-620KG。</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2" w:firstLineChars="200"/>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1.2设备结构及参数</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1.2.1打包方式：自动打包；</w:t>
      </w:r>
    </w:p>
    <w:p>
      <w:pPr>
        <w:pStyle w:val="125"/>
        <w:keepNext w:val="0"/>
        <w:keepLines w:val="0"/>
        <w:pageBreakBefore w:val="0"/>
        <w:widowControl w:val="0"/>
        <w:kinsoku/>
        <w:wordWrap/>
        <w:overflowPunct/>
        <w:topLinePunct w:val="0"/>
        <w:autoSpaceDE/>
        <w:autoSpaceDN/>
        <w:bidi w:val="0"/>
        <w:adjustRightInd/>
        <w:snapToGrid/>
        <w:spacing w:line="420" w:lineRule="exact"/>
        <w:ind w:left="479" w:leftChars="228" w:firstLine="0" w:firstLineChars="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1.2.2板材：钢板，表面防锈处理；（若含料板，料板厚度&gt;3mm）；</w:t>
      </w:r>
      <w:r>
        <w:rPr>
          <w:rFonts w:hint="eastAsia" w:ascii="宋体" w:hAnsi="宋体" w:eastAsia="宋体" w:cs="宋体"/>
          <w:color w:val="000000"/>
          <w:sz w:val="24"/>
          <w:szCs w:val="24"/>
          <w:lang w:val="en-US" w:eastAsia="zh-CN"/>
        </w:rPr>
        <w:br w:type="textWrapping"/>
      </w:r>
      <w:r>
        <w:rPr>
          <w:rFonts w:hint="eastAsia" w:ascii="宋体" w:hAnsi="宋体" w:eastAsia="宋体" w:cs="宋体"/>
          <w:color w:val="000000"/>
          <w:sz w:val="24"/>
          <w:szCs w:val="24"/>
          <w:lang w:val="en-US" w:eastAsia="zh-CN"/>
        </w:rPr>
        <w:t>1.2.3出料口：出料口可预存2-3块回收包；</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.2.</w:t>
      </w:r>
      <w:r>
        <w:rPr>
          <w:rFonts w:hint="eastAsia" w:ascii="宋体" w:hAnsi="宋体" w:eastAsia="宋体" w:cs="宋体"/>
          <w:sz w:val="24"/>
          <w:szCs w:val="24"/>
          <w:lang w:val="en-US" w:eastAsia="zh-CN"/>
        </w:rPr>
        <w:t>4</w:t>
      </w:r>
      <w:r>
        <w:rPr>
          <w:rFonts w:hint="eastAsia" w:ascii="宋体" w:hAnsi="宋体" w:eastAsia="宋体" w:cs="宋体"/>
          <w:sz w:val="24"/>
          <w:szCs w:val="24"/>
        </w:rPr>
        <w:t>冷却方式：液压水冷；</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.2.5上料输送形式：板链；</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.2.6处理能力：8-10吨/小时，连续工作8小时；</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.2.7设备防护等级：电气设备防护等级IP67</w:t>
      </w:r>
      <w:r>
        <w:rPr>
          <w:rFonts w:hint="eastAsia" w:ascii="宋体" w:hAnsi="宋体" w:eastAsia="宋体" w:cs="宋体"/>
          <w:sz w:val="24"/>
          <w:szCs w:val="24"/>
          <w:lang w:eastAsia="zh-CN"/>
        </w:rPr>
        <w:t>。</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color w:val="000000"/>
          <w:sz w:val="24"/>
          <w:szCs w:val="24"/>
          <w:lang w:val="en-US" w:eastAsia="zh-CN"/>
        </w:rPr>
        <w:t>1</w:t>
      </w:r>
      <w:r>
        <w:rPr>
          <w:rFonts w:hint="eastAsia" w:ascii="宋体" w:hAnsi="宋体" w:eastAsia="宋体" w:cs="宋体"/>
          <w:b/>
          <w:bCs/>
          <w:sz w:val="24"/>
          <w:szCs w:val="24"/>
        </w:rPr>
        <w:t>.3设备电气要求</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.3.1 控制系统应具有可靠的安全性及满足设备功能的其他要求；</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.3.2控制系统应具有可选的输送速度控制并约束不合理的输送速度控制；不同输送速度下打包系统应能自动调整输出满足要求的包型尺寸；</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.3.3控制系统能显示液压系统的相关参数；例如：液压油压力、温度等参数；</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.3.</w:t>
      </w:r>
      <w:r>
        <w:rPr>
          <w:rFonts w:hint="eastAsia" w:ascii="宋体" w:hAnsi="宋体" w:eastAsia="宋体" w:cs="宋体"/>
          <w:sz w:val="24"/>
          <w:szCs w:val="24"/>
          <w:lang w:val="en-US" w:eastAsia="zh-CN"/>
        </w:rPr>
        <w:t>4</w:t>
      </w:r>
      <w:r>
        <w:rPr>
          <w:rFonts w:hint="eastAsia" w:ascii="宋体" w:hAnsi="宋体" w:eastAsia="宋体" w:cs="宋体"/>
          <w:sz w:val="24"/>
          <w:szCs w:val="24"/>
        </w:rPr>
        <w:t>控制系统能安全的处置电气、液压、水冷、机械等相关异常；</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.3.5控制系统能显示、存储相应设备参数异常、报警，并提供相应的处理提示；</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.3.6控制系统应能显示各分系统的当前状态；</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.3.7控制系统除通过按钮等方式操作外，还能通过HMI进行相应操作；</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.3.8控制系统合理分配内部地址，应预留与上位机通讯的接口，接口形式应为RJ</w:t>
      </w:r>
      <w:r>
        <w:rPr>
          <w:rFonts w:hint="eastAsia" w:ascii="宋体" w:hAnsi="宋体" w:eastAsia="宋体" w:cs="宋体"/>
          <w:sz w:val="24"/>
          <w:szCs w:val="24"/>
          <w:lang w:eastAsia="zh-CN"/>
        </w:rPr>
        <w:t>6</w:t>
      </w:r>
      <w:r>
        <w:rPr>
          <w:rFonts w:hint="eastAsia" w:ascii="宋体" w:hAnsi="宋体" w:eastAsia="宋体" w:cs="宋体"/>
          <w:sz w:val="24"/>
          <w:szCs w:val="24"/>
        </w:rPr>
        <w:t>5，预留的接口应具有独立的网卡；</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.3.9HMI可自动记录生产数据并存储；</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.3.10其他限制性条款应依据GB5226.1-2019 《机械电气安全 机械电气设备 第1部分:通用技术条件》执行</w:t>
      </w:r>
      <w:r>
        <w:rPr>
          <w:rFonts w:hint="eastAsia" w:ascii="宋体" w:hAnsi="宋体" w:eastAsia="宋体" w:cs="宋体"/>
          <w:sz w:val="24"/>
          <w:szCs w:val="24"/>
          <w:lang w:eastAsia="zh-CN"/>
        </w:rPr>
        <w:t>。</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color w:val="000000"/>
          <w:sz w:val="24"/>
          <w:szCs w:val="24"/>
          <w:lang w:val="en-US" w:eastAsia="zh-CN"/>
        </w:rPr>
        <w:t>1</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设备机械要求</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.1机械结构满足室外雨棚工况；做好结构螺栓连接、焊接连接、材质本体的防腐措施；</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.2依据回收物包型参数选择合适的公称推力及主压头行程；压料头在载荷偏离1/</w:t>
      </w:r>
      <w:r>
        <w:rPr>
          <w:rFonts w:hint="eastAsia" w:ascii="宋体" w:hAnsi="宋体" w:eastAsia="宋体" w:cs="宋体"/>
          <w:sz w:val="24"/>
          <w:szCs w:val="24"/>
          <w:lang w:eastAsia="zh-CN"/>
        </w:rPr>
        <w:t>6</w:t>
      </w:r>
      <w:r>
        <w:rPr>
          <w:rFonts w:hint="eastAsia" w:ascii="宋体" w:hAnsi="宋体" w:eastAsia="宋体" w:cs="宋体"/>
          <w:sz w:val="24"/>
          <w:szCs w:val="24"/>
        </w:rPr>
        <w:t>中心尺寸时，仍能正常滑行；</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.3整机材质应能满足将包装塑料、废纸箱打包成块的功能，在回收物中混杂部分金属制件（钢丝、钢带等）设备仍能正常工作；</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4.4</w:t>
      </w:r>
      <w:r>
        <w:rPr>
          <w:rFonts w:hint="eastAsia" w:ascii="宋体" w:hAnsi="宋体" w:eastAsia="宋体" w:cs="宋体"/>
          <w:sz w:val="24"/>
          <w:szCs w:val="24"/>
        </w:rPr>
        <w:t>上料口应设计合适的接料结构，防止回收物散落在打包机外；</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.5重要的铸件、锻件、焊接件应具有相应图纸标明技术参数并附相应合格证明；</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.6压料头导轨直线误差不大于1mm/每米；两侧导轨平行度误差不大于2mm/每米；</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.7打包机外表面应洁净光滑，无明显磕碰划伤锈蚀，各结合面应平整，无明显错位；焊缝处理得当，平滑匀称；</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.8液压缸应进行耐压试验，保压时间不少于10min，不得有渗漏、变形、损坏；耐压试验的压力为正常工作压力的1.2倍；</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.9液压系统应设计安全超载功能；状态设备上的压力表应在容易观察的地方，当系统出现异常超压、失压应有保护措施及报警；</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.10全部管路、管接头、法兰及其他连接处、密封处均应连接良好，无渗漏现象；液压系统装有过滤器、冷却器等，确保连续工作油温不超过50ºC</w:t>
      </w:r>
      <w:r>
        <w:rPr>
          <w:rFonts w:hint="eastAsia" w:ascii="宋体" w:hAnsi="宋体" w:eastAsia="宋体" w:cs="宋体"/>
          <w:sz w:val="24"/>
          <w:szCs w:val="24"/>
          <w:lang w:eastAsia="zh-CN"/>
        </w:rPr>
        <w:t>；</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.11承压管路、电气线路排列整齐，固定牢固；不得与相对运动的结构碰触；液压系统应进行封闭防护，能有效防止系统异常对设备、人员的伤害，同时也能防止外力对液压系统的损伤</w:t>
      </w:r>
      <w:r>
        <w:rPr>
          <w:rFonts w:hint="eastAsia" w:ascii="宋体" w:hAnsi="宋体" w:eastAsia="宋体" w:cs="宋体"/>
          <w:sz w:val="24"/>
          <w:szCs w:val="24"/>
          <w:lang w:eastAsia="zh-CN"/>
        </w:rPr>
        <w:t>。</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color w:val="000000"/>
          <w:sz w:val="24"/>
          <w:szCs w:val="24"/>
          <w:lang w:val="en-US" w:eastAsia="zh-CN"/>
        </w:rPr>
        <w:t>*1</w:t>
      </w:r>
      <w:r>
        <w:rPr>
          <w:rFonts w:hint="eastAsia" w:ascii="宋体" w:hAnsi="宋体" w:eastAsia="宋体" w:cs="宋体"/>
          <w:b/>
          <w:bCs/>
          <w:sz w:val="24"/>
          <w:szCs w:val="24"/>
        </w:rPr>
        <w:t>.5其他</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.5.1设备设施处理材料为易燃材料，设备设施设计时应充分考虑针对包装塑料，废纸箱打包过程中可能产生的风险点并加以控制；</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.5.2回收物及回收包输送系统设计时应充分考虑防静电措施；</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.5.3设备设计时应充分考虑液压系统可能的渗漏带来的火灾风险；</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lang w:val="en-US" w:eastAsia="zh-CN"/>
        </w:rPr>
        <w:t>1</w:t>
      </w:r>
      <w:r>
        <w:rPr>
          <w:rFonts w:hint="eastAsia" w:ascii="宋体" w:hAnsi="宋体" w:eastAsia="宋体" w:cs="宋体"/>
          <w:sz w:val="24"/>
          <w:szCs w:val="24"/>
        </w:rPr>
        <w:t>.5.</w:t>
      </w:r>
      <w:r>
        <w:rPr>
          <w:rFonts w:hint="eastAsia" w:ascii="宋体" w:hAnsi="宋体" w:eastAsia="宋体" w:cs="宋体"/>
          <w:sz w:val="24"/>
          <w:szCs w:val="24"/>
          <w:lang w:val="en-US" w:eastAsia="zh-CN"/>
        </w:rPr>
        <w:t>4</w:t>
      </w:r>
      <w:r>
        <w:rPr>
          <w:rFonts w:hint="eastAsia" w:ascii="宋体" w:hAnsi="宋体" w:eastAsia="宋体" w:cs="宋体"/>
          <w:sz w:val="24"/>
          <w:szCs w:val="24"/>
        </w:rPr>
        <w:t>上料区、输送系统应考虑防风措施，有规划的设计防止包装塑料、废纸箱散落的结构</w:t>
      </w:r>
      <w:r>
        <w:rPr>
          <w:rFonts w:hint="eastAsia" w:ascii="宋体" w:hAnsi="宋体" w:eastAsia="宋体" w:cs="宋体"/>
          <w:sz w:val="24"/>
          <w:szCs w:val="24"/>
          <w:lang w:eastAsia="zh-CN"/>
        </w:rPr>
        <w:t>。</w:t>
      </w:r>
    </w:p>
    <w:p>
      <w:pPr>
        <w:pStyle w:val="125"/>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color w:val="000000"/>
          <w:sz w:val="24"/>
          <w:szCs w:val="24"/>
          <w:lang w:val="en-US" w:eastAsia="zh-CN"/>
        </w:rPr>
        <w:t>1</w:t>
      </w:r>
      <w:r>
        <w:rPr>
          <w:rFonts w:hint="eastAsia" w:ascii="宋体" w:hAnsi="宋体" w:eastAsia="宋体" w:cs="宋体"/>
          <w:b/>
          <w:bCs/>
          <w:sz w:val="24"/>
          <w:szCs w:val="24"/>
        </w:rPr>
        <w:t>.6主要电气元器件要求</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1"/>
        <w:gridCol w:w="3391"/>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主要元器件</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品牌（推荐）</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控制器</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国际知名品牌</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HMI</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国际知名品牌</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满足控制要求，接口配置至少包含以太网接口，USB接口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按钮开关指示灯</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施耐德、西门子、ABB</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断路器、接触器等</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施耐德、西门子、ABB</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变频器</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西门子、ABB或同等</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color w:val="000000"/>
                <w:sz w:val="24"/>
                <w:szCs w:val="24"/>
              </w:rPr>
              <w:t>柔性电缆</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缆普、易格斯、和柔</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color w:val="000000"/>
                <w:sz w:val="24"/>
                <w:szCs w:val="24"/>
              </w:rPr>
              <w:t>电线</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上上、尚纬、远东</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color w:val="000000"/>
                <w:sz w:val="24"/>
                <w:szCs w:val="24"/>
              </w:rPr>
              <w:t>接插件</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HARTING、WAIN、SIBAS</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color w:val="000000"/>
                <w:sz w:val="24"/>
                <w:szCs w:val="24"/>
              </w:rPr>
              <w:t>开关电源</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明纬、菲尼克斯、WAGO</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color w:val="000000"/>
                <w:sz w:val="24"/>
                <w:szCs w:val="24"/>
              </w:rPr>
              <w:t>行程开关</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施耐德、欧姆龙、正泰</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sz w:val="24"/>
                <w:szCs w:val="24"/>
              </w:rPr>
              <w:t>轴承</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SKF、NSK</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按需配置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电机、减速器</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国产知名品牌或国际知名品牌</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满足能效要求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通信线缆</w:t>
            </w:r>
          </w:p>
        </w:tc>
        <w:tc>
          <w:tcPr>
            <w:tcW w:w="3391"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西门子、GESS或国际知名品牌</w:t>
            </w:r>
          </w:p>
        </w:tc>
        <w:tc>
          <w:tcPr>
            <w:tcW w:w="2910" w:type="dxa"/>
            <w:vAlign w:val="center"/>
          </w:tcPr>
          <w:p>
            <w:pPr>
              <w:pStyle w:val="125"/>
              <w:ind w:firstLine="0" w:firstLineChars="0"/>
              <w:jc w:val="center"/>
              <w:rPr>
                <w:rFonts w:hint="eastAsia" w:ascii="宋体" w:hAnsi="宋体" w:eastAsia="宋体" w:cs="宋体"/>
                <w:sz w:val="24"/>
                <w:szCs w:val="24"/>
              </w:rPr>
            </w:pPr>
            <w:r>
              <w:rPr>
                <w:rFonts w:hint="eastAsia" w:ascii="宋体" w:hAnsi="宋体" w:eastAsia="宋体" w:cs="宋体"/>
                <w:sz w:val="24"/>
                <w:szCs w:val="24"/>
              </w:rPr>
              <w:t>A类及以上，预制接口</w:t>
            </w:r>
          </w:p>
        </w:tc>
      </w:tr>
    </w:tbl>
    <w:p>
      <w:pPr>
        <w:pStyle w:val="125"/>
        <w:ind w:firstLine="0" w:firstLineChars="0"/>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注：</w:t>
      </w:r>
      <w:r>
        <w:rPr>
          <w:rFonts w:hint="eastAsia" w:ascii="宋体" w:hAnsi="宋体" w:eastAsia="宋体" w:cs="宋体"/>
          <w:color w:val="000000"/>
          <w:sz w:val="24"/>
          <w:szCs w:val="24"/>
        </w:rPr>
        <w:t>在投标时提供设备主要部件、外购件明细表、易损件备品备件清单和相应特殊维修工具明细需明确价格、品牌；</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2.质量标准</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2.1依据国家、行业（以高标准优先）相应最新标准执行；</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2.2外购件产品需提供相应合格证明；</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2.3安全附件、压力表、计量仪表应提供合格证书及相应检定证书；</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2.4板材等需提供相应材质证明及合格证明；</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2.5生产的包型尺寸满足要求，设备处理能力满足要求；</w:t>
      </w:r>
    </w:p>
    <w:p>
      <w:pPr>
        <w:pStyle w:val="12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2.6噪音不大于80dB;</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Times New Roman"/>
          <w:b/>
          <w:bCs/>
          <w:sz w:val="24"/>
          <w:szCs w:val="24"/>
          <w:lang w:val="en-US" w:eastAsia="zh-CN"/>
        </w:rPr>
      </w:pPr>
      <w:bookmarkStart w:id="39" w:name="_Toc159998025"/>
      <w:r>
        <w:rPr>
          <w:rFonts w:hint="eastAsia" w:ascii="宋体" w:hAnsi="宋体" w:eastAsia="宋体" w:cs="Times New Roman"/>
          <w:b/>
          <w:bCs/>
          <w:sz w:val="24"/>
          <w:szCs w:val="24"/>
          <w:lang w:val="en-US" w:eastAsia="zh-CN"/>
        </w:rPr>
        <w:t>3.结构性能及技术要求</w:t>
      </w:r>
      <w:bookmarkEnd w:id="39"/>
    </w:p>
    <w:p>
      <w:pPr>
        <w:pStyle w:val="32"/>
        <w:pageBreakBefore w:val="0"/>
        <w:widowControl w:val="0"/>
        <w:kinsoku/>
        <w:wordWrap/>
        <w:overflowPunct/>
        <w:topLinePunct w:val="0"/>
        <w:autoSpaceDE/>
        <w:autoSpaceDN/>
        <w:bidi w:val="0"/>
        <w:adjustRightInd/>
        <w:snapToGrid/>
        <w:ind w:left="426" w:leftChars="202" w:hanging="2" w:hangingChars="1"/>
        <w:jc w:val="left"/>
        <w:textAlignment w:val="auto"/>
        <w:outlineLvl w:val="9"/>
        <w:rPr>
          <w:rFonts w:hint="eastAsia" w:ascii="宋体" w:hAnsi="宋体" w:eastAsia="宋体" w:cs="宋体"/>
          <w:b w:val="0"/>
          <w:bCs/>
          <w:sz w:val="24"/>
          <w:szCs w:val="24"/>
        </w:rPr>
      </w:pPr>
      <w:bookmarkStart w:id="40" w:name="_Toc501515350"/>
      <w:bookmarkStart w:id="41" w:name="_Toc501516531"/>
      <w:bookmarkStart w:id="42" w:name="_Toc484257415"/>
      <w:bookmarkStart w:id="43" w:name="_Toc480307164"/>
      <w:bookmarkStart w:id="44" w:name="_Toc502769370"/>
      <w:bookmarkStart w:id="45" w:name="_Toc501353967"/>
      <w:r>
        <w:rPr>
          <w:rFonts w:hint="eastAsia" w:ascii="宋体" w:hAnsi="宋体" w:eastAsia="宋体" w:cs="宋体"/>
          <w:b w:val="0"/>
          <w:bCs/>
          <w:sz w:val="24"/>
          <w:szCs w:val="24"/>
          <w:lang w:val="en-US" w:eastAsia="zh-CN"/>
        </w:rPr>
        <w:t>3.1</w:t>
      </w:r>
      <w:r>
        <w:rPr>
          <w:rFonts w:hint="eastAsia" w:ascii="宋体" w:hAnsi="宋体" w:eastAsia="宋体" w:cs="宋体"/>
          <w:b w:val="0"/>
          <w:bCs/>
          <w:sz w:val="24"/>
          <w:szCs w:val="24"/>
        </w:rPr>
        <w:t>电气通用技术要求</w:t>
      </w:r>
      <w:bookmarkEnd w:id="40"/>
      <w:bookmarkEnd w:id="41"/>
      <w:bookmarkEnd w:id="42"/>
      <w:bookmarkEnd w:id="43"/>
      <w:bookmarkEnd w:id="44"/>
      <w:bookmarkEnd w:id="45"/>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649"/>
        <w:gridCol w:w="6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功能项</w:t>
            </w:r>
          </w:p>
        </w:tc>
        <w:tc>
          <w:tcPr>
            <w:tcW w:w="7655" w:type="dxa"/>
            <w:gridSpan w:val="2"/>
            <w:vAlign w:val="center"/>
          </w:tcPr>
          <w:p>
            <w:pPr>
              <w:ind w:left="420" w:firstLine="48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详细要求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供电界面</w:t>
            </w:r>
          </w:p>
        </w:tc>
        <w:tc>
          <w:tcPr>
            <w:tcW w:w="7655" w:type="dxa"/>
            <w:gridSpan w:val="2"/>
            <w:vAlign w:val="center"/>
          </w:tcPr>
          <w:p>
            <w:pPr>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采用TN-S系统供电方式，</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方提供取电电源点，</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负责将电源引入</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取电柜主空开，将电源从此主开关及以下的所有用电设备均由</w:t>
            </w:r>
            <w:r>
              <w:rPr>
                <w:rFonts w:hint="eastAsia" w:ascii="宋体" w:hAnsi="宋体" w:eastAsia="宋体" w:cs="宋体"/>
                <w:color w:val="000000"/>
                <w:sz w:val="24"/>
                <w:szCs w:val="24"/>
                <w:lang w:eastAsia="zh-CN"/>
              </w:rPr>
              <w:t>卖方</w:t>
            </w:r>
            <w:r>
              <w:rPr>
                <w:rFonts w:hint="eastAsia" w:ascii="宋体" w:hAnsi="宋体" w:eastAsia="宋体" w:cs="宋体"/>
                <w:color w:val="000000"/>
                <w:sz w:val="24"/>
                <w:szCs w:val="24"/>
              </w:rPr>
              <w:t>负责设计分配供电。控制柜内要有接零线和地线用的接线端子或铜排，用于连接三相五线制的进线电源。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电源分配</w:t>
            </w:r>
          </w:p>
        </w:tc>
        <w:tc>
          <w:tcPr>
            <w:tcW w:w="1649"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AC380V±10%</w:t>
            </w:r>
          </w:p>
          <w:p>
            <w:pPr>
              <w:rPr>
                <w:rFonts w:hint="eastAsia" w:ascii="宋体" w:hAnsi="宋体" w:eastAsia="宋体" w:cs="宋体"/>
                <w:color w:val="000000"/>
                <w:sz w:val="24"/>
                <w:szCs w:val="24"/>
              </w:rPr>
            </w:pPr>
            <w:r>
              <w:rPr>
                <w:rFonts w:hint="eastAsia" w:ascii="宋体" w:hAnsi="宋体" w:eastAsia="宋体" w:cs="宋体"/>
                <w:color w:val="000000"/>
                <w:sz w:val="24"/>
                <w:szCs w:val="24"/>
              </w:rPr>
              <w:t>动力电源</w:t>
            </w:r>
          </w:p>
        </w:tc>
        <w:tc>
          <w:tcPr>
            <w:tcW w:w="6006" w:type="dxa"/>
            <w:vAlign w:val="center"/>
          </w:tcPr>
          <w:p>
            <w:pPr>
              <w:numPr>
                <w:ilvl w:val="0"/>
                <w:numId w:val="10"/>
              </w:numPr>
              <w:ind w:left="36" w:leftChars="17" w:firstLine="177" w:firstLineChars="74"/>
              <w:jc w:val="left"/>
              <w:rPr>
                <w:rFonts w:hint="eastAsia" w:ascii="宋体" w:hAnsi="宋体" w:eastAsia="宋体" w:cs="宋体"/>
                <w:color w:val="000000"/>
                <w:sz w:val="24"/>
                <w:szCs w:val="24"/>
              </w:rPr>
            </w:pPr>
            <w:r>
              <w:rPr>
                <w:rFonts w:hint="eastAsia" w:ascii="宋体" w:hAnsi="宋体" w:eastAsia="宋体" w:cs="宋体"/>
                <w:color w:val="000000"/>
                <w:sz w:val="24"/>
                <w:szCs w:val="24"/>
              </w:rPr>
              <w:t>配电柜内配置AC380V主空开，并根据控制分区的划分分别配置断路器。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ind w:firstLine="480"/>
              <w:jc w:val="center"/>
              <w:rPr>
                <w:rFonts w:hint="eastAsia" w:ascii="宋体" w:hAnsi="宋体" w:eastAsia="宋体" w:cs="宋体"/>
                <w:color w:val="000000"/>
                <w:sz w:val="24"/>
                <w:szCs w:val="24"/>
              </w:rPr>
            </w:pPr>
          </w:p>
        </w:tc>
        <w:tc>
          <w:tcPr>
            <w:tcW w:w="1649"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AC220V</w:t>
            </w:r>
          </w:p>
          <w:p>
            <w:pPr>
              <w:rPr>
                <w:rFonts w:hint="eastAsia" w:ascii="宋体" w:hAnsi="宋体" w:eastAsia="宋体" w:cs="宋体"/>
                <w:color w:val="000000"/>
                <w:sz w:val="24"/>
                <w:szCs w:val="24"/>
              </w:rPr>
            </w:pPr>
            <w:r>
              <w:rPr>
                <w:rFonts w:hint="eastAsia" w:ascii="宋体" w:hAnsi="宋体" w:eastAsia="宋体" w:cs="宋体"/>
                <w:color w:val="000000"/>
                <w:sz w:val="24"/>
                <w:szCs w:val="24"/>
              </w:rPr>
              <w:t>控制电源</w:t>
            </w:r>
          </w:p>
        </w:tc>
        <w:tc>
          <w:tcPr>
            <w:tcW w:w="6006" w:type="dxa"/>
            <w:vAlign w:val="center"/>
          </w:tcPr>
          <w:p>
            <w:pPr>
              <w:numPr>
                <w:ilvl w:val="0"/>
                <w:numId w:val="11"/>
              </w:numPr>
              <w:ind w:left="36" w:leftChars="17" w:firstLine="177" w:firstLineChars="74"/>
              <w:jc w:val="left"/>
              <w:rPr>
                <w:rFonts w:hint="eastAsia" w:ascii="宋体" w:hAnsi="宋体" w:eastAsia="宋体" w:cs="宋体"/>
                <w:color w:val="000000"/>
                <w:sz w:val="24"/>
                <w:szCs w:val="24"/>
              </w:rPr>
            </w:pPr>
            <w:r>
              <w:rPr>
                <w:rFonts w:hint="eastAsia" w:ascii="宋体" w:hAnsi="宋体" w:eastAsia="宋体" w:cs="宋体"/>
                <w:color w:val="000000"/>
                <w:sz w:val="24"/>
                <w:szCs w:val="24"/>
              </w:rPr>
              <w:t>设备控制电源AC220V均通过380V/220V隔离变压器方式转换。</w:t>
            </w:r>
          </w:p>
          <w:p>
            <w:pPr>
              <w:numPr>
                <w:ilvl w:val="0"/>
                <w:numId w:val="11"/>
              </w:numPr>
              <w:ind w:left="36" w:leftChars="17" w:firstLine="177" w:firstLineChars="74"/>
              <w:jc w:val="left"/>
              <w:rPr>
                <w:rFonts w:hint="eastAsia" w:ascii="宋体" w:hAnsi="宋体" w:eastAsia="宋体" w:cs="宋体"/>
                <w:color w:val="000000"/>
                <w:sz w:val="24"/>
                <w:szCs w:val="24"/>
              </w:rPr>
            </w:pPr>
            <w:r>
              <w:rPr>
                <w:rFonts w:hint="eastAsia" w:ascii="宋体" w:hAnsi="宋体" w:eastAsia="宋体" w:cs="宋体"/>
                <w:color w:val="000000"/>
                <w:sz w:val="24"/>
                <w:szCs w:val="24"/>
              </w:rPr>
              <w:t>柜内照明及插座电源配置单独的断路器；设备控制电源从主空开下口引出，并根据控制功能的划分分别配置各支路断路器。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ind w:firstLine="480"/>
              <w:jc w:val="center"/>
              <w:rPr>
                <w:rFonts w:hint="eastAsia" w:ascii="宋体" w:hAnsi="宋体" w:eastAsia="宋体" w:cs="宋体"/>
                <w:color w:val="000000"/>
                <w:sz w:val="24"/>
                <w:szCs w:val="24"/>
              </w:rPr>
            </w:pPr>
          </w:p>
        </w:tc>
        <w:tc>
          <w:tcPr>
            <w:tcW w:w="1649"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DC2</w:t>
            </w:r>
            <w:r>
              <w:rPr>
                <w:rFonts w:hint="eastAsia" w:ascii="宋体" w:hAnsi="宋体" w:eastAsia="宋体" w:cs="宋体"/>
                <w:color w:val="000000"/>
                <w:sz w:val="24"/>
                <w:szCs w:val="24"/>
                <w:lang w:eastAsia="zh-CN"/>
              </w:rPr>
              <w:t>6</w:t>
            </w:r>
            <w:r>
              <w:rPr>
                <w:rFonts w:hint="eastAsia" w:ascii="宋体" w:hAnsi="宋体" w:eastAsia="宋体" w:cs="宋体"/>
                <w:color w:val="000000"/>
                <w:sz w:val="24"/>
                <w:szCs w:val="24"/>
              </w:rPr>
              <w:t>V</w:t>
            </w:r>
          </w:p>
          <w:p>
            <w:pPr>
              <w:rPr>
                <w:rFonts w:hint="eastAsia" w:ascii="宋体" w:hAnsi="宋体" w:eastAsia="宋体" w:cs="宋体"/>
                <w:color w:val="000000"/>
                <w:sz w:val="24"/>
                <w:szCs w:val="24"/>
              </w:rPr>
            </w:pPr>
            <w:r>
              <w:rPr>
                <w:rFonts w:hint="eastAsia" w:ascii="宋体" w:hAnsi="宋体" w:eastAsia="宋体" w:cs="宋体"/>
                <w:color w:val="000000"/>
                <w:sz w:val="24"/>
                <w:szCs w:val="24"/>
              </w:rPr>
              <w:t>控制电源</w:t>
            </w:r>
          </w:p>
        </w:tc>
        <w:tc>
          <w:tcPr>
            <w:tcW w:w="6006" w:type="dxa"/>
            <w:vAlign w:val="center"/>
          </w:tcPr>
          <w:p>
            <w:pPr>
              <w:numPr>
                <w:ilvl w:val="0"/>
                <w:numId w:val="12"/>
              </w:numPr>
              <w:ind w:left="39" w:firstLine="139" w:firstLineChars="58"/>
              <w:jc w:val="left"/>
              <w:rPr>
                <w:rFonts w:hint="eastAsia" w:ascii="宋体" w:hAnsi="宋体" w:eastAsia="宋体" w:cs="宋体"/>
                <w:color w:val="000000"/>
                <w:sz w:val="24"/>
                <w:szCs w:val="24"/>
              </w:rPr>
            </w:pPr>
            <w:r>
              <w:rPr>
                <w:rFonts w:hint="eastAsia" w:ascii="宋体" w:hAnsi="宋体" w:eastAsia="宋体" w:cs="宋体"/>
                <w:color w:val="000000"/>
                <w:sz w:val="24"/>
                <w:szCs w:val="24"/>
              </w:rPr>
              <w:t>PLC输出控制根据负载需要，选择通过中间继电器进行转换。</w:t>
            </w:r>
          </w:p>
          <w:p>
            <w:pPr>
              <w:numPr>
                <w:ilvl w:val="0"/>
                <w:numId w:val="12"/>
              </w:numPr>
              <w:ind w:left="39" w:firstLine="139" w:firstLineChars="58"/>
              <w:jc w:val="left"/>
              <w:rPr>
                <w:rFonts w:hint="eastAsia" w:ascii="宋体" w:hAnsi="宋体" w:eastAsia="宋体" w:cs="宋体"/>
                <w:color w:val="000000"/>
                <w:sz w:val="24"/>
                <w:szCs w:val="24"/>
              </w:rPr>
            </w:pPr>
            <w:r>
              <w:rPr>
                <w:rFonts w:hint="eastAsia" w:ascii="宋体" w:hAnsi="宋体" w:eastAsia="宋体" w:cs="宋体"/>
                <w:color w:val="000000"/>
                <w:sz w:val="24"/>
                <w:szCs w:val="24"/>
              </w:rPr>
              <w:t>PLC及模块电源、总线及模块电源、交换机、HMI各路配置单独的断路器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设备控制模式</w:t>
            </w:r>
          </w:p>
        </w:tc>
        <w:tc>
          <w:tcPr>
            <w:tcW w:w="7655" w:type="dxa"/>
            <w:gridSpan w:val="2"/>
            <w:vAlign w:val="center"/>
          </w:tcPr>
          <w:p>
            <w:pPr>
              <w:numPr>
                <w:ilvl w:val="0"/>
                <w:numId w:val="13"/>
              </w:numPr>
              <w:ind w:left="174" w:leftChars="83" w:firstLine="142"/>
              <w:jc w:val="left"/>
              <w:rPr>
                <w:rFonts w:hint="eastAsia" w:ascii="宋体" w:hAnsi="宋体" w:eastAsia="宋体" w:cs="宋体"/>
                <w:color w:val="000000"/>
                <w:sz w:val="24"/>
                <w:szCs w:val="24"/>
              </w:rPr>
            </w:pPr>
            <w:r>
              <w:rPr>
                <w:rFonts w:hint="eastAsia" w:ascii="宋体" w:hAnsi="宋体" w:eastAsia="宋体" w:cs="宋体"/>
                <w:color w:val="000000"/>
                <w:sz w:val="24"/>
                <w:szCs w:val="24"/>
              </w:rPr>
              <w:t>采用控制柜集中启动，现场自动/手动/维护操作的控制模式。</w:t>
            </w:r>
          </w:p>
          <w:p>
            <w:pPr>
              <w:numPr>
                <w:ilvl w:val="0"/>
                <w:numId w:val="14"/>
              </w:numPr>
              <w:ind w:left="174" w:leftChars="83" w:firstLine="142"/>
              <w:jc w:val="left"/>
              <w:rPr>
                <w:rFonts w:hint="eastAsia" w:ascii="宋体" w:hAnsi="宋体" w:eastAsia="宋体" w:cs="宋体"/>
                <w:color w:val="000000"/>
                <w:sz w:val="24"/>
                <w:szCs w:val="24"/>
              </w:rPr>
            </w:pPr>
            <w:r>
              <w:rPr>
                <w:rFonts w:hint="eastAsia" w:ascii="宋体" w:hAnsi="宋体" w:eastAsia="宋体" w:cs="宋体"/>
                <w:color w:val="000000"/>
                <w:sz w:val="24"/>
                <w:szCs w:val="24"/>
              </w:rPr>
              <w:t>自动：系统启动，设备自动运行，设备连锁有效。</w:t>
            </w:r>
          </w:p>
          <w:p>
            <w:pPr>
              <w:numPr>
                <w:ilvl w:val="0"/>
                <w:numId w:val="14"/>
              </w:numPr>
              <w:ind w:left="174" w:leftChars="83" w:firstLine="142"/>
              <w:jc w:val="left"/>
              <w:rPr>
                <w:rFonts w:hint="eastAsia" w:ascii="宋体" w:hAnsi="宋体" w:eastAsia="宋体" w:cs="宋体"/>
                <w:color w:val="000000"/>
                <w:sz w:val="24"/>
                <w:szCs w:val="24"/>
              </w:rPr>
            </w:pPr>
            <w:r>
              <w:rPr>
                <w:rFonts w:hint="eastAsia" w:ascii="宋体" w:hAnsi="宋体" w:eastAsia="宋体" w:cs="宋体"/>
                <w:color w:val="000000"/>
                <w:sz w:val="24"/>
                <w:szCs w:val="24"/>
              </w:rPr>
              <w:t>手动：系统启动，设备通过操作按钮控制运行，设备连锁有效。</w:t>
            </w:r>
          </w:p>
          <w:p>
            <w:pPr>
              <w:numPr>
                <w:ilvl w:val="0"/>
                <w:numId w:val="14"/>
              </w:numPr>
              <w:ind w:left="174" w:leftChars="83" w:firstLine="142"/>
              <w:jc w:val="left"/>
              <w:rPr>
                <w:rFonts w:hint="eastAsia" w:ascii="宋体" w:hAnsi="宋体" w:eastAsia="宋体" w:cs="宋体"/>
                <w:color w:val="000000"/>
                <w:sz w:val="24"/>
                <w:szCs w:val="24"/>
              </w:rPr>
            </w:pPr>
            <w:r>
              <w:rPr>
                <w:rFonts w:hint="eastAsia" w:ascii="宋体" w:hAnsi="宋体" w:eastAsia="宋体" w:cs="宋体"/>
                <w:color w:val="000000"/>
                <w:sz w:val="24"/>
                <w:szCs w:val="24"/>
              </w:rPr>
              <w:t>维护：系统启动，设备通过操作按钮控制运行，设备保留必要的连锁。</w:t>
            </w:r>
          </w:p>
          <w:p>
            <w:pPr>
              <w:numPr>
                <w:ilvl w:val="0"/>
                <w:numId w:val="13"/>
              </w:numPr>
              <w:ind w:left="174" w:leftChars="83" w:firstLine="142"/>
              <w:jc w:val="left"/>
              <w:rPr>
                <w:rFonts w:hint="eastAsia" w:ascii="宋体" w:hAnsi="宋体" w:eastAsia="宋体" w:cs="宋体"/>
                <w:color w:val="000000"/>
                <w:sz w:val="24"/>
                <w:szCs w:val="24"/>
              </w:rPr>
            </w:pPr>
            <w:r>
              <w:rPr>
                <w:rFonts w:hint="eastAsia" w:ascii="宋体" w:hAnsi="宋体" w:eastAsia="宋体" w:cs="宋体"/>
                <w:color w:val="000000"/>
                <w:sz w:val="24"/>
                <w:szCs w:val="24"/>
              </w:rPr>
              <w:t>参数模式配置HMI中，参数状态需配置权限进行操作。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控制柜、操作站/箱</w:t>
            </w:r>
          </w:p>
        </w:tc>
        <w:tc>
          <w:tcPr>
            <w:tcW w:w="7655" w:type="dxa"/>
            <w:gridSpan w:val="2"/>
            <w:vAlign w:val="center"/>
          </w:tcPr>
          <w:p>
            <w:pPr>
              <w:numPr>
                <w:ilvl w:val="0"/>
                <w:numId w:val="15"/>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关键设备及为满足人工控制功能的现场必须安装操作站/箱。</w:t>
            </w:r>
          </w:p>
          <w:p>
            <w:pPr>
              <w:numPr>
                <w:ilvl w:val="0"/>
                <w:numId w:val="15"/>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柜/盒锁需要经过</w:t>
            </w:r>
            <w:r>
              <w:rPr>
                <w:rFonts w:hint="eastAsia" w:ascii="宋体" w:hAnsi="宋体" w:eastAsia="宋体" w:cs="宋体"/>
                <w:color w:val="000000"/>
                <w:sz w:val="24"/>
                <w:szCs w:val="24"/>
                <w:lang w:eastAsia="zh-CN"/>
              </w:rPr>
              <w:t>买方</w:t>
            </w:r>
            <w:r>
              <w:rPr>
                <w:rFonts w:hint="eastAsia" w:ascii="宋体" w:hAnsi="宋体" w:eastAsia="宋体" w:cs="宋体"/>
                <w:color w:val="000000"/>
                <w:sz w:val="24"/>
                <w:szCs w:val="24"/>
              </w:rPr>
              <w:t>确认。</w:t>
            </w:r>
          </w:p>
          <w:p>
            <w:pPr>
              <w:numPr>
                <w:ilvl w:val="0"/>
                <w:numId w:val="15"/>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控制柜要求</w:t>
            </w:r>
          </w:p>
          <w:p>
            <w:pPr>
              <w:numPr>
                <w:ilvl w:val="0"/>
                <w:numId w:val="16"/>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尺寸要求：控制柜箱柜壁厚大于2mm</w:t>
            </w:r>
          </w:p>
          <w:p>
            <w:pPr>
              <w:numPr>
                <w:ilvl w:val="0"/>
                <w:numId w:val="16"/>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防护等级：IP5</w:t>
            </w:r>
            <w:r>
              <w:rPr>
                <w:rFonts w:hint="eastAsia" w:ascii="宋体" w:hAnsi="宋体" w:eastAsia="宋体" w:cs="宋体"/>
                <w:color w:val="000000"/>
                <w:sz w:val="24"/>
                <w:szCs w:val="24"/>
                <w:lang w:eastAsia="zh-CN"/>
              </w:rPr>
              <w:t>6</w:t>
            </w:r>
            <w:r>
              <w:rPr>
                <w:rFonts w:hint="eastAsia" w:ascii="宋体" w:hAnsi="宋体" w:eastAsia="宋体" w:cs="宋体"/>
                <w:color w:val="000000"/>
                <w:sz w:val="24"/>
                <w:szCs w:val="24"/>
              </w:rPr>
              <w:t>。</w:t>
            </w:r>
          </w:p>
          <w:p>
            <w:pPr>
              <w:numPr>
                <w:ilvl w:val="0"/>
                <w:numId w:val="16"/>
              </w:numPr>
              <w:ind w:left="174" w:leftChars="83" w:firstLine="141" w:firstLineChars="59"/>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喷涂颜色：门内侧灰色   RAL7035</w:t>
            </w:r>
          </w:p>
          <w:p>
            <w:pPr>
              <w:ind w:left="174" w:leftChars="83" w:firstLine="141" w:firstLineChars="5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门外侧灰色   RAL7035</w:t>
            </w:r>
          </w:p>
          <w:p>
            <w:pPr>
              <w:ind w:left="174" w:leftChars="83" w:firstLine="141" w:firstLineChars="5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图纸盒及托盘灰色   RAL7035</w:t>
            </w:r>
          </w:p>
          <w:p>
            <w:pPr>
              <w:ind w:left="174" w:leftChars="83" w:firstLine="141" w:firstLineChars="5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安装板镀锌板</w:t>
            </w:r>
          </w:p>
          <w:p>
            <w:pPr>
              <w:ind w:left="174" w:leftChars="83" w:firstLine="141" w:firstLineChars="5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底座  RAL7022</w:t>
            </w:r>
          </w:p>
          <w:p>
            <w:pPr>
              <w:numPr>
                <w:ilvl w:val="0"/>
                <w:numId w:val="15"/>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操作站要求</w:t>
            </w:r>
          </w:p>
          <w:p>
            <w:pPr>
              <w:ind w:left="174" w:leftChars="83"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立柱式操作站型式：操作站配置相应操作按钮；具体尺寸可根据元器件布置情况进行调整，保持一致性，并配置φ70单色柱状指示灯并集成蜂鸣器声音报警。</w:t>
            </w:r>
          </w:p>
          <w:p>
            <w:pPr>
              <w:numPr>
                <w:ilvl w:val="0"/>
                <w:numId w:val="15"/>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布线方式：</w:t>
            </w:r>
          </w:p>
          <w:p>
            <w:pPr>
              <w:numPr>
                <w:ilvl w:val="0"/>
                <w:numId w:val="17"/>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进出线方式：控制柜、立柱式操作站均采用底部进、出线。</w:t>
            </w:r>
          </w:p>
          <w:p>
            <w:pPr>
              <w:numPr>
                <w:ilvl w:val="0"/>
                <w:numId w:val="17"/>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布线方式：柜内采用线槽，柜外采用电缆桥架及镀锌钢管。</w:t>
            </w:r>
          </w:p>
          <w:p>
            <w:pPr>
              <w:numPr>
                <w:ilvl w:val="0"/>
                <w:numId w:val="17"/>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柜外布线：桥架内布线预留20%的空间，动力线、总线、信号线采用隔板分槽布置。</w:t>
            </w:r>
          </w:p>
          <w:p>
            <w:pPr>
              <w:numPr>
                <w:ilvl w:val="0"/>
                <w:numId w:val="15"/>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元器件布置原则：</w:t>
            </w:r>
          </w:p>
          <w:p>
            <w:pPr>
              <w:numPr>
                <w:ilvl w:val="0"/>
                <w:numId w:val="18"/>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按功能布置：控制柜内元器件按开关配电部分、低压电器部分、PLC控制部分等功能分别布置安装。</w:t>
            </w:r>
          </w:p>
          <w:p>
            <w:pPr>
              <w:numPr>
                <w:ilvl w:val="0"/>
                <w:numId w:val="18"/>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按层次布置：柜中由上至下依次为PLC、中间继电器、单/双极断路器、直流电源（PLC右侧有空间时可布PLC右侧）</w:t>
            </w:r>
          </w:p>
          <w:p>
            <w:pPr>
              <w:numPr>
                <w:ilvl w:val="0"/>
                <w:numId w:val="18"/>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面板元器件布置：安装于电控柜门上，根据功能组布置。</w:t>
            </w:r>
          </w:p>
          <w:p>
            <w:pPr>
              <w:numPr>
                <w:ilvl w:val="0"/>
                <w:numId w:val="19"/>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控制柜、操作站预留空间：每个控制柜预留不小于20％的安装空间，以备将来增加元件之用，控制柜的结构和所有内部连线要符合相关标准的具体要求。</w:t>
            </w:r>
          </w:p>
          <w:p>
            <w:pPr>
              <w:numPr>
                <w:ilvl w:val="0"/>
                <w:numId w:val="20"/>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柜体需要开孔预留的备用孔，不用时使用专用封堵盖进行封堵。</w:t>
            </w:r>
          </w:p>
          <w:p>
            <w:pPr>
              <w:numPr>
                <w:ilvl w:val="0"/>
                <w:numId w:val="15"/>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元器件防护：</w:t>
            </w:r>
          </w:p>
          <w:p>
            <w:pPr>
              <w:numPr>
                <w:ilvl w:val="0"/>
                <w:numId w:val="20"/>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进线主空开须进行全方位保护以防人体接触，与柜门连锁，断电后方可打开柜门。</w:t>
            </w:r>
          </w:p>
          <w:p>
            <w:pPr>
              <w:numPr>
                <w:ilvl w:val="0"/>
                <w:numId w:val="20"/>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控制柜柜体、操作站等须进行可靠接地，柜内须有接地铜排。</w:t>
            </w:r>
          </w:p>
          <w:p>
            <w:pPr>
              <w:numPr>
                <w:ilvl w:val="0"/>
                <w:numId w:val="15"/>
              </w:numPr>
              <w:ind w:left="174" w:leftChars="83" w:firstLine="141" w:firstLineChars="59"/>
              <w:jc w:val="left"/>
              <w:rPr>
                <w:rFonts w:hint="eastAsia" w:ascii="宋体" w:hAnsi="宋体" w:eastAsia="宋体" w:cs="宋体"/>
                <w:color w:val="000000"/>
                <w:sz w:val="24"/>
                <w:szCs w:val="24"/>
              </w:rPr>
            </w:pPr>
            <w:bookmarkStart w:id="46" w:name="OLE_LINK40"/>
            <w:bookmarkStart w:id="47" w:name="OLE_LINK39"/>
            <w:r>
              <w:rPr>
                <w:rFonts w:hint="eastAsia" w:ascii="宋体" w:hAnsi="宋体" w:eastAsia="宋体" w:cs="宋体"/>
                <w:color w:val="000000"/>
                <w:sz w:val="24"/>
                <w:szCs w:val="24"/>
              </w:rPr>
              <w:t>散热保护</w:t>
            </w:r>
          </w:p>
          <w:bookmarkEnd w:id="46"/>
          <w:bookmarkEnd w:id="47"/>
          <w:p>
            <w:pPr>
              <w:numPr>
                <w:ilvl w:val="0"/>
                <w:numId w:val="20"/>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控制柜、操作站/箱依据散热计算配置空调或风扇散热；并提供相应计算说明或提供当前所配置的散热保护满足全负荷要求的说明。</w:t>
            </w:r>
          </w:p>
          <w:p>
            <w:pPr>
              <w:numPr>
                <w:ilvl w:val="0"/>
                <w:numId w:val="15"/>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其它</w:t>
            </w:r>
          </w:p>
          <w:p>
            <w:pPr>
              <w:numPr>
                <w:ilvl w:val="0"/>
                <w:numId w:val="19"/>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控制柜照明：每个柜体安装照明灯。</w:t>
            </w:r>
          </w:p>
          <w:p>
            <w:pPr>
              <w:numPr>
                <w:ilvl w:val="0"/>
                <w:numId w:val="19"/>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控制柜插座：安装10A电源插座1套（2孔+3孔），供调试、维修使用。</w:t>
            </w:r>
          </w:p>
          <w:p>
            <w:pPr>
              <w:numPr>
                <w:ilvl w:val="0"/>
                <w:numId w:val="19"/>
              </w:numPr>
              <w:ind w:left="174" w:leftChars="83"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进出线开孔：控制柜开孔应做好线缆的防护及箱体的密封工作，采用电缆固定螺栓将线缆进行固定，每个电缆固定螺栓只允许穿一根电缆，预装了电缆固定螺栓如果未穿线，必须用遮盖封闭塞密封需要紧固的部位并预留标识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开关及指示元件</w:t>
            </w:r>
          </w:p>
        </w:tc>
        <w:tc>
          <w:tcPr>
            <w:tcW w:w="7655" w:type="dxa"/>
            <w:gridSpan w:val="2"/>
            <w:vAlign w:val="center"/>
          </w:tcPr>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操作面板上的开关</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控制电源通/断（ON/OFF）采用钥匙开关。</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各控制柜、立柱式操作站上至少预留2个备用按钮。</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紧急停止开关要统一布置在操作面板操作区的右下部。</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电源主开关</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主开关辅助触点反馈至PLC输入模块。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ind w:firstLine="199" w:firstLineChars="83"/>
              <w:rPr>
                <w:rFonts w:hint="eastAsia" w:ascii="宋体" w:hAnsi="宋体" w:eastAsia="宋体" w:cs="宋体"/>
                <w:color w:val="000000"/>
                <w:sz w:val="24"/>
                <w:szCs w:val="24"/>
              </w:rPr>
            </w:pPr>
            <w:r>
              <w:rPr>
                <w:rFonts w:hint="eastAsia" w:ascii="宋体" w:hAnsi="宋体" w:eastAsia="宋体" w:cs="宋体"/>
                <w:color w:val="000000"/>
                <w:sz w:val="24"/>
                <w:szCs w:val="24"/>
              </w:rPr>
              <w:t>标识</w:t>
            </w:r>
          </w:p>
        </w:tc>
        <w:tc>
          <w:tcPr>
            <w:tcW w:w="7655" w:type="dxa"/>
            <w:gridSpan w:val="2"/>
            <w:vAlign w:val="center"/>
          </w:tcPr>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所有的电气元件必须做出标记符号，且在更换元件时符号不能被覆盖或丢失。</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所有的电控柜外部的接线、传感器和执行元件等（如，接近开关、光电开关、电磁阀、电机等）应采用标牌标明图纸标号及线缆起点和终端，便于维修查找。</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接线端子上的标记应与电路图中的标记相同。</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控制柜标牌采用PVC材质。</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开关、按钮指示灯采用标准的标牌框或亚克力材质，而且字母和文字都必须为永久性黑色标识。</w:t>
            </w:r>
          </w:p>
          <w:p>
            <w:pPr>
              <w:ind w:left="40" w:leftChars="19" w:firstLine="141" w:firstLineChars="59"/>
              <w:rPr>
                <w:rFonts w:hint="eastAsia" w:ascii="宋体" w:hAnsi="宋体" w:eastAsia="宋体" w:cs="宋体"/>
                <w:color w:val="000000"/>
                <w:sz w:val="24"/>
                <w:szCs w:val="24"/>
              </w:rPr>
            </w:pPr>
            <w:bookmarkStart w:id="48" w:name="OLE_LINK42"/>
            <w:bookmarkStart w:id="49" w:name="OLE_LINK41"/>
            <w:r>
              <w:rPr>
                <w:rFonts w:hint="eastAsia" w:ascii="宋体" w:hAnsi="宋体" w:eastAsia="宋体" w:cs="宋体"/>
                <w:color w:val="000000"/>
                <w:sz w:val="24"/>
                <w:szCs w:val="24"/>
              </w:rPr>
              <w:t>控制柜按钮标识标牌可以采用专用标牌。标识牌选取形式必须统一</w:t>
            </w:r>
            <w:bookmarkEnd w:id="48"/>
            <w:bookmarkEnd w:id="49"/>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设备急停配置要求</w:t>
            </w:r>
          </w:p>
        </w:tc>
        <w:tc>
          <w:tcPr>
            <w:tcW w:w="7655" w:type="dxa"/>
            <w:gridSpan w:val="2"/>
            <w:vAlign w:val="center"/>
          </w:tcPr>
          <w:p>
            <w:pPr>
              <w:widowControl/>
              <w:numPr>
                <w:ilvl w:val="0"/>
                <w:numId w:val="21"/>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设备主控制柜、现场立柱式操作站控制面板均应布置急停按钮。</w:t>
            </w:r>
          </w:p>
          <w:p>
            <w:pPr>
              <w:widowControl/>
              <w:numPr>
                <w:ilvl w:val="0"/>
                <w:numId w:val="21"/>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立柱式操作站、按钮盒、检维修区域应配有急停按钮，当触发急停按钮时，切断相关区域的动力控制电源。每个急停信号均需反馈PLC系统，并在HMI上明确指示出每个急停位置和状态。</w:t>
            </w:r>
          </w:p>
          <w:p>
            <w:pPr>
              <w:widowControl/>
              <w:numPr>
                <w:ilvl w:val="0"/>
                <w:numId w:val="21"/>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设备急停控制设备动力回路接触器，急停按下，主回路断电。</w:t>
            </w:r>
          </w:p>
          <w:p>
            <w:pPr>
              <w:widowControl/>
              <w:numPr>
                <w:ilvl w:val="0"/>
                <w:numId w:val="21"/>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急停复位：各位置急停按钮复位后，应通过控制柜“异常复位”按钮操作，设备才能重新启动。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设备报警装置要求</w:t>
            </w:r>
          </w:p>
        </w:tc>
        <w:tc>
          <w:tcPr>
            <w:tcW w:w="7655" w:type="dxa"/>
            <w:gridSpan w:val="2"/>
            <w:vAlign w:val="center"/>
          </w:tcPr>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控制柜采用三色（红色、黄色、绿色）柱状指示灯，并带声音报警功能。</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现场立柱式操作站布置单色柱状指示灯，工位急停、区域急停按钮盒上布置单色柱状指示灯。</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所有指示灯均采用发光二极管型。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ind w:firstLine="199" w:firstLineChars="83"/>
              <w:rPr>
                <w:rFonts w:hint="eastAsia" w:ascii="宋体" w:hAnsi="宋体" w:eastAsia="宋体" w:cs="宋体"/>
                <w:color w:val="000000"/>
                <w:sz w:val="24"/>
                <w:szCs w:val="24"/>
              </w:rPr>
            </w:pPr>
            <w:r>
              <w:rPr>
                <w:rFonts w:hint="eastAsia" w:ascii="宋体" w:hAnsi="宋体" w:eastAsia="宋体" w:cs="宋体"/>
                <w:color w:val="000000"/>
                <w:sz w:val="24"/>
                <w:szCs w:val="24"/>
              </w:rPr>
              <w:t>HMI</w:t>
            </w:r>
          </w:p>
        </w:tc>
        <w:tc>
          <w:tcPr>
            <w:tcW w:w="7655" w:type="dxa"/>
            <w:gridSpan w:val="2"/>
            <w:vAlign w:val="center"/>
          </w:tcPr>
          <w:p>
            <w:pPr>
              <w:numPr>
                <w:ilvl w:val="0"/>
                <w:numId w:val="22"/>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HMI需配置存储卡，特殊情况除外。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变频器、电机要求</w:t>
            </w:r>
          </w:p>
        </w:tc>
        <w:tc>
          <w:tcPr>
            <w:tcW w:w="7655" w:type="dxa"/>
            <w:gridSpan w:val="2"/>
            <w:vAlign w:val="center"/>
          </w:tcPr>
          <w:p>
            <w:pPr>
              <w:numPr>
                <w:ilvl w:val="0"/>
                <w:numId w:val="23"/>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需调速电机采用变频器控制，升降机变频器选型应比电机功率大一级。电机热保护开关接入变频器进行电机过热保护。</w:t>
            </w:r>
          </w:p>
          <w:p>
            <w:pPr>
              <w:numPr>
                <w:ilvl w:val="0"/>
                <w:numId w:val="23"/>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一台变频器同时拖动多台电机时，电机热保护须采用热敏开关形式（TH），各电机回路分别配置电子式热继电器。</w:t>
            </w:r>
          </w:p>
          <w:p>
            <w:pPr>
              <w:numPr>
                <w:ilvl w:val="0"/>
                <w:numId w:val="23"/>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移动设备电机需要配置过热保护检测。</w:t>
            </w:r>
          </w:p>
          <w:p>
            <w:pPr>
              <w:numPr>
                <w:ilvl w:val="0"/>
                <w:numId w:val="23"/>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柜装变频器每5台配置1个可拆卸操作面板(每个柜内最少两个)、视工艺要求增加制动单元及外接制动电阻。</w:t>
            </w:r>
          </w:p>
          <w:p>
            <w:pPr>
              <w:numPr>
                <w:ilvl w:val="0"/>
                <w:numId w:val="23"/>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变频器选型须满足控制电机功率及应用要求。</w:t>
            </w:r>
          </w:p>
          <w:p>
            <w:pPr>
              <w:numPr>
                <w:ilvl w:val="0"/>
                <w:numId w:val="23"/>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变频器安装位置应配置良好的通风散热装置，并预留10%安装空间。</w:t>
            </w:r>
          </w:p>
          <w:p>
            <w:pPr>
              <w:numPr>
                <w:ilvl w:val="0"/>
                <w:numId w:val="23"/>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所有电机配置带热脱扣和电磁脱扣的可调整定值的断路器，原则上不单独配热继电器。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导线和接线端子</w:t>
            </w:r>
          </w:p>
        </w:tc>
        <w:tc>
          <w:tcPr>
            <w:tcW w:w="7655" w:type="dxa"/>
            <w:gridSpan w:val="2"/>
            <w:vAlign w:val="center"/>
          </w:tcPr>
          <w:p>
            <w:pPr>
              <w:numPr>
                <w:ilvl w:val="0"/>
                <w:numId w:val="24"/>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对于一些裸露的接线严格要求增加穿管保护，对于有人员操作的地方，需增加硬性防护，避免线缆接线被破坏。</w:t>
            </w:r>
          </w:p>
          <w:p>
            <w:pPr>
              <w:numPr>
                <w:ilvl w:val="0"/>
                <w:numId w:val="24"/>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控制柜内部的导线。</w:t>
            </w:r>
          </w:p>
          <w:p>
            <w:pPr>
              <w:numPr>
                <w:ilvl w:val="0"/>
                <w:numId w:val="25"/>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PLC的备用I/O点必须用导线从接线端子连接到相应的PLC模块上。</w:t>
            </w:r>
          </w:p>
          <w:p>
            <w:pPr>
              <w:numPr>
                <w:ilvl w:val="0"/>
                <w:numId w:val="25"/>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在控制柜里使用的线槽必须具有10%的额外空间用于备用。</w:t>
            </w:r>
          </w:p>
          <w:p>
            <w:pPr>
              <w:numPr>
                <w:ilvl w:val="0"/>
                <w:numId w:val="25"/>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电气元件布置有规律，导线都走线槽，使柜内整齐不凌乱。</w:t>
            </w:r>
          </w:p>
          <w:p>
            <w:pPr>
              <w:numPr>
                <w:ilvl w:val="0"/>
                <w:numId w:val="24"/>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控制柜外部的电缆</w:t>
            </w:r>
          </w:p>
          <w:p>
            <w:pPr>
              <w:numPr>
                <w:ilvl w:val="0"/>
                <w:numId w:val="25"/>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所有外部电缆必须予以编号,每根电缆的编号是唯一的。</w:t>
            </w:r>
          </w:p>
          <w:p>
            <w:pPr>
              <w:numPr>
                <w:ilvl w:val="0"/>
                <w:numId w:val="25"/>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在电缆桥架内的不可以进行任何导线连接。</w:t>
            </w:r>
          </w:p>
          <w:p>
            <w:pPr>
              <w:numPr>
                <w:ilvl w:val="0"/>
                <w:numId w:val="25"/>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为了便于更换和修理，预留备用导线。</w:t>
            </w:r>
          </w:p>
          <w:p>
            <w:pPr>
              <w:numPr>
                <w:ilvl w:val="0"/>
                <w:numId w:val="24"/>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接线端子及连接</w:t>
            </w:r>
          </w:p>
          <w:p>
            <w:pPr>
              <w:numPr>
                <w:ilvl w:val="0"/>
                <w:numId w:val="25"/>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所有端子的连接不允许焊接连接。</w:t>
            </w:r>
          </w:p>
          <w:p>
            <w:pPr>
              <w:numPr>
                <w:ilvl w:val="0"/>
                <w:numId w:val="25"/>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在端子板的出线侧，每个端子接头原则上只可以连接一根导线。</w:t>
            </w:r>
          </w:p>
          <w:p>
            <w:pPr>
              <w:numPr>
                <w:ilvl w:val="0"/>
                <w:numId w:val="25"/>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接线端子应编号。</w:t>
            </w:r>
          </w:p>
          <w:p>
            <w:pPr>
              <w:numPr>
                <w:ilvl w:val="0"/>
                <w:numId w:val="24"/>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控制柜柜门及桥架的接地。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ind w:firstLine="199" w:firstLineChars="83"/>
              <w:rPr>
                <w:rFonts w:hint="eastAsia" w:ascii="宋体" w:hAnsi="宋体" w:eastAsia="宋体" w:cs="宋体"/>
                <w:color w:val="000000"/>
                <w:sz w:val="24"/>
                <w:szCs w:val="24"/>
              </w:rPr>
            </w:pPr>
            <w:r>
              <w:rPr>
                <w:rFonts w:hint="eastAsia" w:ascii="宋体" w:hAnsi="宋体" w:eastAsia="宋体" w:cs="宋体"/>
                <w:color w:val="000000"/>
                <w:sz w:val="24"/>
                <w:szCs w:val="24"/>
              </w:rPr>
              <w:t>桥架</w:t>
            </w:r>
          </w:p>
        </w:tc>
        <w:tc>
          <w:tcPr>
            <w:tcW w:w="7655" w:type="dxa"/>
            <w:gridSpan w:val="2"/>
            <w:vAlign w:val="center"/>
          </w:tcPr>
          <w:p>
            <w:pPr>
              <w:numPr>
                <w:ilvl w:val="0"/>
                <w:numId w:val="26"/>
              </w:numPr>
              <w:ind w:left="40" w:leftChars="19" w:firstLine="141" w:firstLineChars="59"/>
              <w:jc w:val="left"/>
              <w:rPr>
                <w:rFonts w:hint="eastAsia" w:ascii="宋体" w:hAnsi="宋体" w:eastAsia="宋体" w:cs="宋体"/>
                <w:color w:val="000000"/>
                <w:sz w:val="24"/>
                <w:szCs w:val="24"/>
              </w:rPr>
            </w:pPr>
            <w:bookmarkStart w:id="50" w:name="OLE_LINK45"/>
            <w:bookmarkStart w:id="51" w:name="OLE_LINK46"/>
            <w:r>
              <w:rPr>
                <w:rFonts w:hint="eastAsia" w:ascii="宋体" w:hAnsi="宋体" w:eastAsia="宋体" w:cs="宋体"/>
                <w:color w:val="000000"/>
                <w:sz w:val="24"/>
                <w:szCs w:val="24"/>
              </w:rPr>
              <w:t>采用镀锌托盘式桥架。</w:t>
            </w:r>
          </w:p>
          <w:bookmarkEnd w:id="50"/>
          <w:bookmarkEnd w:id="51"/>
          <w:p>
            <w:pPr>
              <w:numPr>
                <w:ilvl w:val="0"/>
                <w:numId w:val="26"/>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桥架敷设时，要充分考虑电机或其他设备与桥架之间的距离，保证设备的维修空间。</w:t>
            </w:r>
          </w:p>
          <w:p>
            <w:pPr>
              <w:numPr>
                <w:ilvl w:val="0"/>
                <w:numId w:val="26"/>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桥架盖板与槽体间固定方式使用卡扣式固定。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电能表</w:t>
            </w:r>
          </w:p>
        </w:tc>
        <w:tc>
          <w:tcPr>
            <w:tcW w:w="7655" w:type="dxa"/>
            <w:gridSpan w:val="2"/>
            <w:vAlign w:val="top"/>
          </w:tcPr>
          <w:p>
            <w:pPr>
              <w:numPr>
                <w:ilvl w:val="0"/>
                <w:numId w:val="27"/>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要求在配电柜入口设置多功能电能表，安装于主开关上口，可以检测相电压、线电压、电流、功率、功率因数等参数。</w:t>
            </w:r>
          </w:p>
          <w:p>
            <w:pPr>
              <w:numPr>
                <w:ilvl w:val="0"/>
                <w:numId w:val="27"/>
              </w:numPr>
              <w:ind w:left="40" w:leftChars="19" w:firstLine="141" w:firstLineChars="59"/>
              <w:jc w:val="left"/>
              <w:rPr>
                <w:rFonts w:hint="eastAsia" w:ascii="宋体" w:hAnsi="宋体" w:eastAsia="宋体" w:cs="宋体"/>
                <w:color w:val="000000"/>
                <w:sz w:val="24"/>
                <w:szCs w:val="24"/>
              </w:rPr>
            </w:pPr>
            <w:r>
              <w:rPr>
                <w:rFonts w:hint="eastAsia" w:ascii="宋体" w:hAnsi="宋体" w:eastAsia="宋体" w:cs="宋体"/>
                <w:color w:val="000000"/>
                <w:sz w:val="24"/>
                <w:szCs w:val="24"/>
              </w:rPr>
              <w:t>测量精度：0.5级。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hint="eastAsia" w:ascii="宋体" w:hAnsi="宋体" w:eastAsia="宋体" w:cs="宋体"/>
                <w:color w:val="000000"/>
                <w:sz w:val="24"/>
                <w:szCs w:val="24"/>
              </w:rPr>
            </w:pPr>
            <w:r>
              <w:rPr>
                <w:rFonts w:hint="eastAsia" w:ascii="宋体" w:hAnsi="宋体" w:eastAsia="宋体" w:cs="宋体"/>
                <w:color w:val="000000"/>
                <w:sz w:val="24"/>
                <w:szCs w:val="24"/>
              </w:rPr>
              <w:t>其它技术要求</w:t>
            </w:r>
          </w:p>
        </w:tc>
        <w:tc>
          <w:tcPr>
            <w:tcW w:w="7655" w:type="dxa"/>
            <w:gridSpan w:val="2"/>
            <w:vAlign w:val="center"/>
          </w:tcPr>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总开关必须具有过电流及电磁保护功能。</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电气设计、安全等级及施工需满足相关标准。</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输送设备双侧均需配置张紧和过载保护检测行程开关。</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设备所有交接位置必须充分考虑转接安全问题，均须配置交接完成检测元器件，确认交接过程的安全可靠。</w:t>
            </w:r>
          </w:p>
          <w:p>
            <w:pPr>
              <w:ind w:left="40" w:leftChars="19" w:firstLine="141" w:firstLineChars="59"/>
              <w:rPr>
                <w:rFonts w:hint="eastAsia" w:ascii="宋体" w:hAnsi="宋体" w:eastAsia="宋体" w:cs="宋体"/>
                <w:color w:val="000000"/>
                <w:sz w:val="24"/>
                <w:szCs w:val="24"/>
              </w:rPr>
            </w:pPr>
            <w:bookmarkStart w:id="52" w:name="OLE_LINK44"/>
            <w:bookmarkStart w:id="53" w:name="OLE_LINK43"/>
            <w:r>
              <w:rPr>
                <w:rFonts w:hint="eastAsia" w:ascii="宋体" w:hAnsi="宋体" w:eastAsia="宋体" w:cs="宋体"/>
                <w:color w:val="000000"/>
                <w:sz w:val="24"/>
                <w:szCs w:val="24"/>
              </w:rPr>
              <w:t>系统主站和各从站均应预留10%I/O点，以备功能扩展之用。</w:t>
            </w:r>
          </w:p>
          <w:bookmarkEnd w:id="52"/>
          <w:bookmarkEnd w:id="53"/>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快接插头需要有防错插功能。</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移动部件与固定部件连接电缆采用柔性电缆。</w:t>
            </w:r>
          </w:p>
          <w:p>
            <w:pPr>
              <w:ind w:left="40" w:leftChars="19" w:firstLine="141" w:firstLineChars="59"/>
              <w:rPr>
                <w:rFonts w:hint="eastAsia" w:ascii="宋体" w:hAnsi="宋体" w:eastAsia="宋体" w:cs="宋体"/>
                <w:color w:val="000000"/>
                <w:sz w:val="24"/>
                <w:szCs w:val="24"/>
              </w:rPr>
            </w:pPr>
            <w:r>
              <w:rPr>
                <w:rFonts w:hint="eastAsia" w:ascii="宋体" w:hAnsi="宋体" w:eastAsia="宋体" w:cs="宋体"/>
                <w:color w:val="000000"/>
                <w:sz w:val="24"/>
                <w:szCs w:val="24"/>
              </w:rPr>
              <w:t>编码器线缆采用与编码器配套的专用电缆。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设备外观颜色</w:t>
            </w:r>
          </w:p>
        </w:tc>
        <w:tc>
          <w:tcPr>
            <w:tcW w:w="7655" w:type="dxa"/>
            <w:gridSpan w:val="2"/>
            <w:vAlign w:val="center"/>
          </w:tcPr>
          <w:p>
            <w:pPr>
              <w:ind w:left="40" w:leftChars="19" w:firstLine="141" w:firstLineChars="59"/>
              <w:rPr>
                <w:rFonts w:hint="default" w:ascii="宋体" w:hAnsi="宋体" w:eastAsia="宋体" w:cs="宋体"/>
                <w:color w:val="000000"/>
                <w:sz w:val="24"/>
                <w:szCs w:val="24"/>
                <w:lang w:val="en-US"/>
              </w:rPr>
            </w:pPr>
            <w:r>
              <w:rPr>
                <w:rFonts w:hint="eastAsia" w:ascii="宋体" w:hAnsi="宋体" w:eastAsia="宋体" w:cs="宋体"/>
                <w:color w:val="000000"/>
                <w:sz w:val="24"/>
                <w:szCs w:val="24"/>
                <w:highlight w:val="yellow"/>
                <w:lang w:val="en-US" w:eastAsia="zh-CN"/>
              </w:rPr>
              <w:t>设备外观颜色应执行中国重型汽车集团有限公司企业标准。（标准另见附件17）</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3.2电控工程界面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lang w:val="en-US" w:eastAsia="zh-CN"/>
        </w:rPr>
      </w:pPr>
      <w:bookmarkStart w:id="54" w:name="_Toc501515354"/>
      <w:bookmarkStart w:id="55" w:name="_Toc484464282"/>
      <w:bookmarkStart w:id="56" w:name="_Toc484464467"/>
      <w:bookmarkStart w:id="57" w:name="_Toc501353971"/>
      <w:bookmarkStart w:id="58" w:name="_Toc501516535"/>
      <w:r>
        <w:rPr>
          <w:rFonts w:hint="eastAsia" w:ascii="宋体" w:hAnsi="宋体" w:eastAsia="宋体" w:cs="宋体"/>
          <w:b w:val="0"/>
          <w:bCs/>
          <w:sz w:val="24"/>
          <w:szCs w:val="24"/>
          <w:lang w:val="en-US" w:eastAsia="zh-CN"/>
        </w:rPr>
        <w:t>3.2.1买方负责事项</w:t>
      </w:r>
      <w:bookmarkEnd w:id="54"/>
      <w:bookmarkEnd w:id="55"/>
      <w:bookmarkEnd w:id="56"/>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买方负责将符合质量及容量要求的供电电源(详见公用部分描述)，设备本体控制柜接线铜排和铜排以下整个电控系统均属卖方范围。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3.2.2卖方负责事项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（1）控制设备的采购、制作，传感器、行程开关等电气元件和桥架、支架、管件等电气材料的采购、供应和整个电控系统的施工、调试均属卖方范围。并负责提供设备验收、培训、维修等所需的各项技术资料。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（2）电气布线、元器件等所有材料均以现场实际应用为准，如现场出现材料不足，卖方自行负责增加，以满足设备功能需求。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rPr>
        <w:t>其他负责事项</w:t>
      </w:r>
    </w:p>
    <w:p>
      <w:pPr>
        <w:numPr>
          <w:ilvl w:val="0"/>
          <w:numId w:val="28"/>
        </w:numPr>
        <w:spacing w:line="360" w:lineRule="auto"/>
        <w:ind w:left="425" w:firstLine="440"/>
        <w:jc w:val="left"/>
        <w:rPr>
          <w:rFonts w:hint="eastAsia" w:ascii="宋体" w:hAnsi="宋体" w:eastAsia="宋体" w:cs="宋体"/>
          <w:bCs/>
          <w:sz w:val="24"/>
          <w:szCs w:val="24"/>
        </w:rPr>
      </w:pPr>
      <w:r>
        <w:rPr>
          <w:rFonts w:hint="eastAsia" w:ascii="宋体" w:hAnsi="宋体" w:eastAsia="宋体" w:cs="宋体"/>
          <w:bCs/>
          <w:sz w:val="24"/>
          <w:szCs w:val="24"/>
        </w:rPr>
        <w:t>项目管理要求：</w:t>
      </w:r>
    </w:p>
    <w:p>
      <w:pPr>
        <w:numPr>
          <w:ilvl w:val="0"/>
          <w:numId w:val="28"/>
        </w:numPr>
        <w:spacing w:line="360" w:lineRule="auto"/>
        <w:ind w:left="425" w:firstLine="440"/>
        <w:jc w:val="left"/>
        <w:rPr>
          <w:rFonts w:hint="eastAsia" w:ascii="宋体" w:hAnsi="宋体" w:eastAsia="宋体" w:cs="宋体"/>
          <w:bCs/>
          <w:sz w:val="24"/>
          <w:szCs w:val="24"/>
        </w:rPr>
      </w:pPr>
      <w:r>
        <w:rPr>
          <w:rFonts w:hint="eastAsia" w:ascii="宋体" w:hAnsi="宋体" w:eastAsia="宋体" w:cs="宋体"/>
          <w:bCs/>
          <w:sz w:val="24"/>
          <w:szCs w:val="24"/>
        </w:rPr>
        <w:t>包装运输要求：设备的包装必须满足运输要求，以确保货物安全无损运抵</w:t>
      </w:r>
      <w:r>
        <w:rPr>
          <w:rFonts w:hint="eastAsia" w:ascii="宋体" w:hAnsi="宋体" w:eastAsia="宋体" w:cs="宋体"/>
          <w:bCs/>
          <w:sz w:val="24"/>
          <w:szCs w:val="24"/>
          <w:lang w:eastAsia="zh-CN"/>
        </w:rPr>
        <w:t>买方</w:t>
      </w:r>
      <w:r>
        <w:rPr>
          <w:rFonts w:hint="eastAsia" w:ascii="宋体" w:hAnsi="宋体" w:eastAsia="宋体" w:cs="宋体"/>
          <w:bCs/>
          <w:sz w:val="24"/>
          <w:szCs w:val="24"/>
        </w:rPr>
        <w:t>现场。由于包装不善所引起的货物锈蚀、损坏等任何损失均由</w:t>
      </w:r>
      <w:r>
        <w:rPr>
          <w:rFonts w:hint="eastAsia" w:ascii="宋体" w:hAnsi="宋体" w:eastAsia="宋体" w:cs="宋体"/>
          <w:bCs/>
          <w:sz w:val="24"/>
          <w:szCs w:val="24"/>
          <w:lang w:eastAsia="zh-CN"/>
        </w:rPr>
        <w:t>卖方</w:t>
      </w:r>
      <w:r>
        <w:rPr>
          <w:rFonts w:hint="eastAsia" w:ascii="宋体" w:hAnsi="宋体" w:eastAsia="宋体" w:cs="宋体"/>
          <w:bCs/>
          <w:sz w:val="24"/>
          <w:szCs w:val="24"/>
        </w:rPr>
        <w:t>承担。设备包装运输采用整车运输，不允许散件发货。</w:t>
      </w:r>
    </w:p>
    <w:p>
      <w:pPr>
        <w:numPr>
          <w:ilvl w:val="0"/>
          <w:numId w:val="28"/>
        </w:numPr>
        <w:spacing w:line="360" w:lineRule="auto"/>
        <w:ind w:left="425" w:firstLine="440"/>
        <w:jc w:val="left"/>
        <w:rPr>
          <w:rFonts w:hint="eastAsia" w:ascii="宋体" w:hAnsi="宋体" w:eastAsia="宋体" w:cs="宋体"/>
          <w:bCs/>
          <w:sz w:val="24"/>
          <w:szCs w:val="24"/>
        </w:rPr>
      </w:pPr>
      <w:r>
        <w:rPr>
          <w:rFonts w:hint="eastAsia" w:ascii="宋体" w:hAnsi="宋体" w:eastAsia="宋体" w:cs="宋体"/>
          <w:bCs/>
          <w:sz w:val="24"/>
          <w:szCs w:val="24"/>
        </w:rPr>
        <w:t>施工安装人员要求：施工人数须满足电控施工需求，如果无法满足，</w:t>
      </w:r>
      <w:r>
        <w:rPr>
          <w:rFonts w:hint="eastAsia" w:ascii="宋体" w:hAnsi="宋体" w:eastAsia="宋体" w:cs="宋体"/>
          <w:bCs/>
          <w:sz w:val="24"/>
          <w:szCs w:val="24"/>
          <w:lang w:eastAsia="zh-CN"/>
        </w:rPr>
        <w:t>卖方</w:t>
      </w:r>
      <w:r>
        <w:rPr>
          <w:rFonts w:hint="eastAsia" w:ascii="宋体" w:hAnsi="宋体" w:eastAsia="宋体" w:cs="宋体"/>
          <w:bCs/>
          <w:sz w:val="24"/>
          <w:szCs w:val="24"/>
        </w:rPr>
        <w:t>须无条件增加。</w:t>
      </w:r>
    </w:p>
    <w:p>
      <w:pPr>
        <w:numPr>
          <w:ilvl w:val="0"/>
          <w:numId w:val="28"/>
        </w:numPr>
        <w:spacing w:line="360" w:lineRule="auto"/>
        <w:ind w:left="425" w:firstLine="440"/>
        <w:jc w:val="left"/>
        <w:rPr>
          <w:rFonts w:hint="eastAsia" w:ascii="宋体" w:hAnsi="宋体" w:eastAsia="宋体" w:cs="宋体"/>
          <w:bCs/>
          <w:sz w:val="24"/>
          <w:szCs w:val="24"/>
        </w:rPr>
      </w:pPr>
      <w:r>
        <w:rPr>
          <w:rFonts w:hint="eastAsia" w:ascii="宋体" w:hAnsi="宋体" w:eastAsia="宋体" w:cs="宋体"/>
          <w:bCs/>
          <w:sz w:val="24"/>
          <w:szCs w:val="24"/>
        </w:rPr>
        <w:t>调试人员要求：调试人员须满足</w:t>
      </w:r>
      <w:r>
        <w:rPr>
          <w:rFonts w:hint="eastAsia" w:ascii="宋体" w:hAnsi="宋体" w:eastAsia="宋体" w:cs="宋体"/>
          <w:bCs/>
          <w:sz w:val="24"/>
          <w:szCs w:val="24"/>
          <w:lang w:eastAsia="zh-CN"/>
        </w:rPr>
        <w:t>招标人</w:t>
      </w:r>
      <w:r>
        <w:rPr>
          <w:rFonts w:hint="eastAsia" w:ascii="宋体" w:hAnsi="宋体" w:eastAsia="宋体" w:cs="宋体"/>
          <w:bCs/>
          <w:sz w:val="24"/>
          <w:szCs w:val="24"/>
        </w:rPr>
        <w:t>调试需求。</w:t>
      </w:r>
    </w:p>
    <w:p>
      <w:pPr>
        <w:pStyle w:val="125"/>
        <w:ind w:firstLine="0" w:firstLineChars="0"/>
        <w:rPr>
          <w:rFonts w:hint="eastAsia" w:ascii="宋体" w:hAnsi="宋体" w:eastAsia="宋体" w:cs="Times New Roman"/>
          <w:bCs/>
          <w:sz w:val="24"/>
          <w:szCs w:val="24"/>
          <w:lang w:val="en-US" w:eastAsia="zh-CN"/>
        </w:rPr>
      </w:pPr>
      <w:r>
        <w:rPr>
          <w:rFonts w:hint="eastAsia" w:ascii="宋体" w:hAnsi="宋体" w:eastAsia="宋体" w:cs="宋体"/>
          <w:b/>
          <w:sz w:val="24"/>
          <w:szCs w:val="24"/>
        </w:rPr>
        <w:t>※本招标文件中信息化条款中若有冲突部分，以本部分要求为准。</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4.图纸会签</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4.1.合同生效后7天内，卖方以书面形式通知招标人进行图纸会签，招标人仅对技术规格参数、主要技术参数、进口件和国产配套件进行确认。图纸的总体设计质量由卖方负全责。图纸会签后7天内，卖方向招标人提供安装基础图两份。图纸会签完毕提供整线设备的装机容量、耗气量和对冷却水的具体要求。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4.2外购件清单具体型号和数量以图纸会签后的为准。</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5.其他要求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.1该设备必须满足中国GB相关法规、标准中规定的技术要求。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.2该套设备所有机械部件、仪器、仪表显示及数据处理结果的计量单位采用国际单位制（SI）。</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.3该套设备所提供的各子系统电力设备（包括电网反馈系统）应满足我国相关电力法规要求。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该系统应是一套全新的、未使用过的、功能完整、可正常运转的完整设备，包括没有提到的每个详细构件或特殊部件和特殊之处。在机器开始生产初期，应提供完整的结构图及联接图以资证明，但投标方仍应负有技术上的责任。如能提供其它标准形式的产品，与现有的规格不同，但能符合用户的功能、精度和操作可靠性的要求，也可以提供此设备作为选择，并提出理由、原因并加以解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所有部件均应是合格的名牌产品，并附有清单。清单应依次说明其名称、数量、型号、原产地及生产厂家等内容。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对于属于整套设备运行所必须的部件，即使文件未列出或列出数量不足，投标方仍需在执行合同时无偿补足。</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凡投标方对招标文件因不清晰而猜测、判断、理会所发生的偏离或不符合，所造成一切责任或损失由投标方自行承担。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投标方所提供的货物应符合技术规格和要求，如果投标方不能响应投标文件技术规格和要求的某项技术规格，投标方应在规格、技术参数偏离表中说明偏离情况；如果投标方不提供规格、技术参数偏离表说明偏离情况，则将认为提供的货物完全符合本招标文件的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sz w:val="24"/>
          <w:szCs w:val="24"/>
        </w:rPr>
        <w:t>投标方根据系统的需要，应至少提供设备两年质保期的备件，需要提供具体名称、型号和单价，并提供一套设备维修工具。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10</w:t>
      </w:r>
      <w:r>
        <w:rPr>
          <w:rFonts w:hint="eastAsia" w:ascii="宋体" w:hAnsi="宋体" w:eastAsia="宋体" w:cs="宋体"/>
          <w:sz w:val="24"/>
          <w:szCs w:val="24"/>
        </w:rPr>
        <w:t>本项目属交钥匙工程。</w:t>
      </w:r>
    </w:p>
    <w:p>
      <w:pPr>
        <w:pStyle w:val="117"/>
        <w:spacing w:line="360" w:lineRule="auto"/>
        <w:outlineLvl w:val="2"/>
        <w:rPr>
          <w:rFonts w:hint="eastAsia" w:ascii="宋体" w:hAnsi="宋体" w:cs="宋体"/>
          <w:color w:val="auto"/>
        </w:rPr>
      </w:pPr>
      <w:bookmarkStart w:id="59" w:name="_Toc169605881"/>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5"/>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235"/>
        <w:gridCol w:w="2126"/>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spacing w:line="360" w:lineRule="auto"/>
              <w:jc w:val="center"/>
              <w:rPr>
                <w:rFonts w:ascii="宋体" w:hAnsi="宋体" w:eastAsia="宋体" w:cs="Times New Roman"/>
                <w:b/>
                <w:szCs w:val="20"/>
              </w:rPr>
            </w:pPr>
            <w:r>
              <w:rPr>
                <w:rFonts w:hint="eastAsia" w:ascii="宋体" w:hAnsi="宋体" w:eastAsia="宋体" w:cs="Times New Roman"/>
                <w:b/>
                <w:szCs w:val="20"/>
              </w:rPr>
              <w:t>序号</w:t>
            </w:r>
          </w:p>
        </w:tc>
        <w:tc>
          <w:tcPr>
            <w:tcW w:w="5235" w:type="dxa"/>
            <w:vAlign w:val="center"/>
          </w:tcPr>
          <w:p>
            <w:pPr>
              <w:spacing w:line="360" w:lineRule="auto"/>
              <w:jc w:val="center"/>
              <w:rPr>
                <w:rFonts w:ascii="宋体" w:hAnsi="宋体" w:eastAsia="宋体" w:cs="Times New Roman"/>
                <w:b/>
                <w:szCs w:val="20"/>
              </w:rPr>
            </w:pPr>
            <w:r>
              <w:rPr>
                <w:rFonts w:hint="eastAsia" w:ascii="宋体" w:hAnsi="宋体" w:eastAsia="宋体" w:cs="Times New Roman"/>
                <w:b/>
                <w:szCs w:val="20"/>
              </w:rPr>
              <w:t>标准名称</w:t>
            </w:r>
          </w:p>
        </w:tc>
        <w:tc>
          <w:tcPr>
            <w:tcW w:w="2126" w:type="dxa"/>
            <w:vAlign w:val="center"/>
          </w:tcPr>
          <w:p>
            <w:pPr>
              <w:spacing w:line="360" w:lineRule="auto"/>
              <w:jc w:val="center"/>
              <w:rPr>
                <w:rFonts w:ascii="宋体" w:hAnsi="宋体" w:eastAsia="宋体" w:cs="Times New Roman"/>
                <w:b/>
                <w:szCs w:val="20"/>
              </w:rPr>
            </w:pPr>
            <w:r>
              <w:rPr>
                <w:rFonts w:hint="eastAsia" w:ascii="宋体" w:hAnsi="宋体" w:eastAsia="宋体" w:cs="Times New Roman"/>
                <w:b/>
                <w:szCs w:val="20"/>
              </w:rPr>
              <w:t>标准编号</w:t>
            </w:r>
          </w:p>
        </w:tc>
        <w:tc>
          <w:tcPr>
            <w:tcW w:w="1436" w:type="dxa"/>
            <w:vAlign w:val="center"/>
          </w:tcPr>
          <w:p>
            <w:pPr>
              <w:spacing w:line="360" w:lineRule="auto"/>
              <w:jc w:val="center"/>
              <w:rPr>
                <w:rFonts w:ascii="宋体" w:hAnsi="宋体" w:eastAsia="宋体" w:cs="Times New Roman"/>
                <w:b/>
                <w:szCs w:val="20"/>
              </w:rPr>
            </w:pPr>
            <w:r>
              <w:rPr>
                <w:rFonts w:hint="eastAsia" w:ascii="宋体" w:hAnsi="宋体" w:eastAsia="宋体" w:cs="Times New Roman"/>
                <w:b/>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Pr>
          <w:p>
            <w:pPr>
              <w:spacing w:line="360" w:lineRule="auto"/>
              <w:jc w:val="center"/>
              <w:rPr>
                <w:rFonts w:ascii="宋体" w:hAnsi="宋体" w:eastAsia="宋体" w:cs="Times New Roman"/>
                <w:szCs w:val="20"/>
              </w:rPr>
            </w:pPr>
            <w:r>
              <w:rPr>
                <w:rFonts w:hint="eastAsia" w:ascii="Times New Roman" w:hAnsi="Times New Roman" w:eastAsia="宋体" w:cs="Times New Roman"/>
                <w:szCs w:val="20"/>
              </w:rPr>
              <w:t>1</w:t>
            </w:r>
          </w:p>
        </w:tc>
        <w:tc>
          <w:tcPr>
            <w:tcW w:w="5235" w:type="dxa"/>
            <w:vAlign w:val="center"/>
          </w:tcPr>
          <w:p>
            <w:pPr>
              <w:spacing w:line="25" w:lineRule="atLeast"/>
              <w:jc w:val="center"/>
              <w:rPr>
                <w:rFonts w:hint="eastAsia" w:ascii="宋体" w:hAnsi="宋体" w:eastAsia="宋体" w:cs="Times New Roman"/>
                <w:szCs w:val="20"/>
                <w:lang w:eastAsia="zh-CN"/>
              </w:rPr>
            </w:pPr>
            <w:r>
              <w:rPr>
                <w:rFonts w:hint="eastAsia" w:ascii="宋体" w:hAnsi="宋体" w:eastAsia="宋体" w:cs="宋体"/>
                <w:sz w:val="24"/>
                <w:szCs w:val="24"/>
                <w:highlight w:val="none"/>
              </w:rPr>
              <w:t>《电气装置安装工程电缆线路施工及验收规范》</w:t>
            </w:r>
          </w:p>
        </w:tc>
        <w:tc>
          <w:tcPr>
            <w:tcW w:w="2126" w:type="dxa"/>
            <w:vAlign w:val="center"/>
          </w:tcPr>
          <w:p>
            <w:pPr>
              <w:spacing w:line="25" w:lineRule="atLeast"/>
              <w:jc w:val="center"/>
              <w:rPr>
                <w:rFonts w:ascii="Times New Roman" w:hAnsi="Times New Roman" w:eastAsia="宋体" w:cs="Times New Roman"/>
                <w:kern w:val="20"/>
              </w:rPr>
            </w:pPr>
            <w:r>
              <w:rPr>
                <w:rFonts w:hint="eastAsia" w:ascii="宋体" w:hAnsi="宋体" w:eastAsia="宋体" w:cs="宋体"/>
                <w:color w:val="auto"/>
                <w:sz w:val="24"/>
                <w:szCs w:val="24"/>
                <w:highlight w:val="none"/>
              </w:rPr>
              <w:t>GB50168-</w:t>
            </w:r>
            <w:r>
              <w:rPr>
                <w:rFonts w:hint="eastAsia" w:ascii="宋体" w:hAnsi="宋体" w:eastAsia="宋体" w:cs="宋体"/>
                <w:color w:val="auto"/>
                <w:sz w:val="24"/>
                <w:szCs w:val="24"/>
                <w:highlight w:val="none"/>
                <w:lang w:val="en-US" w:eastAsia="zh-CN"/>
              </w:rPr>
              <w:t>2018</w:t>
            </w:r>
          </w:p>
        </w:tc>
        <w:tc>
          <w:tcPr>
            <w:tcW w:w="1436" w:type="dxa"/>
            <w:vAlign w:val="center"/>
          </w:tcPr>
          <w:p>
            <w:pPr>
              <w:spacing w:line="25" w:lineRule="atLeast"/>
              <w:jc w:val="center"/>
              <w:rPr>
                <w:rFonts w:ascii="宋体" w:hAnsi="宋体" w:eastAsia="宋体"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Pr>
          <w:p>
            <w:pPr>
              <w:spacing w:line="360" w:lineRule="auto"/>
              <w:jc w:val="center"/>
              <w:rPr>
                <w:rFonts w:ascii="宋体" w:hAnsi="宋体" w:eastAsia="宋体" w:cs="Times New Roman"/>
                <w:szCs w:val="20"/>
              </w:rPr>
            </w:pPr>
            <w:r>
              <w:rPr>
                <w:rFonts w:hint="eastAsia" w:ascii="Times New Roman" w:hAnsi="Times New Roman" w:eastAsia="宋体" w:cs="Times New Roman"/>
                <w:szCs w:val="20"/>
              </w:rPr>
              <w:t>2</w:t>
            </w:r>
          </w:p>
        </w:tc>
        <w:tc>
          <w:tcPr>
            <w:tcW w:w="5235" w:type="dxa"/>
            <w:vAlign w:val="center"/>
          </w:tcPr>
          <w:p>
            <w:pPr>
              <w:spacing w:line="25" w:lineRule="atLeast"/>
              <w:jc w:val="center"/>
              <w:rPr>
                <w:rFonts w:ascii="宋体" w:hAnsi="宋体" w:eastAsia="宋体" w:cs="Times New Roman"/>
                <w:szCs w:val="20"/>
              </w:rPr>
            </w:pPr>
            <w:r>
              <w:rPr>
                <w:rFonts w:hint="eastAsia" w:ascii="宋体" w:hAnsi="宋体" w:eastAsia="宋体" w:cs="宋体"/>
                <w:color w:val="auto"/>
                <w:sz w:val="24"/>
                <w:szCs w:val="24"/>
                <w:highlight w:val="none"/>
              </w:rPr>
              <w:t>《电气装置安装工程接地装置施工及验收规范》</w:t>
            </w:r>
          </w:p>
        </w:tc>
        <w:tc>
          <w:tcPr>
            <w:tcW w:w="2126" w:type="dxa"/>
            <w:vAlign w:val="center"/>
          </w:tcPr>
          <w:p>
            <w:pPr>
              <w:spacing w:line="25" w:lineRule="atLeast"/>
              <w:jc w:val="center"/>
              <w:rPr>
                <w:rFonts w:ascii="Times New Roman" w:hAnsi="Times New Roman" w:eastAsia="宋体" w:cs="Times New Roman"/>
                <w:kern w:val="20"/>
              </w:rPr>
            </w:pPr>
            <w:r>
              <w:rPr>
                <w:rFonts w:hint="eastAsia" w:ascii="宋体" w:hAnsi="宋体" w:eastAsia="宋体" w:cs="宋体"/>
                <w:color w:val="auto"/>
                <w:sz w:val="24"/>
                <w:szCs w:val="24"/>
                <w:highlight w:val="none"/>
              </w:rPr>
              <w:t>GB50169-</w:t>
            </w:r>
            <w:r>
              <w:rPr>
                <w:rFonts w:hint="eastAsia" w:ascii="宋体" w:hAnsi="宋体" w:eastAsia="宋体" w:cs="宋体"/>
                <w:color w:val="auto"/>
                <w:sz w:val="24"/>
                <w:szCs w:val="24"/>
                <w:highlight w:val="none"/>
                <w:lang w:val="en-US" w:eastAsia="zh-CN"/>
              </w:rPr>
              <w:t>2016</w:t>
            </w:r>
          </w:p>
        </w:tc>
        <w:tc>
          <w:tcPr>
            <w:tcW w:w="1436" w:type="dxa"/>
            <w:vAlign w:val="center"/>
          </w:tcPr>
          <w:p>
            <w:pPr>
              <w:spacing w:line="25" w:lineRule="atLeast"/>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Pr>
          <w:p>
            <w:pPr>
              <w:spacing w:line="360" w:lineRule="auto"/>
              <w:jc w:val="center"/>
              <w:rPr>
                <w:rFonts w:ascii="宋体" w:hAnsi="宋体" w:eastAsia="宋体" w:cs="Times New Roman"/>
                <w:szCs w:val="20"/>
              </w:rPr>
            </w:pPr>
            <w:r>
              <w:rPr>
                <w:rFonts w:hint="eastAsia" w:ascii="Times New Roman" w:hAnsi="Times New Roman" w:eastAsia="宋体" w:cs="Times New Roman"/>
                <w:szCs w:val="20"/>
              </w:rPr>
              <w:t>3</w:t>
            </w:r>
          </w:p>
        </w:tc>
        <w:tc>
          <w:tcPr>
            <w:tcW w:w="5235" w:type="dxa"/>
            <w:vAlign w:val="center"/>
          </w:tcPr>
          <w:p>
            <w:pPr>
              <w:jc w:val="left"/>
              <w:rPr>
                <w:rFonts w:ascii="宋体" w:hAnsi="宋体" w:eastAsia="宋体" w:cs="Times New Roman"/>
                <w:szCs w:val="20"/>
              </w:rPr>
            </w:pPr>
            <w:r>
              <w:rPr>
                <w:rFonts w:hint="eastAsia" w:ascii="宋体" w:hAnsi="宋体" w:eastAsia="宋体" w:cs="宋体"/>
                <w:sz w:val="24"/>
                <w:szCs w:val="24"/>
                <w:highlight w:val="none"/>
              </w:rPr>
              <w:t>《电气装置安装工程旋转电机施工及验收规范》</w:t>
            </w:r>
          </w:p>
        </w:tc>
        <w:tc>
          <w:tcPr>
            <w:tcW w:w="2126" w:type="dxa"/>
            <w:vAlign w:val="center"/>
          </w:tcPr>
          <w:p>
            <w:pPr>
              <w:spacing w:line="25" w:lineRule="atLeast"/>
              <w:jc w:val="center"/>
              <w:rPr>
                <w:rFonts w:ascii="Times New Roman" w:hAnsi="Times New Roman" w:eastAsia="宋体" w:cs="Times New Roman"/>
                <w:bCs/>
                <w:color w:val="C00000"/>
                <w:szCs w:val="21"/>
              </w:rPr>
            </w:pPr>
            <w:r>
              <w:rPr>
                <w:rFonts w:hint="eastAsia" w:ascii="宋体" w:hAnsi="宋体" w:eastAsia="宋体" w:cs="宋体"/>
                <w:color w:val="auto"/>
                <w:sz w:val="24"/>
                <w:szCs w:val="24"/>
                <w:highlight w:val="none"/>
              </w:rPr>
              <w:t>GB50170-</w:t>
            </w:r>
            <w:r>
              <w:rPr>
                <w:rFonts w:hint="eastAsia" w:ascii="宋体" w:hAnsi="宋体" w:eastAsia="宋体" w:cs="宋体"/>
                <w:color w:val="auto"/>
                <w:sz w:val="24"/>
                <w:szCs w:val="24"/>
                <w:highlight w:val="none"/>
                <w:lang w:val="en-US" w:eastAsia="zh-CN"/>
              </w:rPr>
              <w:t>2018</w:t>
            </w:r>
          </w:p>
        </w:tc>
        <w:tc>
          <w:tcPr>
            <w:tcW w:w="1436" w:type="dxa"/>
            <w:vAlign w:val="center"/>
          </w:tcPr>
          <w:p>
            <w:pPr>
              <w:spacing w:line="25" w:lineRule="atLeast"/>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Pr>
          <w:p>
            <w:pPr>
              <w:spacing w:line="360" w:lineRule="auto"/>
              <w:jc w:val="center"/>
              <w:rPr>
                <w:rFonts w:hint="eastAsia" w:ascii="宋体" w:hAnsi="宋体" w:eastAsia="宋体" w:cs="Times New Roman"/>
                <w:szCs w:val="20"/>
                <w:lang w:eastAsia="zh-CN"/>
              </w:rPr>
            </w:pPr>
            <w:r>
              <w:rPr>
                <w:rFonts w:hint="eastAsia" w:ascii="Times New Roman" w:hAnsi="Times New Roman" w:eastAsia="宋体" w:cs="Times New Roman"/>
                <w:szCs w:val="20"/>
                <w:lang w:eastAsia="zh-CN"/>
              </w:rPr>
              <w:t>6</w:t>
            </w:r>
          </w:p>
        </w:tc>
        <w:tc>
          <w:tcPr>
            <w:tcW w:w="5235" w:type="dxa"/>
            <w:vAlign w:val="center"/>
          </w:tcPr>
          <w:p>
            <w:pPr>
              <w:spacing w:line="25" w:lineRule="atLeast"/>
              <w:jc w:val="center"/>
              <w:rPr>
                <w:rFonts w:ascii="宋体" w:hAnsi="宋体" w:eastAsia="宋体" w:cs="Times New Roman"/>
                <w:szCs w:val="21"/>
              </w:rPr>
            </w:pPr>
            <w:r>
              <w:rPr>
                <w:rFonts w:hint="eastAsia" w:ascii="宋体" w:hAnsi="宋体" w:eastAsia="宋体" w:cs="宋体"/>
                <w:sz w:val="24"/>
                <w:szCs w:val="24"/>
                <w:highlight w:val="none"/>
              </w:rPr>
              <w:t>《电气装置安装工程低压电器施工及验收规范》</w:t>
            </w:r>
          </w:p>
        </w:tc>
        <w:tc>
          <w:tcPr>
            <w:tcW w:w="2126" w:type="dxa"/>
            <w:vAlign w:val="center"/>
          </w:tcPr>
          <w:p>
            <w:pPr>
              <w:spacing w:line="25" w:lineRule="atLeast"/>
              <w:jc w:val="center"/>
              <w:rPr>
                <w:rFonts w:ascii="宋体" w:hAnsi="宋体" w:eastAsia="宋体" w:cs="宋体"/>
                <w:bCs/>
                <w:szCs w:val="21"/>
              </w:rPr>
            </w:pPr>
            <w:r>
              <w:rPr>
                <w:rFonts w:hint="eastAsia" w:ascii="宋体" w:hAnsi="宋体" w:eastAsia="宋体" w:cs="宋体"/>
                <w:color w:val="auto"/>
                <w:sz w:val="24"/>
                <w:szCs w:val="24"/>
                <w:highlight w:val="none"/>
              </w:rPr>
              <w:t>GB50254-2014</w:t>
            </w:r>
          </w:p>
        </w:tc>
        <w:tc>
          <w:tcPr>
            <w:tcW w:w="1436" w:type="dxa"/>
            <w:vAlign w:val="center"/>
          </w:tcPr>
          <w:p>
            <w:pPr>
              <w:spacing w:line="25" w:lineRule="atLeast"/>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Pr>
          <w:p>
            <w:pPr>
              <w:spacing w:line="360" w:lineRule="auto"/>
              <w:jc w:val="center"/>
              <w:rPr>
                <w:rFonts w:ascii="宋体" w:hAnsi="宋体" w:eastAsia="宋体" w:cs="Times New Roman"/>
                <w:szCs w:val="20"/>
              </w:rPr>
            </w:pPr>
            <w:r>
              <w:rPr>
                <w:rFonts w:hint="eastAsia" w:ascii="Times New Roman" w:hAnsi="Times New Roman" w:eastAsia="宋体" w:cs="Times New Roman"/>
                <w:szCs w:val="20"/>
              </w:rPr>
              <w:t>5</w:t>
            </w:r>
          </w:p>
        </w:tc>
        <w:tc>
          <w:tcPr>
            <w:tcW w:w="5235" w:type="dxa"/>
            <w:vAlign w:val="center"/>
          </w:tcPr>
          <w:p>
            <w:pPr>
              <w:spacing w:line="25" w:lineRule="atLeast"/>
              <w:jc w:val="center"/>
              <w:rPr>
                <w:rFonts w:ascii="宋体" w:hAnsi="宋体" w:eastAsia="宋体" w:cs="宋体"/>
                <w:bCs/>
                <w:szCs w:val="21"/>
              </w:rPr>
            </w:pPr>
            <w:r>
              <w:rPr>
                <w:rFonts w:hint="eastAsia" w:ascii="宋体" w:hAnsi="宋体" w:eastAsia="宋体" w:cs="宋体"/>
                <w:sz w:val="24"/>
                <w:szCs w:val="24"/>
              </w:rPr>
              <w:t>《建筑电气工程施工质量验收规范》</w:t>
            </w:r>
          </w:p>
        </w:tc>
        <w:tc>
          <w:tcPr>
            <w:tcW w:w="2126" w:type="dxa"/>
            <w:vAlign w:val="center"/>
          </w:tcPr>
          <w:p>
            <w:pPr>
              <w:spacing w:line="25" w:lineRule="atLeast"/>
              <w:jc w:val="center"/>
              <w:rPr>
                <w:rFonts w:ascii="宋体" w:hAnsi="宋体" w:eastAsia="宋体" w:cs="宋体"/>
                <w:bCs/>
                <w:szCs w:val="21"/>
              </w:rPr>
            </w:pPr>
            <w:r>
              <w:rPr>
                <w:rFonts w:hint="eastAsia" w:ascii="宋体" w:hAnsi="宋体" w:eastAsia="宋体" w:cs="宋体"/>
                <w:color w:val="auto"/>
                <w:sz w:val="24"/>
                <w:szCs w:val="24"/>
              </w:rPr>
              <w:t>GB50303-2015</w:t>
            </w:r>
          </w:p>
        </w:tc>
        <w:tc>
          <w:tcPr>
            <w:tcW w:w="1436" w:type="dxa"/>
            <w:vAlign w:val="center"/>
          </w:tcPr>
          <w:p>
            <w:pPr>
              <w:spacing w:line="25" w:lineRule="atLeast"/>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Pr>
          <w:p>
            <w:pPr>
              <w:spacing w:line="360" w:lineRule="auto"/>
              <w:jc w:val="center"/>
              <w:rPr>
                <w:rFonts w:ascii="宋体" w:hAnsi="宋体" w:eastAsia="宋体" w:cs="Times New Roman"/>
                <w:szCs w:val="20"/>
              </w:rPr>
            </w:pPr>
            <w:r>
              <w:rPr>
                <w:rFonts w:hint="eastAsia" w:ascii="Times New Roman" w:hAnsi="Times New Roman" w:eastAsia="宋体" w:cs="Times New Roman"/>
                <w:szCs w:val="20"/>
              </w:rPr>
              <w:t>6</w:t>
            </w:r>
          </w:p>
        </w:tc>
        <w:tc>
          <w:tcPr>
            <w:tcW w:w="5235" w:type="dxa"/>
            <w:vAlign w:val="center"/>
          </w:tcPr>
          <w:p>
            <w:pPr>
              <w:spacing w:line="25" w:lineRule="atLeast"/>
              <w:jc w:val="center"/>
              <w:rPr>
                <w:rFonts w:ascii="宋体" w:hAnsi="宋体" w:eastAsia="宋体" w:cs="宋体"/>
                <w:bCs/>
                <w:szCs w:val="21"/>
              </w:rPr>
            </w:pPr>
            <w:r>
              <w:rPr>
                <w:rFonts w:hint="eastAsia" w:ascii="宋体" w:hAnsi="宋体" w:eastAsia="宋体" w:cs="宋体"/>
                <w:color w:val="auto"/>
                <w:sz w:val="24"/>
                <w:szCs w:val="24"/>
                <w:highlight w:val="none"/>
              </w:rPr>
              <w:t>《输送设备安装工程施工及验收规范》</w:t>
            </w:r>
          </w:p>
        </w:tc>
        <w:tc>
          <w:tcPr>
            <w:tcW w:w="2126" w:type="dxa"/>
            <w:vAlign w:val="center"/>
          </w:tcPr>
          <w:p>
            <w:pPr>
              <w:spacing w:line="25" w:lineRule="atLeast"/>
              <w:jc w:val="center"/>
              <w:rPr>
                <w:rFonts w:ascii="宋体" w:hAnsi="宋体" w:eastAsia="宋体" w:cs="宋体"/>
                <w:bCs/>
                <w:szCs w:val="21"/>
              </w:rPr>
            </w:pPr>
            <w:r>
              <w:rPr>
                <w:rFonts w:hint="eastAsia" w:ascii="宋体" w:hAnsi="宋体" w:eastAsia="宋体" w:cs="宋体"/>
                <w:bCs/>
                <w:color w:val="auto"/>
                <w:sz w:val="24"/>
                <w:szCs w:val="24"/>
                <w:highlight w:val="none"/>
              </w:rPr>
              <w:t>GB50270-2010</w:t>
            </w:r>
          </w:p>
        </w:tc>
        <w:tc>
          <w:tcPr>
            <w:tcW w:w="1436" w:type="dxa"/>
            <w:vAlign w:val="center"/>
          </w:tcPr>
          <w:p>
            <w:pPr>
              <w:spacing w:line="25" w:lineRule="atLeast"/>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Pr>
          <w:p>
            <w:pPr>
              <w:spacing w:line="360" w:lineRule="auto"/>
              <w:jc w:val="center"/>
              <w:rPr>
                <w:rFonts w:ascii="宋体" w:hAnsi="宋体" w:eastAsia="宋体" w:cs="Times New Roman"/>
                <w:szCs w:val="20"/>
              </w:rPr>
            </w:pPr>
            <w:r>
              <w:rPr>
                <w:rFonts w:hint="eastAsia" w:ascii="Times New Roman" w:hAnsi="Times New Roman" w:eastAsia="宋体" w:cs="Times New Roman"/>
                <w:szCs w:val="20"/>
              </w:rPr>
              <w:t>7</w:t>
            </w:r>
          </w:p>
        </w:tc>
        <w:tc>
          <w:tcPr>
            <w:tcW w:w="5235" w:type="dxa"/>
            <w:vAlign w:val="center"/>
          </w:tcPr>
          <w:p>
            <w:pPr>
              <w:spacing w:line="25" w:lineRule="atLeast"/>
              <w:jc w:val="center"/>
              <w:rPr>
                <w:rFonts w:ascii="宋体" w:hAnsi="宋体" w:eastAsia="宋体" w:cs="宋体"/>
                <w:bCs/>
                <w:szCs w:val="21"/>
              </w:rPr>
            </w:pPr>
            <w:r>
              <w:rPr>
                <w:rFonts w:hint="eastAsia" w:ascii="宋体" w:hAnsi="宋体" w:eastAsia="宋体" w:cs="宋体"/>
                <w:color w:val="auto"/>
                <w:sz w:val="24"/>
                <w:szCs w:val="24"/>
              </w:rPr>
              <w:t>《钢结构工程施工质量验收规范》</w:t>
            </w:r>
          </w:p>
        </w:tc>
        <w:tc>
          <w:tcPr>
            <w:tcW w:w="2126" w:type="dxa"/>
            <w:vAlign w:val="center"/>
          </w:tcPr>
          <w:p>
            <w:pPr>
              <w:spacing w:line="25" w:lineRule="atLeast"/>
              <w:jc w:val="center"/>
              <w:rPr>
                <w:rFonts w:ascii="宋体" w:hAnsi="宋体" w:eastAsia="宋体" w:cs="宋体"/>
                <w:bCs/>
                <w:szCs w:val="21"/>
              </w:rPr>
            </w:pPr>
            <w:r>
              <w:rPr>
                <w:rFonts w:hint="eastAsia" w:ascii="宋体" w:hAnsi="宋体" w:eastAsia="宋体" w:cs="宋体"/>
                <w:color w:val="auto"/>
                <w:sz w:val="24"/>
                <w:szCs w:val="24"/>
              </w:rPr>
              <w:t>GB50205-2020</w:t>
            </w:r>
          </w:p>
        </w:tc>
        <w:tc>
          <w:tcPr>
            <w:tcW w:w="1436" w:type="dxa"/>
            <w:vAlign w:val="center"/>
          </w:tcPr>
          <w:p>
            <w:pPr>
              <w:spacing w:line="25" w:lineRule="atLeast"/>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Pr>
          <w:p>
            <w:pPr>
              <w:spacing w:line="360" w:lineRule="auto"/>
              <w:jc w:val="center"/>
              <w:rPr>
                <w:rFonts w:ascii="宋体" w:hAnsi="宋体" w:eastAsia="宋体" w:cs="Times New Roman"/>
                <w:szCs w:val="20"/>
              </w:rPr>
            </w:pPr>
            <w:r>
              <w:rPr>
                <w:rFonts w:hint="eastAsia" w:ascii="Times New Roman" w:hAnsi="Times New Roman" w:eastAsia="宋体" w:cs="Times New Roman"/>
                <w:szCs w:val="20"/>
              </w:rPr>
              <w:t>8</w:t>
            </w:r>
          </w:p>
        </w:tc>
        <w:tc>
          <w:tcPr>
            <w:tcW w:w="5235" w:type="dxa"/>
            <w:vAlign w:val="center"/>
          </w:tcPr>
          <w:p>
            <w:pPr>
              <w:spacing w:line="25" w:lineRule="atLeast"/>
              <w:jc w:val="center"/>
              <w:rPr>
                <w:rFonts w:ascii="宋体" w:hAnsi="宋体" w:eastAsia="宋体" w:cs="宋体"/>
                <w:bCs/>
                <w:szCs w:val="21"/>
              </w:rPr>
            </w:pPr>
            <w:r>
              <w:rPr>
                <w:rFonts w:hint="eastAsia" w:ascii="宋体" w:hAnsi="宋体" w:eastAsia="宋体" w:cs="宋体"/>
                <w:sz w:val="24"/>
                <w:szCs w:val="24"/>
                <w:highlight w:val="none"/>
              </w:rPr>
              <w:t>《机械设备安装工程施工及验收通用规范》</w:t>
            </w:r>
          </w:p>
        </w:tc>
        <w:tc>
          <w:tcPr>
            <w:tcW w:w="2126" w:type="dxa"/>
            <w:vAlign w:val="center"/>
          </w:tcPr>
          <w:p>
            <w:pPr>
              <w:spacing w:line="25" w:lineRule="atLeast"/>
              <w:jc w:val="center"/>
              <w:rPr>
                <w:rFonts w:ascii="宋体" w:hAnsi="宋体" w:eastAsia="宋体" w:cs="宋体"/>
                <w:bCs/>
                <w:szCs w:val="21"/>
              </w:rPr>
            </w:pPr>
            <w:r>
              <w:rPr>
                <w:rFonts w:hint="eastAsia" w:ascii="宋体" w:hAnsi="宋体" w:eastAsia="宋体" w:cs="宋体"/>
                <w:color w:val="auto"/>
                <w:sz w:val="24"/>
                <w:szCs w:val="24"/>
                <w:highlight w:val="none"/>
              </w:rPr>
              <w:t>GB50231-</w:t>
            </w:r>
            <w:r>
              <w:rPr>
                <w:rFonts w:hint="eastAsia" w:ascii="宋体" w:hAnsi="宋体" w:eastAsia="宋体" w:cs="宋体"/>
                <w:color w:val="auto"/>
                <w:sz w:val="24"/>
                <w:szCs w:val="24"/>
                <w:highlight w:val="none"/>
                <w:lang w:val="en-US" w:eastAsia="zh-CN"/>
              </w:rPr>
              <w:t>2009</w:t>
            </w:r>
          </w:p>
        </w:tc>
        <w:tc>
          <w:tcPr>
            <w:tcW w:w="1436" w:type="dxa"/>
            <w:vAlign w:val="center"/>
          </w:tcPr>
          <w:p>
            <w:pPr>
              <w:spacing w:line="25" w:lineRule="atLeast"/>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Pr>
          <w:p>
            <w:pPr>
              <w:spacing w:line="360" w:lineRule="auto"/>
              <w:jc w:val="center"/>
              <w:rPr>
                <w:rFonts w:ascii="宋体" w:hAnsi="宋体" w:eastAsia="宋体" w:cs="Times New Roman"/>
                <w:szCs w:val="20"/>
              </w:rPr>
            </w:pPr>
            <w:r>
              <w:rPr>
                <w:rFonts w:hint="eastAsia" w:ascii="Times New Roman" w:hAnsi="Times New Roman" w:eastAsia="宋体" w:cs="Times New Roman"/>
                <w:szCs w:val="20"/>
              </w:rPr>
              <w:t>9</w:t>
            </w:r>
          </w:p>
        </w:tc>
        <w:tc>
          <w:tcPr>
            <w:tcW w:w="5235" w:type="dxa"/>
            <w:vAlign w:val="center"/>
          </w:tcPr>
          <w:p>
            <w:pPr>
              <w:widowControl/>
              <w:spacing w:line="25" w:lineRule="atLeast"/>
              <w:jc w:val="center"/>
              <w:rPr>
                <w:rFonts w:ascii="宋体" w:hAnsi="宋体" w:eastAsia="宋体" w:cs="宋体"/>
                <w:bCs/>
                <w:szCs w:val="21"/>
              </w:rPr>
            </w:pPr>
            <w:r>
              <w:rPr>
                <w:rFonts w:hint="eastAsia" w:ascii="宋体" w:hAnsi="宋体" w:eastAsia="宋体" w:cs="宋体"/>
                <w:sz w:val="24"/>
                <w:szCs w:val="24"/>
              </w:rPr>
              <w:t>《卧式全自动液压打包机》</w:t>
            </w:r>
          </w:p>
        </w:tc>
        <w:tc>
          <w:tcPr>
            <w:tcW w:w="2126" w:type="dxa"/>
            <w:vAlign w:val="center"/>
          </w:tcPr>
          <w:p>
            <w:pPr>
              <w:widowControl/>
              <w:spacing w:line="25" w:lineRule="atLeast"/>
              <w:jc w:val="center"/>
              <w:rPr>
                <w:rFonts w:ascii="宋体" w:hAnsi="宋体" w:eastAsia="宋体" w:cs="宋体"/>
                <w:bCs/>
                <w:szCs w:val="21"/>
              </w:rPr>
            </w:pPr>
            <w:r>
              <w:rPr>
                <w:rFonts w:hint="eastAsia" w:ascii="宋体" w:hAnsi="宋体" w:eastAsia="宋体" w:cs="宋体"/>
                <w:bCs/>
                <w:color w:val="auto"/>
                <w:sz w:val="24"/>
                <w:szCs w:val="24"/>
              </w:rPr>
              <w:t>JB/T12096-2014</w:t>
            </w:r>
          </w:p>
        </w:tc>
        <w:tc>
          <w:tcPr>
            <w:tcW w:w="1436" w:type="dxa"/>
            <w:vAlign w:val="center"/>
          </w:tcPr>
          <w:p>
            <w:pPr>
              <w:spacing w:line="25" w:lineRule="atLeast"/>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Pr>
          <w:p>
            <w:pPr>
              <w:spacing w:line="360" w:lineRule="auto"/>
              <w:jc w:val="center"/>
              <w:rPr>
                <w:rFonts w:ascii="宋体" w:hAnsi="宋体" w:eastAsia="宋体" w:cs="Times New Roman"/>
                <w:szCs w:val="20"/>
              </w:rPr>
            </w:pPr>
            <w:r>
              <w:rPr>
                <w:rFonts w:hint="eastAsia" w:ascii="Times New Roman" w:hAnsi="Times New Roman" w:eastAsia="宋体" w:cs="Times New Roman"/>
                <w:szCs w:val="20"/>
              </w:rPr>
              <w:t>10</w:t>
            </w:r>
          </w:p>
        </w:tc>
        <w:tc>
          <w:tcPr>
            <w:tcW w:w="5235" w:type="dxa"/>
            <w:vAlign w:val="center"/>
          </w:tcPr>
          <w:p>
            <w:pPr>
              <w:widowControl/>
              <w:spacing w:line="25" w:lineRule="atLeast"/>
              <w:jc w:val="center"/>
              <w:rPr>
                <w:rFonts w:ascii="宋体" w:hAnsi="宋体" w:eastAsia="宋体" w:cs="宋体"/>
                <w:bCs/>
                <w:szCs w:val="21"/>
              </w:rPr>
            </w:pPr>
            <w:r>
              <w:rPr>
                <w:rFonts w:hint="eastAsia" w:ascii="宋体" w:hAnsi="宋体" w:eastAsia="宋体" w:cs="宋体"/>
                <w:color w:val="auto"/>
                <w:sz w:val="24"/>
                <w:szCs w:val="24"/>
              </w:rPr>
              <w:t>《工业安装工程施工质量验收统一标准》</w:t>
            </w:r>
          </w:p>
        </w:tc>
        <w:tc>
          <w:tcPr>
            <w:tcW w:w="2126" w:type="dxa"/>
            <w:vAlign w:val="center"/>
          </w:tcPr>
          <w:p>
            <w:pPr>
              <w:widowControl/>
              <w:spacing w:line="25" w:lineRule="atLeast"/>
              <w:jc w:val="center"/>
              <w:rPr>
                <w:rFonts w:ascii="Times New Roman" w:hAnsi="Times New Roman" w:eastAsia="宋体" w:cs="Times New Roman"/>
                <w:szCs w:val="20"/>
              </w:rPr>
            </w:pPr>
            <w:r>
              <w:rPr>
                <w:rFonts w:hint="eastAsia" w:ascii="宋体" w:hAnsi="宋体" w:eastAsia="宋体" w:cs="宋体"/>
                <w:color w:val="auto"/>
                <w:kern w:val="0"/>
                <w:sz w:val="24"/>
                <w:szCs w:val="24"/>
              </w:rPr>
              <w:t>GB/T50252-2018</w:t>
            </w:r>
          </w:p>
        </w:tc>
        <w:tc>
          <w:tcPr>
            <w:tcW w:w="1436" w:type="dxa"/>
            <w:vAlign w:val="center"/>
          </w:tcPr>
          <w:p>
            <w:pPr>
              <w:spacing w:line="25" w:lineRule="atLeast"/>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tcPr>
          <w:p>
            <w:pPr>
              <w:spacing w:line="360" w:lineRule="auto"/>
              <w:jc w:val="center"/>
              <w:rPr>
                <w:rFonts w:ascii="Times New Roman" w:hAnsi="Times New Roman" w:eastAsia="宋体" w:cs="Times New Roman"/>
                <w:szCs w:val="20"/>
              </w:rPr>
            </w:pPr>
            <w:r>
              <w:rPr>
                <w:rFonts w:hint="eastAsia" w:ascii="Times New Roman" w:hAnsi="Times New Roman" w:eastAsia="宋体" w:cs="Times New Roman"/>
                <w:szCs w:val="20"/>
              </w:rPr>
              <w:t>11</w:t>
            </w:r>
          </w:p>
        </w:tc>
        <w:tc>
          <w:tcPr>
            <w:tcW w:w="5235" w:type="dxa"/>
            <w:vAlign w:val="center"/>
          </w:tcPr>
          <w:p>
            <w:pPr>
              <w:widowControl/>
              <w:spacing w:line="25" w:lineRule="atLeast"/>
              <w:jc w:val="center"/>
              <w:rPr>
                <w:rFonts w:ascii="宋体" w:hAnsi="宋体" w:eastAsia="宋体" w:cs="Times New Roman"/>
                <w:szCs w:val="21"/>
              </w:rPr>
            </w:pPr>
            <w:r>
              <w:rPr>
                <w:rFonts w:hint="eastAsia" w:ascii="宋体" w:hAnsi="宋体" w:eastAsia="宋体" w:cs="宋体"/>
                <w:color w:val="333333"/>
                <w:sz w:val="24"/>
                <w:szCs w:val="24"/>
                <w:highlight w:val="none"/>
                <w:shd w:val="clear" w:color="auto" w:fill="FFFFFF"/>
              </w:rPr>
              <w:t>《机械电气安全 机械电气设备 第1部分:通用技术条件》</w:t>
            </w:r>
          </w:p>
        </w:tc>
        <w:tc>
          <w:tcPr>
            <w:tcW w:w="2126" w:type="dxa"/>
            <w:vAlign w:val="center"/>
          </w:tcPr>
          <w:p>
            <w:pPr>
              <w:widowControl/>
              <w:spacing w:line="25" w:lineRule="atLeast"/>
              <w:jc w:val="center"/>
              <w:rPr>
                <w:rFonts w:ascii="Times New Roman" w:hAnsi="Times New Roman" w:eastAsia="宋体" w:cs="Times New Roman"/>
                <w:szCs w:val="20"/>
              </w:rPr>
            </w:pPr>
            <w:r>
              <w:rPr>
                <w:rFonts w:hint="eastAsia" w:ascii="宋体" w:hAnsi="宋体" w:eastAsia="宋体" w:cs="宋体"/>
                <w:bCs/>
                <w:sz w:val="24"/>
                <w:szCs w:val="24"/>
                <w:highlight w:val="none"/>
              </w:rPr>
              <w:t>GB5226.1-2019</w:t>
            </w:r>
          </w:p>
        </w:tc>
        <w:tc>
          <w:tcPr>
            <w:tcW w:w="1436" w:type="dxa"/>
            <w:vAlign w:val="center"/>
          </w:tcPr>
          <w:p>
            <w:pPr>
              <w:spacing w:line="25" w:lineRule="atLeast"/>
              <w:jc w:val="center"/>
              <w:rPr>
                <w:rFonts w:ascii="Times New Roman" w:hAnsi="Times New Roman" w:eastAsia="宋体" w:cs="Times New Roman"/>
                <w:bCs/>
                <w:szCs w:val="21"/>
              </w:rPr>
            </w:pPr>
          </w:p>
        </w:tc>
      </w:tr>
    </w:tbl>
    <w:p>
      <w:pPr>
        <w:spacing w:line="360" w:lineRule="auto"/>
        <w:ind w:left="479" w:leftChars="228" w:firstLine="0" w:firstLineChars="0"/>
        <w:rPr>
          <w:rFonts w:hint="eastAsia" w:ascii="宋体" w:hAnsi="宋体" w:eastAsia="宋体" w:cs="宋体"/>
          <w:b/>
          <w:bCs/>
          <w:sz w:val="24"/>
          <w:szCs w:val="24"/>
          <w:lang w:val="en-US" w:eastAsia="zh-CN"/>
        </w:rPr>
      </w:pPr>
      <w:r>
        <w:rPr>
          <w:rFonts w:hint="eastAsia" w:ascii="宋体" w:hAnsi="宋体" w:eastAsia="宋体" w:cs="宋体"/>
          <w:b/>
          <w:bCs/>
          <w:color w:val="auto"/>
          <w:kern w:val="2"/>
          <w:sz w:val="24"/>
          <w:szCs w:val="24"/>
          <w:lang w:val="en-US" w:eastAsia="zh-CN" w:bidi="ar-SA"/>
        </w:rPr>
        <w:t>五、通用要求</w:t>
      </w:r>
      <w:r>
        <w:rPr>
          <w:rFonts w:hint="eastAsia" w:ascii="黑体" w:hAnsi="宋体" w:eastAsia="黑体" w:cs="Times New Roman"/>
          <w:sz w:val="24"/>
          <w:szCs w:val="24"/>
          <w:lang w:val="en-US" w:eastAsia="zh-CN"/>
        </w:rPr>
        <w:br w:type="textWrapping"/>
      </w:r>
      <w:r>
        <w:rPr>
          <w:rFonts w:hint="eastAsia" w:ascii="黑体" w:hAnsi="宋体" w:eastAsia="黑体" w:cs="Times New Roman"/>
          <w:b/>
          <w:bCs/>
          <w:sz w:val="24"/>
          <w:szCs w:val="24"/>
          <w:lang w:val="en-US" w:eastAsia="zh-CN"/>
        </w:rPr>
        <w:t>1.</w:t>
      </w:r>
      <w:r>
        <w:rPr>
          <w:rFonts w:hint="eastAsia" w:ascii="宋体" w:hAnsi="宋体" w:eastAsia="宋体" w:cs="宋体"/>
          <w:b/>
          <w:bCs/>
          <w:sz w:val="24"/>
          <w:szCs w:val="24"/>
          <w:lang w:val="en-US" w:eastAsia="zh-CN"/>
        </w:rPr>
        <w:t>自动化控制系统</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自动化控制系统（PLC、工业软件）的品牌推荐是建议性的，是根据公司设备使用习惯、实现设备（生产线）控制目的、维修技术人员的知识结构、备件储备与易获得性、易维修性和价格等因素综合权衡后确定的，并非设置壁垒，阻止采用其它品牌。当设备必须选用其它品牌的PLC产品才能满足设备安全、质量、工艺要求时，亦可以选择其它品牌产品，但应当考虑维修、备件、易维修性等因素，控制系统通讯应当满足第3条工业通讯的要求。</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1.1设备自动化控制系统建议选用西门子S7-1500、S7-1200系列PLC产品，S7-1500PLC适用于大、中规模的自动化控制系统、车间设备信息采集主控系统，S7-1200PLC适用于中、小规模的自动化控制系统。</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1.2数据采集与监视控制系统（SCADA）建议选用西门子WINCC组态。</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1.3编程组态工具：建议优先选用西门子TIA博图软件进行开发。PLC编程语言，符合GB/T15969.3-2017 《可编程序控制器 第3部分：编程语言》（等同采用IEC61131-3标准）的梯形图（优选）及其它PLC常用语言。</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1.4控制系统应采取有效措施，以防止各类计算机病毒的侵害和PLC系统内各存储器的数据丢失。系统设计应满足工业信息安全标准、规范。</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 PLC控制系统应当留有以下的裕量：</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--最忙时，CPU的负荷率不大于50%。</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--内部存储器占用容量不大于50%，外部存储器占有容量不大于40%。</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--通讯总线负荷率不大于40%。</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--每种I/O点裕量10%-20%（具体根据项目确定，下同）。</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--I/O模块槽裕量10%-20%（备用插槽应配置必要的硬件，保证今后插入模块即能投入运行）。</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--电源负荷裕量大于30－40％〔备用模块插入后的裕量〕。</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以上这些参数都应是按系统正式投运时的最终容量计算的百分比值。</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1.6如控制系统包含在设备内，控制系统设计使用寿命应满足设备整体设计使用寿命的要求；独立采购的控制系统设计使用寿命应不低于15年,PLC所有模块（板）的平均无故障时间(MTBF)不小于20万小时。</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在执行合同的过程中，随着项目设计进程和技术资料逐渐完善，在不超出I/O信号总量的前提下，硬件、软件冻结前后，招标人对I/O信号及控制要求的变更，投标人应及时更新设计。在保证10%-20%备用量的前提下不增加费用。</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1.8控制柜外壳防护等级：</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1.8.1室内环境，控制柜的外壳防护等级不宜低于IP55；</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1.8.2室外环境，控制柜的外壳防护等级不宜低于IP67；</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1.9环境及抗干扰</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1.9.1系统能在电子噪声、射频干扰及振动都很大的现场环境中连续运行，且不降低系统的性能。</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1.9.2系统设计应采用各种抗噪声技术，包括光电隔离、高共模抑制比、合理的接地和屏蔽。</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1.9.3在距电子设备1.2m以外发出的工作频率达470MHz、功率输出达5W的电磁干扰和射频干扰，不会影响系统正常工作。</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1.9.4系统应能在环境温度0～45℃（控制站0～50℃），相对湿度10～95%（不结露）的环境中连续运行。</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1.9.5系统抗干扰能力</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--共模电压不小于500V，继电器输出350V；</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--共模抑制比不小于120dB，50Hz；</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--差模电压不小于60V</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--差模抑制比不小于60dB；50Hz。</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1.10控制柜和接线</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1.10.1控制柜门应有导电门封垫条，以提高抗射频干扰（RFI）能力。</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1.10.2控制柜的设计应满足电缆由柜底引入的要求，投标人提供的电缆接线应采用接线端子排方式，而非将电缆直接连接在元件端子上，内部接线应预置。</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1.10.3对需散热的控制柜，投标人提供排气风扇和内部循环风扇。排气风扇和内部循环风扇应易于更换。风扇故障应有报警。当风扇不能满足控制柜散热要求时，投标人应当配置工业控制柜空调，在投标文件中注明，并单独报价。</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1.10.4所提供的控制柜内应安装设温度检测开关，当温度过高时应进行报警。</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1.10.5装有风扇的控制柜应提供易于更换的空气过滤器。</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1.10.6控制柜内的端子排应布置在易于安装接线的地方，即为离柜底300mm以上和距柜顶150mm以下。</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1.10.7控制柜（控制台）尺寸、颜色、外形结构相同，其控制柜、控制台颜色由招标人确定。控制柜外壳刚度能满足现场要求（最小厚度≥2mm）。控制柜内附有关本控制柜情况的资料袋。</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1.10.8所有外部接线至少满足1.5mm2线芯截面的接线要求。</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1.10.9控制柜内的每个电气元件、端子排和端子都有清晰的标志，并与图纸和接线表相符。</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1.10.10端子排、电缆夹头、电缆走线槽及接线槽均由“阻燃”型材料制造。</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1.10.11控制系统使用的通讯、控制、电力电缆（包括两端的接触件），这些电缆符合国标防火标准。</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1.10.12所有I/O模块和现场信号的接线接口应为接线端子排，卡件和端子排之间的连线在制造厂内接好，并在端子排上注有明显标记。</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1.10.13控制柜内应预留充足的空间，元器件安装裕量大于20%，使招标人能增加部分元器件，方便地接线、汇线、布线和查线。所有信号屏蔽层接地应在控制柜侧完成。</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1.11 PLC控制系统应结合系统特点并按功能分散和物理分散的原则进行设计。</w:t>
      </w:r>
    </w:p>
    <w:p>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2.工业通讯</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2.1设备、控制系统宜选用工业以太网，小型设备可选用RS485串行总线通讯方式。</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2.2通讯协议：宜采用ProfiNet、Profibus（小型自动化设备）；设备因实现特定应用，必须采用其它通讯协议的，项目实施部门应当充分论证。但设备与上位机（系统）通讯协议宜采用工业以太网，ProfiNet通讯协议。</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2.3能源采集通讯协议：宜采用Modbus-RTU、Modbus-TCP。</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2.4电力计量采集通讯协议：可采用DL/T645-97、DL/T645-07规约。</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2.5设备过程数据、状态数据的采集，宜采用OPC方式。</w:t>
      </w:r>
    </w:p>
    <w:p>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3.工业信息安全</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3.1规划时通过工业控制网络边界防护设备对工业控制网络与企业网或互联网之间的边界进行安全防护，禁止没有防护的工业控制网络与互联网连接。</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3.2通过设置工业防火墙、网闸等设备对工业控制网络与企业网之间进行逻辑隔离安全防护。</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3.3投标人在设计规划时，对工程师站、工业数据库、服务器等核心工业控制软硬件所在区域应采取访问控制、视频监控、专人值守等物理安全防护措施。</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3.4较大规模的生产线（如：自动化冲压生产线），在工业主机登录、应用服务资源访问、SCADA软件登陆、控制系统维护等过程中应设计身份认证管理。对于关键设备、系统和平台的访问宜采用多因素认证。</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3.5根据应用的重要性，对关键系统、网络设备、控制系统组件选择冗余配置。</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3.6投标人在设计规划时，应考虑重要工业数据进行保护，定期备份关键业务数据。</w:t>
      </w:r>
    </w:p>
    <w:p>
      <w:pPr>
        <w:numPr>
          <w:ilvl w:val="0"/>
          <w:numId w:val="0"/>
        </w:numPr>
        <w:ind w:leftChars="228"/>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4.节能</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b w:val="0"/>
          <w:bCs w:val="0"/>
          <w:sz w:val="24"/>
          <w:szCs w:val="24"/>
          <w:highlight w:val="none"/>
          <w:lang w:val="en-US" w:eastAsia="zh-CN"/>
        </w:rPr>
        <w:t>4</w:t>
      </w:r>
      <w:r>
        <w:rPr>
          <w:rFonts w:hint="eastAsia" w:ascii="宋体" w:hAnsi="宋体" w:eastAsia="宋体" w:cs="宋体"/>
          <w:b w:val="0"/>
          <w:bCs w:val="0"/>
          <w:sz w:val="24"/>
          <w:szCs w:val="24"/>
          <w:highlight w:val="none"/>
        </w:rPr>
        <w:t>.</w:t>
      </w:r>
      <w:r>
        <w:rPr>
          <w:rFonts w:hint="eastAsia" w:ascii="宋体" w:hAnsi="宋体" w:eastAsia="宋体" w:cs="宋体"/>
          <w:sz w:val="24"/>
          <w:szCs w:val="24"/>
          <w:highlight w:val="none"/>
        </w:rPr>
        <w:t>1优先采购节能产品和环境标志产品。可参照节能机电设备（产品）推荐目录（工信部）、“能效之星”产品目录（工信部）。</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2电动机等部件的能效等级不低于国家</w:t>
      </w:r>
      <w:bookmarkStart w:id="60" w:name="_Hlk33093381"/>
      <w:r>
        <w:rPr>
          <w:rFonts w:hint="eastAsia" w:ascii="宋体" w:hAnsi="宋体" w:eastAsia="宋体" w:cs="宋体"/>
          <w:sz w:val="24"/>
          <w:szCs w:val="24"/>
          <w:highlight w:val="none"/>
        </w:rPr>
        <w:t>现行标准二级能效</w:t>
      </w:r>
      <w:bookmarkEnd w:id="60"/>
      <w:r>
        <w:rPr>
          <w:rFonts w:hint="eastAsia" w:ascii="宋体" w:hAnsi="宋体" w:eastAsia="宋体" w:cs="宋体"/>
          <w:sz w:val="24"/>
          <w:szCs w:val="24"/>
          <w:highlight w:val="none"/>
        </w:rPr>
        <w:t>。进口产品的能效不应低于原产国现行能效标准二级能效。</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.3不得采购列入国家高耗能落后机电设备（产品）淘汰目录的产品（工信部）。</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.4能源计量</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.4.1主要用能设备应当按照GB17167《用能单位能源计量器具配备和管理通则》的要求配备能源计量器具。</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.4.2当主要用能设备能源消耗量（或功率）达到下列限定值时，应当配备能源计量器具：</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--电力：10KW; 多功能电能表的准确度等级应不低于2.0级。</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--天然气：100Nm3/h; 天然气计量表</w:t>
      </w:r>
      <w:bookmarkStart w:id="61" w:name="_Hlk33434747"/>
      <w:r>
        <w:rPr>
          <w:rFonts w:hint="eastAsia" w:ascii="宋体" w:hAnsi="宋体" w:eastAsia="宋体" w:cs="宋体"/>
          <w:sz w:val="24"/>
          <w:szCs w:val="24"/>
          <w:highlight w:val="none"/>
        </w:rPr>
        <w:t>的</w:t>
      </w:r>
      <w:bookmarkStart w:id="62" w:name="_Hlk33434911"/>
      <w:r>
        <w:rPr>
          <w:rFonts w:hint="eastAsia" w:ascii="宋体" w:hAnsi="宋体" w:eastAsia="宋体" w:cs="宋体"/>
          <w:sz w:val="24"/>
          <w:szCs w:val="24"/>
          <w:highlight w:val="none"/>
        </w:rPr>
        <w:t>准确度等级应不低于2.0</w:t>
      </w:r>
      <w:bookmarkEnd w:id="61"/>
      <w:r>
        <w:rPr>
          <w:rFonts w:hint="eastAsia" w:ascii="宋体" w:hAnsi="宋体" w:eastAsia="宋体" w:cs="宋体"/>
          <w:sz w:val="24"/>
          <w:szCs w:val="24"/>
          <w:highlight w:val="none"/>
        </w:rPr>
        <w:t>级</w:t>
      </w:r>
      <w:bookmarkEnd w:id="62"/>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--热水：7MW；热量计量表的准确度等级应不低于2.0级。</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--水：1t/h; 水计量表的准确度等级，管径不大于250mm应不低于2.5级。管径大于250mm应不低于1.5级。</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--其他：29.26GJ/h；计量表的准确度等级应不低于2.0级。</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.4.3设备能源消耗（或功率）虽达不到</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.4.2的要求，但对需要测量能源消耗或能效的关键设备应当加装能源计量仪表。</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.4.4能源计量仪表应带远传功能，通讯应满足第3条工业通讯的要求。</w:t>
      </w:r>
    </w:p>
    <w:p>
      <w:pPr>
        <w:keepNext w:val="0"/>
        <w:keepLines w:val="0"/>
        <w:pageBreakBefore w:val="0"/>
        <w:widowControl w:val="0"/>
        <w:kinsoku/>
        <w:wordWrap/>
        <w:overflowPunct/>
        <w:topLinePunct w:val="0"/>
        <w:autoSpaceDE/>
        <w:autoSpaceDN/>
        <w:bidi w:val="0"/>
        <w:adjustRightInd/>
        <w:snapToGrid/>
        <w:spacing w:line="420" w:lineRule="exact"/>
        <w:ind w:left="479" w:leftChars="228" w:firstLine="0" w:firstLineChars="0"/>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.4.5加装能源计量仪表的要求应写入设备招标文件，并包含在投标价格内。</w:t>
      </w:r>
      <w:r>
        <w:rPr>
          <w:rFonts w:hint="eastAsia" w:ascii="宋体" w:hAnsi="宋体" w:eastAsia="宋体" w:cs="宋体"/>
          <w:sz w:val="24"/>
          <w:szCs w:val="24"/>
          <w:lang w:val="en-US" w:eastAsia="zh-CN"/>
        </w:rPr>
        <w:br w:type="textWrapping"/>
      </w:r>
      <w:r>
        <w:rPr>
          <w:rFonts w:hint="eastAsia" w:ascii="宋体" w:hAnsi="宋体" w:eastAsia="宋体" w:cs="宋体"/>
          <w:b/>
          <w:bCs/>
          <w:sz w:val="24"/>
          <w:szCs w:val="24"/>
          <w:lang w:val="en-US" w:eastAsia="zh-CN"/>
        </w:rPr>
        <w:t>六、设备设计使用寿命（年限）</w:t>
      </w:r>
      <w:bookmarkStart w:id="63" w:name="_Hlk33094644"/>
      <w:bookmarkStart w:id="64" w:name="_Hlk33094179"/>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设计使用寿命不应低于15年</w:t>
      </w:r>
      <w:bookmarkEnd w:id="63"/>
      <w:r>
        <w:rPr>
          <w:rFonts w:hint="eastAsia" w:ascii="宋体" w:hAnsi="宋体" w:eastAsia="宋体" w:cs="宋体"/>
          <w:sz w:val="24"/>
          <w:szCs w:val="24"/>
          <w:highlight w:val="none"/>
          <w:lang w:val="en-US" w:eastAsia="zh-CN"/>
        </w:rPr>
        <w:t>。</w:t>
      </w:r>
      <w:bookmarkEnd w:id="64"/>
    </w:p>
    <w:p>
      <w:pPr>
        <w:keepNext w:val="0"/>
        <w:keepLines w:val="0"/>
        <w:pageBreakBefore w:val="0"/>
        <w:widowControl w:val="0"/>
        <w:kinsoku/>
        <w:wordWrap/>
        <w:overflowPunct/>
        <w:topLinePunct w:val="0"/>
        <w:autoSpaceDE/>
        <w:autoSpaceDN/>
        <w:bidi w:val="0"/>
        <w:adjustRightInd/>
        <w:snapToGrid/>
        <w:spacing w:line="420" w:lineRule="exact"/>
        <w:ind w:left="479" w:leftChars="228" w:firstLine="0" w:firstLineChars="0"/>
        <w:textAlignment w:val="auto"/>
        <w:rPr>
          <w:rFonts w:hint="eastAsia" w:ascii="宋体" w:hAnsi="宋体" w:eastAsia="宋体" w:cs="宋体"/>
          <w:b/>
          <w:bCs/>
          <w:sz w:val="24"/>
          <w:szCs w:val="24"/>
          <w:lang w:val="en-US" w:eastAsia="zh-CN"/>
        </w:rPr>
      </w:pPr>
      <w:bookmarkStart w:id="65" w:name="_Hlk33102606"/>
      <w:r>
        <w:rPr>
          <w:rFonts w:hint="eastAsia" w:ascii="宋体" w:hAnsi="宋体" w:eastAsia="宋体" w:cs="宋体"/>
          <w:b/>
          <w:bCs/>
          <w:sz w:val="24"/>
          <w:szCs w:val="24"/>
          <w:lang w:val="en-US" w:eastAsia="zh-CN"/>
        </w:rPr>
        <w:t>七、全</w:t>
      </w:r>
      <w:bookmarkStart w:id="66" w:name="_Hlk33102557"/>
      <w:r>
        <w:rPr>
          <w:rFonts w:hint="eastAsia" w:ascii="宋体" w:hAnsi="宋体" w:eastAsia="宋体" w:cs="宋体"/>
          <w:b/>
          <w:bCs/>
          <w:sz w:val="24"/>
          <w:szCs w:val="24"/>
          <w:lang w:val="en-US" w:eastAsia="zh-CN"/>
        </w:rPr>
        <w:t>生命周期费用（LCC）</w:t>
      </w:r>
      <w:bookmarkEnd w:id="66"/>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1.（适用时）招标文件中应当要求投标人测算设备的</w:t>
      </w:r>
      <w:bookmarkStart w:id="67" w:name="_Hlk33015261"/>
      <w:r>
        <w:rPr>
          <w:rFonts w:hint="eastAsia" w:ascii="宋体" w:hAnsi="宋体" w:eastAsia="宋体" w:cs="宋体"/>
          <w:sz w:val="24"/>
          <w:szCs w:val="24"/>
          <w:highlight w:val="none"/>
          <w:lang w:val="en-US" w:eastAsia="zh-CN"/>
        </w:rPr>
        <w:t>全生命周期费用（LCC）</w:t>
      </w:r>
      <w:bookmarkEnd w:id="67"/>
      <w:r>
        <w:rPr>
          <w:rFonts w:hint="eastAsia" w:ascii="宋体" w:hAnsi="宋体" w:eastAsia="宋体" w:cs="宋体"/>
          <w:sz w:val="24"/>
          <w:szCs w:val="24"/>
          <w:highlight w:val="none"/>
          <w:lang w:val="en-US" w:eastAsia="zh-CN"/>
        </w:rPr>
        <w:t>、运行维持费用及费用分解构成，并在投标文件中列出；评标原则和评标标准应当包含对此项要求的评价。</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2.全生命周期费用（LCC）主要指设备的维持费用，包括设备在设计使用寿命内的备品备件投入，日常维护（维保）费用，大（项）修费用，和正常使用的能源费用，按年列出。</w:t>
      </w:r>
    </w:p>
    <w:p>
      <w:pPr>
        <w:keepNext w:val="0"/>
        <w:keepLines w:val="0"/>
        <w:pageBreakBefore w:val="0"/>
        <w:widowControl w:val="0"/>
        <w:kinsoku/>
        <w:wordWrap/>
        <w:overflowPunct/>
        <w:topLinePunct w:val="0"/>
        <w:autoSpaceDE/>
        <w:autoSpaceDN/>
        <w:bidi w:val="0"/>
        <w:adjustRightInd/>
        <w:snapToGrid/>
        <w:spacing w:line="420" w:lineRule="exact"/>
        <w:ind w:left="479" w:leftChars="228" w:firstLine="0" w:firstLine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八、易维修性</w:t>
      </w:r>
      <w:bookmarkEnd w:id="65"/>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1.设备在设计、制造、布局、安装时应充分考虑了后续维修的易维修性、可修复性和维修作业的安全、可操作性。</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2.在正式提交的设备资料中应当包含设备的维修BOM。</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宋体" w:hAnsi="Calibri" w:eastAsia="宋体" w:cs="Times New Roman"/>
          <w:szCs w:val="20"/>
        </w:rPr>
      </w:pPr>
      <w:r>
        <w:rPr>
          <w:rFonts w:hint="eastAsia" w:ascii="宋体" w:hAnsi="宋体" w:eastAsia="宋体" w:cs="宋体"/>
          <w:sz w:val="24"/>
          <w:szCs w:val="24"/>
          <w:highlight w:val="none"/>
          <w:lang w:val="en-US" w:eastAsia="zh-CN"/>
        </w:rPr>
        <w:t>3.投标人在投标文件中说明设备在维保方面的信息，包含但不限于：易损件清单、耗材清单、定期维保项目清单等，上述清单应包含单价。</w:t>
      </w: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59"/>
    </w:p>
    <w:p/>
    <w:p>
      <w:pPr>
        <w:keepNext/>
        <w:keepLines/>
        <w:spacing w:line="360" w:lineRule="auto"/>
        <w:jc w:val="center"/>
        <w:outlineLvl w:val="2"/>
        <w:rPr>
          <w:rFonts w:ascii="宋体" w:hAnsi="宋体" w:eastAsia="宋体" w:cs="宋体"/>
          <w:b/>
          <w:bCs/>
          <w:sz w:val="24"/>
          <w:szCs w:val="32"/>
        </w:rPr>
      </w:pPr>
      <w:bookmarkStart w:id="68" w:name="_Toc169605882"/>
      <w:r>
        <w:rPr>
          <w:rFonts w:hint="eastAsia" w:ascii="宋体" w:hAnsi="宋体" w:eastAsia="宋体" w:cs="宋体"/>
          <w:b/>
          <w:bCs/>
          <w:sz w:val="24"/>
          <w:szCs w:val="32"/>
        </w:rPr>
        <w:t>第一节  供货范围</w:t>
      </w:r>
      <w:bookmarkEnd w:id="68"/>
    </w:p>
    <w:p>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default" w:ascii="宋体" w:hAnsi="宋体" w:eastAsia="宋体" w:cs="Times New Roman"/>
                <w:kern w:val="2"/>
                <w:sz w:val="24"/>
                <w:szCs w:val="24"/>
                <w:lang w:val="en-US" w:eastAsia="zh-CN" w:bidi="ar-SA"/>
              </w:rPr>
            </w:pPr>
            <w:r>
              <w:rPr>
                <w:rFonts w:hint="eastAsia" w:ascii="宋体" w:hAnsi="宋体" w:eastAsia="宋体" w:cs="宋体"/>
                <w:b/>
                <w:bCs/>
                <w:sz w:val="24"/>
                <w:szCs w:val="24"/>
              </w:rPr>
              <w:t>1</w:t>
            </w:r>
          </w:p>
        </w:tc>
        <w:tc>
          <w:tcPr>
            <w:tcW w:w="2977" w:type="dxa"/>
            <w:vAlign w:val="center"/>
          </w:tcPr>
          <w:p>
            <w:pPr>
              <w:jc w:val="center"/>
              <w:rPr>
                <w:rFonts w:hint="eastAsia" w:ascii="宋体" w:hAnsi="宋体" w:eastAsia="宋体" w:cs="Times New Roman"/>
                <w:b/>
                <w:bCs/>
                <w:kern w:val="2"/>
                <w:sz w:val="24"/>
                <w:szCs w:val="24"/>
                <w:lang w:val="en-US" w:eastAsia="zh-CN" w:bidi="ar-SA"/>
              </w:rPr>
            </w:pPr>
            <w:r>
              <w:rPr>
                <w:rFonts w:hint="eastAsia" w:ascii="宋体" w:hAnsi="宋体" w:eastAsia="宋体" w:cs="宋体"/>
                <w:b/>
                <w:bCs/>
                <w:sz w:val="24"/>
                <w:szCs w:val="24"/>
              </w:rPr>
              <w:t>带门式全自动打包机</w:t>
            </w:r>
          </w:p>
        </w:tc>
        <w:tc>
          <w:tcPr>
            <w:tcW w:w="992" w:type="dxa"/>
            <w:vAlign w:val="center"/>
          </w:tcPr>
          <w:p>
            <w:pPr>
              <w:jc w:val="center"/>
              <w:rPr>
                <w:rFonts w:ascii="宋体" w:hAnsi="宋体" w:eastAsia="宋体" w:cs="Times New Roman"/>
                <w:b/>
                <w:bCs/>
                <w:kern w:val="2"/>
                <w:sz w:val="24"/>
                <w:szCs w:val="24"/>
                <w:highlight w:val="yellow"/>
                <w:lang w:val="en-US" w:eastAsia="zh-CN" w:bidi="ar-SA"/>
              </w:rPr>
            </w:pPr>
            <w:r>
              <w:rPr>
                <w:rFonts w:hint="eastAsia" w:ascii="宋体" w:hAnsi="宋体" w:eastAsia="宋体" w:cs="宋体"/>
                <w:b/>
                <w:bCs/>
                <w:color w:val="000000"/>
                <w:sz w:val="24"/>
                <w:szCs w:val="24"/>
              </w:rPr>
              <w:t>套</w:t>
            </w:r>
          </w:p>
        </w:tc>
        <w:tc>
          <w:tcPr>
            <w:tcW w:w="1134" w:type="dxa"/>
            <w:vAlign w:val="center"/>
          </w:tcPr>
          <w:p>
            <w:pPr>
              <w:jc w:val="center"/>
              <w:rPr>
                <w:rFonts w:ascii="宋体" w:hAnsi="宋体" w:eastAsia="宋体" w:cs="Times New Roman"/>
                <w:b/>
                <w:bCs/>
                <w:kern w:val="2"/>
                <w:sz w:val="24"/>
                <w:szCs w:val="24"/>
                <w:highlight w:val="yellow"/>
                <w:lang w:val="en-US" w:eastAsia="zh-CN" w:bidi="ar-SA"/>
              </w:rPr>
            </w:pPr>
            <w:r>
              <w:rPr>
                <w:rFonts w:hint="eastAsia" w:ascii="宋体" w:hAnsi="宋体" w:eastAsia="宋体" w:cs="宋体"/>
                <w:b/>
                <w:bCs/>
                <w:color w:val="000000"/>
                <w:sz w:val="24"/>
                <w:szCs w:val="24"/>
              </w:rPr>
              <w:t>1</w:t>
            </w:r>
          </w:p>
        </w:tc>
        <w:tc>
          <w:tcPr>
            <w:tcW w:w="2835" w:type="dxa"/>
            <w:vAlign w:val="center"/>
          </w:tcPr>
          <w:p>
            <w:pPr>
              <w:jc w:val="center"/>
              <w:rPr>
                <w:rFonts w:ascii="宋体" w:hAnsi="宋体" w:eastAsia="宋体" w:cs="Times New Roman"/>
                <w:b/>
                <w:bCs/>
                <w:kern w:val="2"/>
                <w:sz w:val="24"/>
                <w:szCs w:val="24"/>
                <w:lang w:val="en-US" w:eastAsia="zh-CN" w:bidi="ar-SA"/>
              </w:rPr>
            </w:pPr>
            <w:r>
              <w:rPr>
                <w:rFonts w:hint="eastAsia" w:ascii="宋体" w:hAnsi="宋体" w:eastAsia="宋体" w:cs="宋体"/>
                <w:b/>
                <w:bCs/>
                <w:sz w:val="24"/>
                <w:szCs w:val="24"/>
              </w:rPr>
              <w:t>8-10吨/小时，连续工作8小时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1.1</w:t>
            </w:r>
          </w:p>
        </w:tc>
        <w:tc>
          <w:tcPr>
            <w:tcW w:w="2977"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输送机总成</w:t>
            </w:r>
          </w:p>
        </w:tc>
        <w:tc>
          <w:tcPr>
            <w:tcW w:w="992"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套</w:t>
            </w:r>
          </w:p>
        </w:tc>
        <w:tc>
          <w:tcPr>
            <w:tcW w:w="1134"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p>
        </w:tc>
        <w:tc>
          <w:tcPr>
            <w:tcW w:w="2835"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1.2</w:t>
            </w:r>
          </w:p>
        </w:tc>
        <w:tc>
          <w:tcPr>
            <w:tcW w:w="2977"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液压压机总成</w:t>
            </w:r>
          </w:p>
        </w:tc>
        <w:tc>
          <w:tcPr>
            <w:tcW w:w="992"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套</w:t>
            </w:r>
          </w:p>
        </w:tc>
        <w:tc>
          <w:tcPr>
            <w:tcW w:w="1134"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p>
        </w:tc>
        <w:tc>
          <w:tcPr>
            <w:tcW w:w="2835"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1.3</w:t>
            </w:r>
          </w:p>
        </w:tc>
        <w:tc>
          <w:tcPr>
            <w:tcW w:w="2977"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夹包机总成</w:t>
            </w:r>
          </w:p>
        </w:tc>
        <w:tc>
          <w:tcPr>
            <w:tcW w:w="992"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套</w:t>
            </w:r>
          </w:p>
        </w:tc>
        <w:tc>
          <w:tcPr>
            <w:tcW w:w="1134"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p>
        </w:tc>
        <w:tc>
          <w:tcPr>
            <w:tcW w:w="2835"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1.4</w:t>
            </w:r>
          </w:p>
        </w:tc>
        <w:tc>
          <w:tcPr>
            <w:tcW w:w="2977"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捆包机总成</w:t>
            </w:r>
          </w:p>
        </w:tc>
        <w:tc>
          <w:tcPr>
            <w:tcW w:w="992"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套</w:t>
            </w:r>
          </w:p>
        </w:tc>
        <w:tc>
          <w:tcPr>
            <w:tcW w:w="1134"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p>
        </w:tc>
        <w:tc>
          <w:tcPr>
            <w:tcW w:w="2835"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1.5</w:t>
            </w:r>
          </w:p>
        </w:tc>
        <w:tc>
          <w:tcPr>
            <w:tcW w:w="2977"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推线机总成</w:t>
            </w:r>
          </w:p>
        </w:tc>
        <w:tc>
          <w:tcPr>
            <w:tcW w:w="992"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套</w:t>
            </w:r>
          </w:p>
        </w:tc>
        <w:tc>
          <w:tcPr>
            <w:tcW w:w="1134"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p>
        </w:tc>
        <w:tc>
          <w:tcPr>
            <w:tcW w:w="2835"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1.6</w:t>
            </w:r>
          </w:p>
        </w:tc>
        <w:tc>
          <w:tcPr>
            <w:tcW w:w="2977"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电气控制系统</w:t>
            </w:r>
          </w:p>
        </w:tc>
        <w:tc>
          <w:tcPr>
            <w:tcW w:w="992"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套</w:t>
            </w:r>
          </w:p>
        </w:tc>
        <w:tc>
          <w:tcPr>
            <w:tcW w:w="1134"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p>
        </w:tc>
        <w:tc>
          <w:tcPr>
            <w:tcW w:w="2835"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1.7</w:t>
            </w:r>
          </w:p>
        </w:tc>
        <w:tc>
          <w:tcPr>
            <w:tcW w:w="2977"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安全系统</w:t>
            </w:r>
          </w:p>
        </w:tc>
        <w:tc>
          <w:tcPr>
            <w:tcW w:w="992"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套</w:t>
            </w:r>
          </w:p>
        </w:tc>
        <w:tc>
          <w:tcPr>
            <w:tcW w:w="1134" w:type="dxa"/>
            <w:vAlign w:val="center"/>
          </w:tcPr>
          <w:p>
            <w:pPr>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p>
        </w:tc>
        <w:tc>
          <w:tcPr>
            <w:tcW w:w="2835"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w:t>
            </w:r>
          </w:p>
        </w:tc>
        <w:tc>
          <w:tcPr>
            <w:tcW w:w="2977"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现场安装调试</w:t>
            </w:r>
          </w:p>
        </w:tc>
        <w:tc>
          <w:tcPr>
            <w:tcW w:w="992" w:type="dxa"/>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人·天</w:t>
            </w:r>
          </w:p>
        </w:tc>
        <w:tc>
          <w:tcPr>
            <w:tcW w:w="1134" w:type="dxa"/>
            <w:vAlign w:val="center"/>
          </w:tcPr>
          <w:p>
            <w:pPr>
              <w:jc w:val="center"/>
              <w:rPr>
                <w:rFonts w:hint="eastAsia" w:ascii="宋体" w:hAnsi="宋体" w:eastAsia="宋体" w:cs="宋体"/>
                <w:color w:val="000000"/>
                <w:sz w:val="24"/>
                <w:szCs w:val="24"/>
              </w:rPr>
            </w:pPr>
          </w:p>
        </w:tc>
        <w:tc>
          <w:tcPr>
            <w:tcW w:w="2835"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w:t>
            </w:r>
          </w:p>
        </w:tc>
        <w:tc>
          <w:tcPr>
            <w:tcW w:w="2977"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技术培训</w:t>
            </w:r>
          </w:p>
        </w:tc>
        <w:tc>
          <w:tcPr>
            <w:tcW w:w="992" w:type="dxa"/>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人·天</w:t>
            </w:r>
          </w:p>
        </w:tc>
        <w:tc>
          <w:tcPr>
            <w:tcW w:w="1134" w:type="dxa"/>
            <w:vAlign w:val="center"/>
          </w:tcPr>
          <w:p>
            <w:pPr>
              <w:jc w:val="center"/>
              <w:rPr>
                <w:rFonts w:hint="eastAsia" w:ascii="宋体" w:hAnsi="宋体" w:eastAsia="宋体" w:cs="宋体"/>
                <w:color w:val="000000"/>
                <w:sz w:val="24"/>
                <w:szCs w:val="24"/>
              </w:rPr>
            </w:pPr>
          </w:p>
        </w:tc>
        <w:tc>
          <w:tcPr>
            <w:tcW w:w="2835"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w:t>
            </w:r>
          </w:p>
        </w:tc>
        <w:tc>
          <w:tcPr>
            <w:tcW w:w="2977"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现场陪产</w:t>
            </w:r>
          </w:p>
        </w:tc>
        <w:tc>
          <w:tcPr>
            <w:tcW w:w="992" w:type="dxa"/>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人·天</w:t>
            </w:r>
          </w:p>
        </w:tc>
        <w:tc>
          <w:tcPr>
            <w:tcW w:w="1134" w:type="dxa"/>
            <w:vAlign w:val="center"/>
          </w:tcPr>
          <w:p>
            <w:pPr>
              <w:jc w:val="center"/>
              <w:rPr>
                <w:rFonts w:hint="eastAsia" w:ascii="宋体" w:hAnsi="宋体" w:eastAsia="宋体" w:cs="宋体"/>
                <w:color w:val="000000"/>
                <w:sz w:val="24"/>
                <w:szCs w:val="24"/>
              </w:rPr>
            </w:pPr>
          </w:p>
        </w:tc>
        <w:tc>
          <w:tcPr>
            <w:tcW w:w="2835"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w:t>
            </w:r>
          </w:p>
        </w:tc>
        <w:tc>
          <w:tcPr>
            <w:tcW w:w="2977"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设计费</w:t>
            </w:r>
          </w:p>
        </w:tc>
        <w:tc>
          <w:tcPr>
            <w:tcW w:w="992" w:type="dxa"/>
            <w:vAlign w:val="center"/>
          </w:tcPr>
          <w:p>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人·天</w:t>
            </w:r>
          </w:p>
        </w:tc>
        <w:tc>
          <w:tcPr>
            <w:tcW w:w="1134" w:type="dxa"/>
            <w:vAlign w:val="center"/>
          </w:tcPr>
          <w:p>
            <w:pPr>
              <w:jc w:val="center"/>
              <w:rPr>
                <w:rFonts w:hint="eastAsia" w:ascii="宋体" w:hAnsi="宋体" w:eastAsia="宋体" w:cs="宋体"/>
                <w:color w:val="000000"/>
                <w:sz w:val="24"/>
                <w:szCs w:val="24"/>
              </w:rPr>
            </w:pPr>
          </w:p>
        </w:tc>
        <w:tc>
          <w:tcPr>
            <w:tcW w:w="2835"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before="156" w:beforeLines="50" w:line="360" w:lineRule="exact"/>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w:t>
            </w:r>
          </w:p>
        </w:tc>
        <w:tc>
          <w:tcPr>
            <w:tcW w:w="2977" w:type="dxa"/>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运输及保险</w:t>
            </w:r>
          </w:p>
        </w:tc>
        <w:tc>
          <w:tcPr>
            <w:tcW w:w="992" w:type="dxa"/>
            <w:vAlign w:val="center"/>
          </w:tcPr>
          <w:p>
            <w:pPr>
              <w:jc w:val="center"/>
              <w:rPr>
                <w:rFonts w:hint="eastAsia" w:ascii="宋体" w:hAnsi="宋体" w:eastAsia="宋体" w:cs="宋体"/>
                <w:color w:val="000000"/>
                <w:sz w:val="24"/>
                <w:szCs w:val="24"/>
              </w:rPr>
            </w:pPr>
          </w:p>
        </w:tc>
        <w:tc>
          <w:tcPr>
            <w:tcW w:w="1134" w:type="dxa"/>
            <w:vAlign w:val="center"/>
          </w:tcPr>
          <w:p>
            <w:pPr>
              <w:jc w:val="center"/>
              <w:rPr>
                <w:rFonts w:hint="eastAsia" w:ascii="宋体" w:hAnsi="宋体" w:eastAsia="宋体" w:cs="宋体"/>
                <w:color w:val="000000"/>
                <w:sz w:val="24"/>
                <w:szCs w:val="24"/>
              </w:rPr>
            </w:pPr>
          </w:p>
        </w:tc>
        <w:tc>
          <w:tcPr>
            <w:tcW w:w="2835" w:type="dxa"/>
            <w:vAlign w:val="center"/>
          </w:tcPr>
          <w:p>
            <w:pPr>
              <w:jc w:val="center"/>
              <w:rPr>
                <w:rFonts w:hint="eastAsia" w:ascii="宋体" w:hAnsi="宋体" w:eastAsia="宋体" w:cs="宋体"/>
                <w:sz w:val="24"/>
                <w:szCs w:val="24"/>
              </w:rPr>
            </w:pP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买方提供符合本技术标书中“采购货物概况”和“使用环境”章节所列明品质的电力系统接口，如：系统电力接口的接线端。</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w:t>
      </w:r>
      <w:r>
        <w:rPr>
          <w:rFonts w:hint="eastAsia" w:ascii="宋体" w:hAnsi="宋体" w:eastAsia="宋体" w:cs="宋体"/>
          <w:sz w:val="24"/>
          <w:szCs w:val="24"/>
          <w:lang w:eastAsia="zh-CN"/>
        </w:rPr>
        <w:t>招标人</w:t>
      </w:r>
      <w:r>
        <w:rPr>
          <w:rFonts w:hint="eastAsia" w:ascii="宋体" w:hAnsi="宋体" w:eastAsia="宋体" w:cs="宋体"/>
          <w:sz w:val="24"/>
          <w:szCs w:val="24"/>
        </w:rPr>
        <w:t>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以“交钥匙”方式采购的货物，在满足技术标书本节上述要求之外，同时包括货物正常运行、使用所需要的护栏、防护网、盖板等辅助设施</w:t>
      </w:r>
      <w:r>
        <w:rPr>
          <w:rFonts w:hint="eastAsia" w:ascii="宋体" w:hAnsi="宋体" w:eastAsia="宋体" w:cs="宋体"/>
          <w:sz w:val="24"/>
          <w:szCs w:val="24"/>
          <w:lang w:eastAsia="zh-CN"/>
        </w:rPr>
        <w:t>。</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1.备品备件、易损件和专用耗材是招标人为保证货物质保期之后正常运行所自备自用的备品备件、易损件和专用耗材。</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2.质保期之内正常需要的备品备件、易损件和专用耗材全部包括在供货范围之内而不属于本条款界定的范围（应有明细）。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3.供货范围包括易损件和专用耗材的制造图纸及其技术要求等资料，如涉及专有技术或无法提供，应在投标文件中予以澄清或说明。</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投标人应保证备品备件长期稳定的供货。对主要设备或与主设备功能相同的兼容性替代品，其备品的供货期至少是设备验收后十五年或该设备退出市场后五年(二者之中取时间长的一种)。当投标人决定中断所提供的备品备件供应时，应预先告知招标人，以便招标人增加这些备品备件储备。</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5.投标人应提供有关备品备件的保管资料，如：存放期限、温度、湿度、是否需干燥剂等。</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6.设备的维修BOM。</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7.（可行时）投标人应提供易损件和专用耗材的制造图纸及其技术要求等资料。</w:t>
      </w:r>
    </w:p>
    <w:p>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8.备品、备件、专用工具及其它补充件</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8.1提供标准配置附件，凡需每台有一套标准配置的附件才能保证设备正常运行的,应包括在该设备的投标价中,并应将其附件的数量和单价提供给招标人参考；</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8.2投标方需提供设备必需的备件、易损件,并应分别报单价和总价并注明厂家,这些费用应包括在该设备的投标价格中；</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8.3易损件应提供对其质量要求,并推荐生产厂家；</w:t>
      </w:r>
    </w:p>
    <w:p>
      <w:pPr>
        <w:spacing w:line="360" w:lineRule="auto"/>
        <w:ind w:firstLine="480" w:firstLineChars="200"/>
        <w:rPr>
          <w:rFonts w:hint="eastAsia"/>
          <w:lang w:val="en-US" w:eastAsia="zh-CN"/>
        </w:rPr>
      </w:pPr>
      <w:r>
        <w:rPr>
          <w:rFonts w:hint="eastAsia" w:ascii="宋体" w:hAnsi="宋体" w:eastAsia="宋体" w:cs="宋体"/>
          <w:sz w:val="24"/>
          <w:szCs w:val="24"/>
          <w:lang w:val="en-US" w:eastAsia="zh-CN"/>
        </w:rPr>
        <w:t>8.4投标人15年内应保证该投标设备的备品备件供应。</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10</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Times New Roman" w:hAnsi="Times New Roman" w:eastAsia="宋体" w:cs="Times New Roman"/>
          <w:color w:val="000000"/>
          <w:sz w:val="24"/>
          <w:szCs w:val="20"/>
        </w:rPr>
        <w:t>在终验收前，提供为保证货物后续正常运行所需的工装、吊（挂）具明细及其图纸、具体技术要求等资料（如果供货范围包含该部分实物）</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hint="eastAsia" w:ascii="Times New Roman" w:hAnsi="Times New Roman" w:eastAsia="宋体" w:cs="Times New Roman"/>
          <w:color w:val="000000"/>
          <w:sz w:val="24"/>
          <w:szCs w:val="20"/>
          <w:lang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Times New Roman" w:hAnsi="Times New Roman" w:eastAsia="宋体" w:cs="Times New Roman"/>
          <w:color w:val="000000"/>
          <w:sz w:val="24"/>
          <w:szCs w:val="20"/>
        </w:rPr>
        <w:t>在终验收前，提供包括货物的备品备件、易损件和专用耗材的图纸及技术参数、技术要求等资料</w:t>
      </w:r>
      <w:r>
        <w:rPr>
          <w:rFonts w:hint="eastAsia" w:ascii="Times New Roman" w:hAnsi="Times New Roman" w:eastAsia="宋体" w:cs="Times New Roman"/>
          <w:color w:val="000000"/>
          <w:sz w:val="24"/>
          <w:szCs w:val="20"/>
          <w:lang w:eastAsia="zh-CN"/>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Times New Roman" w:hAnsi="Times New Roman" w:eastAsia="宋体" w:cs="Times New Roman"/>
          <w:color w:val="000000"/>
          <w:sz w:val="24"/>
          <w:szCs w:val="20"/>
        </w:rPr>
        <w:t>在终验收前，</w:t>
      </w:r>
      <w:r>
        <w:rPr>
          <w:rFonts w:hint="eastAsia" w:ascii="宋体" w:hAnsi="宋体" w:eastAsia="宋体" w:cs="宋体"/>
          <w:sz w:val="24"/>
          <w:szCs w:val="24"/>
        </w:rPr>
        <w:t>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w:t>
      </w:r>
      <w:r>
        <w:rPr>
          <w:rFonts w:hint="eastAsia" w:ascii="Times New Roman" w:hAnsi="Times New Roman" w:eastAsia="宋体" w:cs="Times New Roman"/>
          <w:color w:val="000000"/>
          <w:sz w:val="24"/>
          <w:szCs w:val="20"/>
        </w:rPr>
        <w:t>在终验收前，</w:t>
      </w:r>
      <w:r>
        <w:rPr>
          <w:rFonts w:hint="eastAsia" w:ascii="宋体" w:hAnsi="宋体" w:eastAsia="宋体" w:cs="宋体"/>
          <w:sz w:val="24"/>
          <w:szCs w:val="24"/>
        </w:rPr>
        <w:t>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10.资料说明：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10.1硬件资料</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提供的资料应包括涉及所有系统部件的安装、运行、注意事项和维护方法的详细说明，此外还应包括所购设备的完整设备清单和详细指南。与设备清单相对应的设备项目代号应在所有相关图纸上表示出来，投标人还应根据要求提供其设备代号与市场上可买到的该设备型号间的参照表。</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投标人至少应提供下列手册和图纸：</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--设备竣工图（包括总图、基础图、装配图、机械原理图、气动、液压原理图、电气原理图、接线图和元器件布置图、PLC 梯形图、变频器的组态文件、HMI 的组态文件等）</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--设备硬件手册。</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--设备操作手册（含安全操作规程、操作和安全事项的使用说明书）。</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--设备维护手册（含润滑图表、含有易损件的检查更换指南、易损件使用时间）。</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--设备组态手册。</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--仪器仪表检定证书和使用维修说明书。</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--构成设备所有部件的原理图。</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--内部布置图。</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--符合招标人要求格式的外部连接图，图上应有电缆编号和端子编号。</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--每只控制柜、操作台的总布置图，这些图中应标明各模件和组装件的编号，并包括正视图、后视图、开孔图、总尺寸及开门所需的净空距离。</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--所有控制和调整装置在维护时所需的校验曲线。</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--所有卖方外购设备手册。</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PLC使用的部件详图。</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--安装步骤、包括装配细节、设备散热和设备重量等。</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--材料清册，包括备件、易损件和耗材清单。</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--所有外围设备的样本（包括主机、显示器、键盘、打印机等）。</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--产品合格证。</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--开箱记录等随机文件材料。</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--施工文件。</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--用于说明采购件名称、型号、规格、厂家等的采购件明细表。</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--设备出厂所必须的精度检验证书、性能测试记录和报告。</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--设备分支动力管线的设计竣工图。</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10.2软件资料</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10.2.1投标人应提供足以使招标人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10.2.2设备可编程器件（PLC、触摸屏、伺服器等）的原控制程序、组态程序电子文档。</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10.2.3编程指导材料，投标人应提供用于各系统程序的源码说明，包括交互在程序中的注释，以便整个程序的理解，这一资料应存放在工程师站和U盘内提供给招标人。</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10.2.4投标人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69" w:name="_Toc169605883"/>
    </w:p>
    <w:p>
      <w:pPr>
        <w:pStyle w:val="16"/>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69"/>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r>
        <w:rPr>
          <w:rFonts w:hint="eastAsia" w:ascii="宋体" w:hAnsi="宋体" w:eastAsia="宋体" w:cs="宋体"/>
          <w:sz w:val="24"/>
          <w:szCs w:val="24"/>
        </w:rPr>
        <w:t>。</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color w:val="000000"/>
          <w:sz w:val="24"/>
          <w:szCs w:val="20"/>
        </w:rPr>
        <w:t>本项目建设工地</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lang w:val="en-US" w:eastAsia="zh-CN"/>
        </w:rPr>
        <w:t>20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none"/>
          <w:shd w:val="clear" w:color="auto" w:fill="FFFFFF"/>
          <w:lang w:val="en-US" w:eastAsia="zh-CN"/>
        </w:rPr>
        <w:t>20</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接续</w:t>
      </w:r>
      <w:r>
        <w:rPr>
          <w:rFonts w:hint="eastAsia" w:ascii="宋体" w:hAnsi="宋体" w:eastAsia="宋体" w:cs="宋体"/>
          <w:sz w:val="24"/>
          <w:szCs w:val="24"/>
          <w:highlight w:val="yellow"/>
          <w:u w:val="single"/>
          <w:shd w:val="pct10" w:color="auto" w:fill="FFFFFF"/>
          <w:lang w:val="en-US" w:eastAsia="zh-CN"/>
        </w:rPr>
        <w:t>20</w:t>
      </w:r>
      <w:r>
        <w:rPr>
          <w:rFonts w:hint="eastAsia" w:ascii="宋体" w:hAnsi="宋体" w:eastAsia="宋体" w:cs="宋体"/>
          <w:sz w:val="24"/>
          <w:szCs w:val="24"/>
          <w:highlight w:val="yellow"/>
        </w:rPr>
        <w:t>个日历日之内完成终验收。</w:t>
      </w:r>
    </w:p>
    <w:p>
      <w:pPr>
        <w:spacing w:line="360" w:lineRule="auto"/>
        <w:ind w:firstLine="480" w:firstLineChars="200"/>
        <w:jc w:val="left"/>
        <w:rPr>
          <w:rFonts w:ascii="宋体" w:hAnsi="宋体" w:eastAsia="宋体" w:cs="宋体"/>
          <w:sz w:val="24"/>
          <w:szCs w:val="24"/>
          <w:highlight w:val="yellow"/>
        </w:rPr>
      </w:pPr>
      <w:r>
        <w:rPr>
          <w:rFonts w:hint="eastAsia" w:ascii="Times New Roman" w:hAnsi="Times New Roman" w:eastAsia="宋体" w:cs="Times New Roman"/>
          <w:color w:val="000000"/>
          <w:sz w:val="24"/>
          <w:szCs w:val="20"/>
          <w:lang w:val="en-US" w:eastAsia="zh-CN"/>
        </w:rPr>
        <w:t>上述时间仅作为参考</w:t>
      </w:r>
      <w:r>
        <w:rPr>
          <w:rFonts w:ascii="Times New Roman" w:hAnsi="Times New Roman" w:eastAsia="宋体" w:cs="Times New Roman"/>
          <w:color w:val="000000"/>
          <w:sz w:val="24"/>
          <w:szCs w:val="20"/>
        </w:rPr>
        <w:t>，</w:t>
      </w:r>
      <w:r>
        <w:rPr>
          <w:rFonts w:hint="eastAsia" w:ascii="Times New Roman" w:hAnsi="Times New Roman" w:eastAsia="宋体" w:cs="Times New Roman"/>
          <w:color w:val="000000"/>
          <w:sz w:val="24"/>
          <w:szCs w:val="20"/>
          <w:lang w:val="en-US" w:eastAsia="zh-CN"/>
        </w:rPr>
        <w:t>招标要求总工期不得超过60日历日。</w:t>
      </w:r>
      <w:r>
        <w:rPr>
          <w:rFonts w:ascii="Times New Roman" w:hAnsi="Times New Roman" w:eastAsia="宋体" w:cs="Times New Roman"/>
          <w:color w:val="000000"/>
          <w:sz w:val="24"/>
          <w:szCs w:val="20"/>
        </w:rPr>
        <w:t>投标方应</w:t>
      </w:r>
      <w:r>
        <w:rPr>
          <w:rFonts w:hint="eastAsia" w:ascii="Times New Roman" w:hAnsi="Times New Roman" w:eastAsia="宋体" w:cs="Times New Roman"/>
          <w:color w:val="000000"/>
          <w:sz w:val="24"/>
          <w:szCs w:val="20"/>
          <w:lang w:val="en-US" w:eastAsia="zh-CN"/>
        </w:rPr>
        <w:t>在投标文件中</w:t>
      </w:r>
      <w:r>
        <w:rPr>
          <w:rFonts w:ascii="Times New Roman" w:hAnsi="Times New Roman" w:eastAsia="宋体" w:cs="Times New Roman"/>
          <w:color w:val="000000"/>
          <w:sz w:val="24"/>
          <w:szCs w:val="20"/>
        </w:rPr>
        <w:t>提供详细的工期计划</w:t>
      </w:r>
      <w:r>
        <w:rPr>
          <w:rFonts w:hint="eastAsia" w:ascii="宋体" w:hAnsi="宋体" w:eastAsia="宋体" w:cs="宋体"/>
          <w:sz w:val="24"/>
          <w:szCs w:val="24"/>
          <w:highlight w:val="yellow"/>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设备的运输和到货后卸车、设备的安装调试工作和安装时的起重由卖方负责。</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70"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70"/>
    </w:p>
    <w:p>
      <w:pPr>
        <w:pStyle w:val="117"/>
        <w:spacing w:line="360" w:lineRule="auto"/>
      </w:pPr>
      <w:r>
        <w:rPr>
          <w:rFonts w:hint="eastAsia"/>
        </w:rPr>
        <w:t>一、质保期及质保要求</w:t>
      </w:r>
    </w:p>
    <w:p>
      <w:pPr>
        <w:adjustRightInd w:val="0"/>
        <w:snapToGrid w:val="0"/>
        <w:spacing w:line="360" w:lineRule="auto"/>
        <w:ind w:firstLine="482" w:firstLineChars="200"/>
        <w:rPr>
          <w:rFonts w:ascii="宋体" w:hAnsi="宋体" w:eastAsia="宋体" w:cs="宋体"/>
          <w:b/>
          <w:bCs/>
          <w:sz w:val="24"/>
          <w:szCs w:val="24"/>
        </w:rPr>
      </w:pPr>
      <w:r>
        <w:rPr>
          <w:rFonts w:ascii="宋体" w:hAnsi="宋体" w:eastAsia="宋体" w:cs="宋体"/>
          <w:b/>
          <w:bCs/>
          <w:sz w:val="24"/>
          <w:szCs w:val="24"/>
        </w:rPr>
        <w:t>1</w:t>
      </w:r>
      <w:r>
        <w:rPr>
          <w:rFonts w:hint="eastAsia" w:ascii="宋体" w:hAnsi="宋体" w:eastAsia="宋体" w:cs="宋体"/>
          <w:b/>
          <w:bCs/>
          <w:sz w:val="24"/>
          <w:szCs w:val="24"/>
        </w:rPr>
        <w:t>.全部供货范围内的设备、材料、零配件和工器具等，除合同特别约定外，其质保期均自终验收签字生效之日起</w:t>
      </w:r>
      <w:r>
        <w:rPr>
          <w:rFonts w:ascii="宋体" w:hAnsi="宋体" w:eastAsia="宋体" w:cs="宋体"/>
          <w:b/>
          <w:bCs/>
          <w:sz w:val="24"/>
          <w:szCs w:val="24"/>
          <w:u w:val="single"/>
        </w:rPr>
        <w:t xml:space="preserve"> </w:t>
      </w:r>
      <w:r>
        <w:rPr>
          <w:rFonts w:hint="eastAsia" w:ascii="宋体" w:hAnsi="宋体" w:eastAsia="宋体" w:cs="宋体"/>
          <w:b/>
          <w:bCs/>
          <w:sz w:val="24"/>
          <w:szCs w:val="24"/>
          <w:highlight w:val="yellow"/>
          <w:u w:val="single"/>
          <w:lang w:val="en-US" w:eastAsia="zh-CN"/>
        </w:rPr>
        <w:t>24</w:t>
      </w:r>
      <w:r>
        <w:rPr>
          <w:rFonts w:ascii="宋体" w:hAnsi="宋体" w:eastAsia="宋体" w:cs="宋体"/>
          <w:b/>
          <w:bCs/>
          <w:sz w:val="24"/>
          <w:szCs w:val="24"/>
          <w:highlight w:val="yellow"/>
          <w:u w:val="single"/>
        </w:rPr>
        <w:t xml:space="preserve"> </w:t>
      </w:r>
      <w:r>
        <w:rPr>
          <w:rFonts w:hint="eastAsia" w:ascii="宋体" w:hAnsi="宋体" w:eastAsia="宋体" w:cs="宋体"/>
          <w:b/>
          <w:bCs/>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Times New Roman" w:hAnsi="Times New Roman" w:eastAsia="宋体" w:cs="Times New Roman"/>
          <w:color w:val="000000"/>
          <w:sz w:val="24"/>
          <w:szCs w:val="20"/>
        </w:rPr>
        <w:t>应负责在买方货物使用现场，对技术、维修和操作人员提供免费的理论、技术和操作、维修等方面的技术指导和培训，并接受</w:t>
      </w:r>
      <w:r>
        <w:rPr>
          <w:rFonts w:hint="eastAsia" w:ascii="Times New Roman" w:hAnsi="Times New Roman" w:eastAsia="宋体" w:cs="Times New Roman"/>
          <w:color w:val="000000"/>
          <w:sz w:val="24"/>
          <w:szCs w:val="20"/>
          <w:lang w:val="en-US" w:eastAsia="zh-CN"/>
        </w:rPr>
        <w:t>招标人（指</w:t>
      </w:r>
      <w:r>
        <w:rPr>
          <w:rFonts w:hint="eastAsia" w:ascii="Times New Roman" w:hAnsi="Times New Roman" w:eastAsia="宋体" w:cs="Times New Roman"/>
          <w:color w:val="000000"/>
          <w:sz w:val="24"/>
          <w:szCs w:val="20"/>
        </w:rPr>
        <w:t>买方</w:t>
      </w:r>
      <w:r>
        <w:rPr>
          <w:rFonts w:hint="eastAsia" w:ascii="Times New Roman" w:hAnsi="Times New Roman" w:eastAsia="宋体" w:cs="Times New Roman"/>
          <w:color w:val="000000"/>
          <w:sz w:val="24"/>
          <w:szCs w:val="20"/>
          <w:lang w:eastAsia="zh-CN"/>
        </w:rPr>
        <w:t>）</w:t>
      </w:r>
      <w:r>
        <w:rPr>
          <w:rFonts w:hint="eastAsia" w:ascii="Times New Roman" w:hAnsi="Times New Roman" w:eastAsia="宋体" w:cs="Times New Roman"/>
          <w:color w:val="000000"/>
          <w:sz w:val="24"/>
          <w:szCs w:val="20"/>
        </w:rPr>
        <w:t>有关人员的技术咨询。培训工作日不少于</w:t>
      </w:r>
      <w:r>
        <w:rPr>
          <w:rFonts w:hint="eastAsia" w:ascii="Times New Roman" w:hAnsi="Times New Roman" w:eastAsia="宋体" w:cs="Times New Roman"/>
          <w:color w:val="000000"/>
          <w:sz w:val="24"/>
          <w:szCs w:val="20"/>
          <w:highlight w:val="yellow"/>
        </w:rPr>
        <w:t>7个日历日</w:t>
      </w:r>
      <w:r>
        <w:rPr>
          <w:rFonts w:hint="eastAsia" w:ascii="宋体" w:hAnsi="宋体" w:eastAsia="宋体" w:cs="宋体"/>
          <w:color w:val="000000"/>
          <w:sz w:val="24"/>
          <w:szCs w:val="24"/>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6.卖方负责招标人技术人员、操作人员和维修人员的培训，培训费用由卖方负担。</w:t>
      </w:r>
    </w:p>
    <w:p>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培训内容：产品的工作原理、结构性能、使用注意事项、操作方法、程序及其它相关内容。</w:t>
      </w:r>
    </w:p>
    <w:p>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培训教材：产品的相关图纸及技术文件。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培训方式：在终验收过程中，卖方专业技术人员讲课，使招标人人员达到具有独立操作及排除故障的能力。</w:t>
      </w:r>
      <w:r>
        <w:rPr>
          <w:rFonts w:hint="eastAsia" w:ascii="宋体" w:hAnsi="宋体" w:eastAsia="宋体" w:cs="宋体"/>
          <w:color w:val="000000"/>
          <w:sz w:val="24"/>
          <w:szCs w:val="24"/>
          <w:lang w:val="en-US" w:eastAsia="zh-CN"/>
        </w:rPr>
        <w:br w:type="textWrapping"/>
      </w:r>
      <w:r>
        <w:rPr>
          <w:rFonts w:hint="eastAsia" w:ascii="宋体" w:hAnsi="宋体" w:eastAsia="宋体" w:cs="宋体"/>
          <w:color w:val="000000"/>
          <w:sz w:val="24"/>
          <w:szCs w:val="24"/>
          <w:lang w:val="en-US" w:eastAsia="zh-CN"/>
        </w:rPr>
        <w:t xml:space="preserve">    7.设备出厂前及在招标人现场安装调试过程中，对招标人的机械、液压和电气操作维修人员进行技术培训，使招标人人员熟悉、掌握该设备的结构、性能、操作方法和一般常见故障的分析、判断、排除技能。</w:t>
      </w:r>
    </w:p>
    <w:p>
      <w:pPr>
        <w:pStyle w:val="11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adjustRightInd w:val="0"/>
        <w:snapToGrid w:val="0"/>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val="en-US" w:eastAsia="zh-CN"/>
        </w:rPr>
        <w:t>7.</w:t>
      </w:r>
      <w:r>
        <w:rPr>
          <w:rFonts w:hint="eastAsia" w:ascii="宋体" w:hAnsi="宋体" w:eastAsia="宋体" w:cs="宋体"/>
          <w:color w:val="000000"/>
          <w:sz w:val="24"/>
          <w:szCs w:val="24"/>
          <w:highlight w:val="yellow"/>
          <w:lang w:eastAsia="zh-CN"/>
        </w:rPr>
        <w:t>设备基础、二次灌浆由招标人负责；卖方提前通知招标人所需型号、数量。</w:t>
      </w:r>
    </w:p>
    <w:p>
      <w:pPr>
        <w:adjustRightInd w:val="0"/>
        <w:snapToGrid w:val="0"/>
        <w:spacing w:line="360" w:lineRule="auto"/>
        <w:ind w:firstLine="480"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8.</w:t>
      </w:r>
      <w:r>
        <w:rPr>
          <w:rFonts w:hint="eastAsia" w:ascii="宋体" w:hAnsi="宋体" w:eastAsia="宋体" w:cs="宋体"/>
          <w:color w:val="000000"/>
          <w:sz w:val="24"/>
          <w:szCs w:val="24"/>
          <w:highlight w:val="yellow"/>
          <w:lang w:eastAsia="zh-CN"/>
        </w:rPr>
        <w:t>设备包装物等当</w:t>
      </w:r>
      <w:r>
        <w:rPr>
          <w:rFonts w:hint="eastAsia" w:ascii="宋体" w:hAnsi="宋体" w:eastAsia="宋体" w:cs="宋体"/>
          <w:color w:val="000000"/>
          <w:sz w:val="24"/>
          <w:szCs w:val="24"/>
          <w:highlight w:val="yellow"/>
          <w:lang w:val="en-US" w:eastAsia="zh-CN"/>
        </w:rPr>
        <w:t>卖方</w:t>
      </w:r>
      <w:r>
        <w:rPr>
          <w:rFonts w:hint="eastAsia" w:ascii="宋体" w:hAnsi="宋体" w:eastAsia="宋体" w:cs="宋体"/>
          <w:color w:val="000000"/>
          <w:sz w:val="24"/>
          <w:szCs w:val="24"/>
          <w:highlight w:val="yellow"/>
          <w:lang w:eastAsia="zh-CN"/>
        </w:rPr>
        <w:t xml:space="preserve">提出回收要求时， </w:t>
      </w:r>
      <w:r>
        <w:rPr>
          <w:rFonts w:hint="eastAsia" w:ascii="宋体" w:hAnsi="宋体" w:eastAsia="宋体" w:cs="宋体"/>
          <w:color w:val="000000"/>
          <w:sz w:val="24"/>
          <w:szCs w:val="24"/>
          <w:highlight w:val="yellow"/>
          <w:lang w:val="en-US" w:eastAsia="zh-CN"/>
        </w:rPr>
        <w:t>买</w:t>
      </w:r>
      <w:r>
        <w:rPr>
          <w:rFonts w:hint="eastAsia" w:ascii="宋体" w:hAnsi="宋体" w:eastAsia="宋体" w:cs="宋体"/>
          <w:color w:val="000000"/>
          <w:sz w:val="24"/>
          <w:szCs w:val="24"/>
          <w:highlight w:val="yellow"/>
          <w:lang w:eastAsia="zh-CN"/>
        </w:rPr>
        <w:t>方妥善保管，并为</w:t>
      </w:r>
      <w:r>
        <w:rPr>
          <w:rFonts w:hint="eastAsia" w:ascii="宋体" w:hAnsi="宋体" w:eastAsia="宋体" w:cs="宋体"/>
          <w:color w:val="000000"/>
          <w:sz w:val="24"/>
          <w:szCs w:val="24"/>
          <w:highlight w:val="yellow"/>
          <w:lang w:val="en-US" w:eastAsia="zh-CN"/>
        </w:rPr>
        <w:t>卖</w:t>
      </w:r>
      <w:r>
        <w:rPr>
          <w:rFonts w:hint="eastAsia" w:ascii="宋体" w:hAnsi="宋体" w:eastAsia="宋体" w:cs="宋体"/>
          <w:color w:val="000000"/>
          <w:sz w:val="24"/>
          <w:szCs w:val="24"/>
          <w:highlight w:val="yellow"/>
          <w:lang w:eastAsia="zh-CN"/>
        </w:rPr>
        <w:t>方回收提供方便。</w:t>
      </w:r>
      <w:r>
        <w:rPr>
          <w:rFonts w:hint="eastAsia" w:ascii="宋体" w:hAnsi="宋体" w:eastAsia="宋体" w:cs="宋体"/>
          <w:color w:val="000000"/>
          <w:sz w:val="24"/>
          <w:szCs w:val="24"/>
          <w:highlight w:val="yellow"/>
          <w:lang w:val="en-US" w:eastAsia="zh-CN"/>
        </w:rPr>
        <w:t>若未要求，由买方主导，可自行协商解决。</w:t>
      </w:r>
    </w:p>
    <w:p>
      <w:pPr>
        <w:adjustRightInd w:val="0"/>
        <w:snapToGrid w:val="0"/>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val="en-US" w:eastAsia="zh-CN"/>
        </w:rPr>
        <w:t>9.卖</w:t>
      </w:r>
      <w:r>
        <w:rPr>
          <w:rFonts w:hint="eastAsia" w:ascii="宋体" w:hAnsi="宋体" w:eastAsia="宋体" w:cs="宋体"/>
          <w:color w:val="000000"/>
          <w:sz w:val="24"/>
          <w:szCs w:val="24"/>
          <w:highlight w:val="yellow"/>
          <w:lang w:eastAsia="zh-CN"/>
        </w:rPr>
        <w:t>方进入</w:t>
      </w:r>
      <w:r>
        <w:rPr>
          <w:rFonts w:hint="eastAsia" w:ascii="宋体" w:hAnsi="宋体" w:eastAsia="宋体" w:cs="宋体"/>
          <w:color w:val="000000"/>
          <w:sz w:val="24"/>
          <w:szCs w:val="24"/>
          <w:highlight w:val="yellow"/>
          <w:lang w:val="en-US" w:eastAsia="zh-CN"/>
        </w:rPr>
        <w:t>买</w:t>
      </w:r>
      <w:r>
        <w:rPr>
          <w:rFonts w:hint="eastAsia" w:ascii="宋体" w:hAnsi="宋体" w:eastAsia="宋体" w:cs="宋体"/>
          <w:color w:val="000000"/>
          <w:sz w:val="24"/>
          <w:szCs w:val="24"/>
          <w:highlight w:val="yellow"/>
          <w:lang w:eastAsia="zh-CN"/>
        </w:rPr>
        <w:t>方现场进行安装调试过程中，应进行相关安全环保注意事项的培训，并提供相关人员、设备安全作业资质的要求。需国家强制检验检测的设备除通过检验外，应提供合规的检验报告。</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10.</w:t>
      </w:r>
      <w:r>
        <w:rPr>
          <w:rFonts w:hint="eastAsia" w:ascii="宋体" w:hAnsi="宋体" w:eastAsia="宋体" w:cs="宋体"/>
          <w:color w:val="000000"/>
          <w:sz w:val="24"/>
          <w:szCs w:val="24"/>
          <w:highlight w:val="yellow"/>
          <w:lang w:eastAsia="zh-CN"/>
        </w:rPr>
        <w:t>设备</w:t>
      </w:r>
      <w:r>
        <w:rPr>
          <w:rFonts w:hint="eastAsia" w:ascii="宋体" w:hAnsi="宋体" w:eastAsia="宋体" w:cs="宋体"/>
          <w:color w:val="000000"/>
          <w:sz w:val="24"/>
          <w:szCs w:val="24"/>
          <w:highlight w:val="yellow"/>
          <w:lang w:val="en-US" w:eastAsia="zh-CN"/>
        </w:rPr>
        <w:t>卖</w:t>
      </w:r>
      <w:r>
        <w:rPr>
          <w:rFonts w:hint="eastAsia" w:ascii="宋体" w:hAnsi="宋体" w:eastAsia="宋体" w:cs="宋体"/>
          <w:color w:val="000000"/>
          <w:sz w:val="24"/>
          <w:szCs w:val="24"/>
          <w:highlight w:val="yellow"/>
          <w:lang w:eastAsia="zh-CN"/>
        </w:rPr>
        <w:t>方配合</w:t>
      </w:r>
      <w:r>
        <w:rPr>
          <w:rFonts w:hint="eastAsia" w:ascii="宋体" w:hAnsi="宋体" w:eastAsia="宋体" w:cs="宋体"/>
          <w:color w:val="000000"/>
          <w:sz w:val="24"/>
          <w:szCs w:val="24"/>
          <w:highlight w:val="yellow"/>
          <w:lang w:val="en-US" w:eastAsia="zh-CN"/>
        </w:rPr>
        <w:t>买方</w:t>
      </w:r>
      <w:r>
        <w:rPr>
          <w:rFonts w:hint="eastAsia" w:ascii="宋体" w:hAnsi="宋体" w:eastAsia="宋体" w:cs="宋体"/>
          <w:color w:val="000000"/>
          <w:sz w:val="24"/>
          <w:szCs w:val="24"/>
          <w:highlight w:val="yellow"/>
          <w:lang w:eastAsia="zh-CN"/>
        </w:rPr>
        <w:t>完成设备数据采集的调试工作，包括但不限于提供设备PLC程序（无密码），接口调试等工作。</w:t>
      </w:r>
    </w:p>
    <w:p>
      <w:pPr>
        <w:pStyle w:val="11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ascii="Times New Roman" w:hAnsi="Times New Roman" w:eastAsia="宋体" w:cs="Times New Roman"/>
          <w:color w:val="000000"/>
          <w:sz w:val="24"/>
          <w:szCs w:val="20"/>
        </w:rPr>
        <w:t>如发现所提供的货物存在问题，需要卖方解决或配合解决时：在质保期之内，应在接到通知后</w:t>
      </w:r>
      <w:r>
        <w:rPr>
          <w:rFonts w:hint="eastAsia" w:ascii="Times New Roman" w:hAnsi="Times New Roman" w:eastAsia="宋体" w:cs="Times New Roman"/>
          <w:color w:val="000000"/>
          <w:sz w:val="24"/>
          <w:szCs w:val="20"/>
          <w:u w:val="single"/>
          <w:shd w:val="pct10" w:color="auto" w:fill="FFFFFF"/>
          <w:lang w:val="en-US" w:eastAsia="zh-CN"/>
        </w:rPr>
        <w:t>24</w:t>
      </w:r>
      <w:r>
        <w:rPr>
          <w:rFonts w:ascii="Times New Roman" w:hAnsi="Times New Roman" w:eastAsia="宋体" w:cs="Times New Roman"/>
          <w:color w:val="000000"/>
          <w:sz w:val="24"/>
          <w:szCs w:val="20"/>
        </w:rPr>
        <w:t>小时内派有关人员</w:t>
      </w:r>
      <w:r>
        <w:rPr>
          <w:rFonts w:hint="eastAsia" w:ascii="宋体" w:hAnsi="宋体" w:eastAsia="宋体" w:cs="宋体"/>
          <w:color w:val="000000"/>
          <w:sz w:val="24"/>
          <w:szCs w:val="24"/>
        </w:rPr>
        <w:t>及时到达现场排除故障</w:t>
      </w:r>
      <w:r>
        <w:rPr>
          <w:rFonts w:ascii="Times New Roman" w:hAnsi="Times New Roman" w:eastAsia="宋体" w:cs="Times New Roman"/>
          <w:color w:val="000000"/>
          <w:sz w:val="24"/>
          <w:szCs w:val="20"/>
        </w:rPr>
        <w:t>；在质保期之外，应在接到通知后</w:t>
      </w:r>
      <w:r>
        <w:rPr>
          <w:rFonts w:hint="eastAsia" w:ascii="Times New Roman" w:hAnsi="Times New Roman" w:eastAsia="宋体" w:cs="Times New Roman"/>
          <w:color w:val="000000"/>
          <w:sz w:val="24"/>
          <w:szCs w:val="20"/>
          <w:highlight w:val="none"/>
          <w:u w:val="single"/>
          <w:shd w:val="pct10" w:color="auto" w:fill="FFFFFF"/>
          <w:lang w:val="en-US" w:eastAsia="zh-CN"/>
        </w:rPr>
        <w:t>24</w:t>
      </w:r>
      <w:r>
        <w:rPr>
          <w:rFonts w:ascii="Times New Roman" w:hAnsi="Times New Roman" w:eastAsia="宋体" w:cs="Times New Roman"/>
          <w:color w:val="000000"/>
          <w:sz w:val="24"/>
          <w:szCs w:val="20"/>
        </w:rPr>
        <w:t>小时内派有关人员到达现场</w:t>
      </w:r>
      <w:r>
        <w:rPr>
          <w:rFonts w:hint="eastAsia" w:ascii="宋体" w:hAnsi="宋体" w:eastAsia="宋体" w:cs="宋体"/>
          <w:color w:val="000000"/>
          <w:sz w:val="24"/>
          <w:szCs w:val="24"/>
        </w:rPr>
        <w:t>。</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4.</w:t>
      </w:r>
      <w:r>
        <w:rPr>
          <w:rFonts w:hint="eastAsia" w:ascii="宋体" w:hAnsi="宋体" w:eastAsia="宋体" w:cs="宋体"/>
          <w:color w:val="000000"/>
          <w:sz w:val="24"/>
          <w:szCs w:val="24"/>
          <w:highlight w:val="yellow"/>
        </w:rPr>
        <w:t>设备质保期为从最终验收之日起24个月，在此期间由于设备缺陷而引起的故障及机械电气损坏,均应由</w:t>
      </w:r>
      <w:r>
        <w:rPr>
          <w:rFonts w:hint="eastAsia" w:ascii="宋体" w:hAnsi="宋体" w:eastAsia="宋体" w:cs="宋体"/>
          <w:color w:val="000000"/>
          <w:sz w:val="24"/>
          <w:szCs w:val="24"/>
          <w:highlight w:val="yellow"/>
          <w:lang w:val="en-US" w:eastAsia="zh-CN"/>
        </w:rPr>
        <w:t>卖方</w:t>
      </w:r>
      <w:r>
        <w:rPr>
          <w:rFonts w:hint="eastAsia" w:ascii="宋体" w:hAnsi="宋体" w:eastAsia="宋体" w:cs="宋体"/>
          <w:color w:val="000000"/>
          <w:sz w:val="24"/>
          <w:szCs w:val="24"/>
          <w:highlight w:val="yellow"/>
        </w:rPr>
        <w:t>免费维修和置换。</w:t>
      </w:r>
    </w:p>
    <w:p>
      <w:pPr>
        <w:adjustRightInd w:val="0"/>
        <w:snapToGrid w:val="0"/>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val="en-US" w:eastAsia="zh-CN"/>
        </w:rPr>
        <w:t>5.卖方</w:t>
      </w:r>
      <w:r>
        <w:rPr>
          <w:rFonts w:hint="eastAsia" w:ascii="宋体" w:hAnsi="宋体" w:eastAsia="宋体" w:cs="宋体"/>
          <w:color w:val="000000"/>
          <w:sz w:val="24"/>
          <w:szCs w:val="24"/>
          <w:highlight w:val="yellow"/>
        </w:rPr>
        <w:t>保证及时维修服务和零配件供应</w:t>
      </w:r>
      <w:r>
        <w:rPr>
          <w:rFonts w:hint="eastAsia" w:ascii="宋体" w:hAnsi="宋体" w:eastAsia="宋体" w:cs="宋体"/>
          <w:color w:val="000000"/>
          <w:sz w:val="24"/>
          <w:szCs w:val="24"/>
          <w:highlight w:val="yellow"/>
          <w:lang w:eastAsia="zh-CN"/>
        </w:rPr>
        <w:t>。</w:t>
      </w:r>
    </w:p>
    <w:p>
      <w:pPr>
        <w:adjustRightInd w:val="0"/>
        <w:snapToGrid w:val="0"/>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val="en-US" w:eastAsia="zh-CN"/>
        </w:rPr>
        <w:t>6.</w:t>
      </w:r>
      <w:r>
        <w:rPr>
          <w:rFonts w:hint="eastAsia" w:ascii="宋体" w:hAnsi="宋体" w:eastAsia="宋体" w:cs="宋体"/>
          <w:color w:val="000000"/>
          <w:sz w:val="24"/>
          <w:szCs w:val="24"/>
          <w:highlight w:val="yellow"/>
        </w:rPr>
        <w:t>质保期内,</w:t>
      </w:r>
      <w:r>
        <w:rPr>
          <w:rFonts w:hint="eastAsia" w:ascii="宋体" w:hAnsi="宋体" w:eastAsia="宋体" w:cs="宋体"/>
          <w:color w:val="000000"/>
          <w:sz w:val="24"/>
          <w:szCs w:val="24"/>
          <w:highlight w:val="yellow"/>
          <w:lang w:val="en-US" w:eastAsia="zh-CN"/>
        </w:rPr>
        <w:t>卖方</w:t>
      </w:r>
      <w:r>
        <w:rPr>
          <w:rFonts w:hint="eastAsia" w:ascii="宋体" w:hAnsi="宋体" w:eastAsia="宋体" w:cs="宋体"/>
          <w:color w:val="000000"/>
          <w:sz w:val="24"/>
          <w:szCs w:val="24"/>
          <w:highlight w:val="yellow"/>
        </w:rPr>
        <w:t>应提供免费维修服务,并免费提供因设备缺陷所至的维修零配件；质保期过后,</w:t>
      </w:r>
      <w:r>
        <w:rPr>
          <w:rFonts w:hint="eastAsia" w:ascii="宋体" w:hAnsi="宋体" w:eastAsia="宋体" w:cs="宋体"/>
          <w:color w:val="000000"/>
          <w:sz w:val="24"/>
          <w:szCs w:val="24"/>
          <w:highlight w:val="yellow"/>
          <w:lang w:val="en-US" w:eastAsia="zh-CN"/>
        </w:rPr>
        <w:t>卖方</w:t>
      </w:r>
      <w:r>
        <w:rPr>
          <w:rFonts w:hint="eastAsia" w:ascii="宋体" w:hAnsi="宋体" w:eastAsia="宋体" w:cs="宋体"/>
          <w:color w:val="000000"/>
          <w:sz w:val="24"/>
          <w:szCs w:val="24"/>
          <w:highlight w:val="yellow"/>
        </w:rPr>
        <w:t xml:space="preserve">应提供终身维修服务,并只收成本费, </w:t>
      </w:r>
      <w:r>
        <w:rPr>
          <w:rFonts w:hint="eastAsia" w:ascii="宋体" w:hAnsi="宋体" w:eastAsia="宋体" w:cs="宋体"/>
          <w:color w:val="000000"/>
          <w:sz w:val="24"/>
          <w:szCs w:val="24"/>
          <w:highlight w:val="yellow"/>
          <w:lang w:val="en-US" w:eastAsia="zh-CN"/>
        </w:rPr>
        <w:t>卖方</w:t>
      </w:r>
      <w:r>
        <w:rPr>
          <w:rFonts w:hint="eastAsia" w:ascii="宋体" w:hAnsi="宋体" w:eastAsia="宋体" w:cs="宋体"/>
          <w:color w:val="000000"/>
          <w:sz w:val="24"/>
          <w:szCs w:val="24"/>
          <w:highlight w:val="yellow"/>
        </w:rPr>
        <w:t>在接到</w:t>
      </w:r>
      <w:r>
        <w:rPr>
          <w:rFonts w:hint="eastAsia" w:ascii="宋体" w:hAnsi="宋体" w:eastAsia="宋体" w:cs="宋体"/>
          <w:color w:val="000000"/>
          <w:sz w:val="24"/>
          <w:szCs w:val="24"/>
          <w:highlight w:val="yellow"/>
          <w:lang w:val="en-US" w:eastAsia="zh-CN"/>
        </w:rPr>
        <w:t>买</w:t>
      </w:r>
      <w:r>
        <w:rPr>
          <w:rFonts w:hint="eastAsia" w:ascii="宋体" w:hAnsi="宋体" w:eastAsia="宋体" w:cs="宋体"/>
          <w:color w:val="000000"/>
          <w:sz w:val="24"/>
          <w:szCs w:val="24"/>
          <w:highlight w:val="yellow"/>
        </w:rPr>
        <w:t>方书面通知后,要求24小时之内及时到达现场</w:t>
      </w:r>
      <w:r>
        <w:rPr>
          <w:rFonts w:hint="eastAsia" w:ascii="宋体" w:hAnsi="宋体" w:eastAsia="宋体" w:cs="宋体"/>
          <w:color w:val="000000"/>
          <w:sz w:val="24"/>
          <w:szCs w:val="24"/>
          <w:highlight w:val="yellow"/>
          <w:lang w:eastAsia="zh-CN"/>
        </w:rPr>
        <w:t>。</w:t>
      </w:r>
    </w:p>
    <w:p>
      <w:pPr>
        <w:pStyle w:val="117"/>
        <w:spacing w:line="360" w:lineRule="auto"/>
        <w:rPr>
          <w:rFonts w:hint="eastAsia" w:ascii="宋体" w:hAnsi="宋体" w:cs="宋体"/>
        </w:rPr>
      </w:pPr>
      <w:r>
        <w:rPr>
          <w:rFonts w:hint="eastAsia" w:ascii="宋体" w:hAnsi="宋体" w:cs="宋体"/>
        </w:rPr>
        <w:t>五、其它服务</w:t>
      </w:r>
    </w:p>
    <w:p>
      <w:pPr>
        <w:adjustRightInd w:val="0"/>
        <w:snapToGrid w:val="0"/>
        <w:spacing w:line="360" w:lineRule="auto"/>
        <w:ind w:firstLine="482" w:firstLineChars="200"/>
        <w:rPr>
          <w:rFonts w:hint="eastAsia" w:ascii="宋体" w:hAnsi="宋体" w:eastAsia="宋体" w:cs="宋体"/>
          <w:b/>
          <w:bCs/>
          <w:color w:val="000000"/>
          <w:sz w:val="24"/>
          <w:szCs w:val="24"/>
          <w:highlight w:val="yellow"/>
          <w:lang w:val="en-US" w:eastAsia="zh-CN"/>
        </w:rPr>
      </w:pPr>
      <w:r>
        <w:rPr>
          <w:rFonts w:hint="eastAsia" w:ascii="宋体" w:hAnsi="宋体" w:eastAsia="宋体" w:cs="宋体"/>
          <w:b/>
          <w:bCs/>
          <w:color w:val="000000"/>
          <w:sz w:val="24"/>
          <w:szCs w:val="24"/>
          <w:highlight w:val="yellow"/>
          <w:lang w:val="en-US" w:eastAsia="zh-CN"/>
        </w:rPr>
        <w:t>1.陪产</w:t>
      </w:r>
    </w:p>
    <w:p>
      <w:pPr>
        <w:adjustRightInd w:val="0"/>
        <w:snapToGrid w:val="0"/>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1.1终验收后陪产期间卖方安排相关工程师在生产现场进行一周陪产，并满足买方生产需求。</w:t>
      </w:r>
    </w:p>
    <w:p>
      <w:pPr>
        <w:adjustRightInd w:val="0"/>
        <w:snapToGrid w:val="0"/>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1.2陪产时间按买方生产时间进行安排，必须保证现场有陪产人员；陪产期内设备发生故障，相关人员必须在60分钟内到达现场；如遇节假日应服从买方工作安排。</w:t>
      </w:r>
    </w:p>
    <w:p>
      <w:pPr>
        <w:adjustRightInd w:val="0"/>
        <w:snapToGrid w:val="0"/>
        <w:spacing w:line="360" w:lineRule="auto"/>
        <w:ind w:firstLine="480"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1.3卖方现场陪产人员不配合买方工作时，买方有权要求卖方更换陪产人员，在买方发出通知后到替换人员到达现场期间时间，不列入陪产期内。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pPr>
        <w:pStyle w:val="16"/>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71" w:name="_Toc465187646"/>
      <w:r>
        <w:rPr>
          <w:rFonts w:hint="eastAsia" w:ascii="Calibri" w:hAnsi="Calibri" w:eastAsia="宋体" w:cs="Times New Roman"/>
          <w:b/>
          <w:bCs/>
          <w:kern w:val="44"/>
          <w:sz w:val="28"/>
          <w:szCs w:val="28"/>
        </w:rPr>
        <w:t>第五章  预验收和终验收</w:t>
      </w:r>
      <w:bookmarkEnd w:id="71"/>
    </w:p>
    <w:p>
      <w:pPr>
        <w:pStyle w:val="11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val="en-US" w:eastAsia="zh-CN"/>
        </w:rPr>
        <w:t>3.卖</w:t>
      </w:r>
      <w:r>
        <w:rPr>
          <w:rFonts w:hint="eastAsia" w:ascii="宋体" w:hAnsi="宋体" w:eastAsia="宋体" w:cs="宋体"/>
          <w:color w:val="000000"/>
          <w:sz w:val="24"/>
          <w:szCs w:val="24"/>
          <w:highlight w:val="yellow"/>
        </w:rPr>
        <w:t>方</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指中标人）</w:t>
      </w:r>
      <w:r>
        <w:rPr>
          <w:rFonts w:hint="eastAsia" w:ascii="宋体" w:hAnsi="宋体" w:eastAsia="宋体" w:cs="宋体"/>
          <w:color w:val="000000"/>
          <w:sz w:val="24"/>
          <w:szCs w:val="24"/>
          <w:highlight w:val="yellow"/>
        </w:rPr>
        <w:t>应及时提供对设备的验收方案,经买方认可后按此方案对设备进行验收</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val="en-US" w:eastAsia="zh-CN"/>
        </w:rPr>
        <w:t>4.</w:t>
      </w:r>
      <w:r>
        <w:rPr>
          <w:rFonts w:hint="eastAsia" w:ascii="宋体" w:hAnsi="宋体" w:eastAsia="宋体" w:cs="宋体"/>
          <w:color w:val="000000"/>
          <w:sz w:val="24"/>
          <w:szCs w:val="24"/>
          <w:highlight w:val="yellow"/>
        </w:rPr>
        <w:t>验收时的实际数据应满足国家</w:t>
      </w:r>
      <w:r>
        <w:rPr>
          <w:rFonts w:hint="eastAsia" w:ascii="宋体" w:hAnsi="宋体" w:eastAsia="宋体" w:cs="宋体"/>
          <w:color w:val="000000"/>
          <w:sz w:val="24"/>
          <w:szCs w:val="24"/>
          <w:highlight w:val="yellow"/>
          <w:lang w:val="en-US" w:eastAsia="zh-CN"/>
        </w:rPr>
        <w:t>最新相关</w:t>
      </w:r>
      <w:r>
        <w:rPr>
          <w:rFonts w:hint="eastAsia" w:ascii="宋体" w:hAnsi="宋体" w:eastAsia="宋体" w:cs="宋体"/>
          <w:color w:val="000000"/>
          <w:sz w:val="24"/>
          <w:szCs w:val="24"/>
          <w:highlight w:val="yellow"/>
        </w:rPr>
        <w:t>标准</w:t>
      </w:r>
      <w:r>
        <w:rPr>
          <w:rFonts w:hint="eastAsia" w:ascii="宋体" w:hAnsi="宋体" w:eastAsia="宋体" w:cs="宋体"/>
          <w:color w:val="000000"/>
          <w:sz w:val="24"/>
          <w:szCs w:val="24"/>
          <w:highlight w:val="yellow"/>
          <w:lang w:val="en-US" w:eastAsia="zh-CN"/>
        </w:rPr>
        <w:t>或</w:t>
      </w:r>
      <w:r>
        <w:rPr>
          <w:rFonts w:hint="eastAsia" w:ascii="宋体" w:hAnsi="宋体" w:eastAsia="宋体" w:cs="宋体"/>
          <w:color w:val="000000"/>
          <w:sz w:val="24"/>
          <w:szCs w:val="24"/>
          <w:highlight w:val="yellow"/>
        </w:rPr>
        <w:t>行业标准、规范、本标书及验收方案中的相关规定</w:t>
      </w:r>
      <w:r>
        <w:rPr>
          <w:rFonts w:hint="eastAsia" w:ascii="宋体" w:hAnsi="宋体" w:eastAsia="宋体" w:cs="宋体"/>
          <w:color w:val="000000"/>
          <w:sz w:val="24"/>
          <w:szCs w:val="24"/>
          <w:highlight w:val="yellow"/>
          <w:lang w:eastAsia="zh-CN"/>
        </w:rPr>
        <w:t>。</w:t>
      </w:r>
    </w:p>
    <w:p>
      <w:pPr>
        <w:pStyle w:val="11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2" w:firstLineChars="200"/>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一般情况下，所有的管路和线缆等，接头应完全正确、可靠地联接；应排列有序（正确、牢固、整齐），有必要的防护，无皱褶、收缩和裂缝等不良现象。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使用的压力容器、电气等应具备合格证（如果有压力容器）。</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 xml:space="preserve"> 货物标牌完整、清晰、明确。</w:t>
      </w:r>
    </w:p>
    <w:p>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hint="eastAsia" w:ascii="Times New Roman" w:hAnsi="Times New Roman" w:eastAsia="宋体" w:cs="Times New Roman"/>
          <w:color w:val="000000"/>
          <w:sz w:val="24"/>
          <w:szCs w:val="20"/>
        </w:rPr>
        <w:t>地线联接和地极符合国际（</w:t>
      </w:r>
      <w:r>
        <w:rPr>
          <w:rFonts w:ascii="Times New Roman" w:hAnsi="Times New Roman" w:eastAsia="宋体" w:cs="Times New Roman"/>
          <w:color w:val="000000"/>
          <w:sz w:val="24"/>
          <w:szCs w:val="20"/>
        </w:rPr>
        <w:t>ISO</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IEC</w:t>
      </w:r>
      <w:r>
        <w:rPr>
          <w:rFonts w:hint="eastAsia" w:ascii="Times New Roman" w:hAnsi="Times New Roman" w:eastAsia="宋体" w:cs="Times New Roman"/>
          <w:color w:val="000000"/>
          <w:sz w:val="24"/>
          <w:szCs w:val="20"/>
        </w:rPr>
        <w:t>）标准规范</w:t>
      </w:r>
      <w:r>
        <w:rPr>
          <w:rFonts w:hint="eastAsia" w:ascii="Times New Roman" w:hAnsi="Times New Roman" w:eastAsia="宋体" w:cs="Times New Roman"/>
          <w:color w:val="000000"/>
          <w:sz w:val="24"/>
          <w:szCs w:val="20"/>
          <w:lang w:eastAsia="zh-CN"/>
        </w:rPr>
        <w:t>。</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1.8</w:t>
      </w:r>
      <w:r>
        <w:rPr>
          <w:rFonts w:hint="eastAsia" w:ascii="宋体" w:hAnsi="宋体" w:eastAsia="宋体" w:cs="宋体"/>
          <w:color w:val="000000"/>
          <w:sz w:val="24"/>
          <w:szCs w:val="24"/>
        </w:rPr>
        <w:t>货物的安全要求符合中国最新的相关法律、法规、标准和规范以及合同要求。</w:t>
      </w:r>
    </w:p>
    <w:p>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rPr>
        <w:t>预验收基本要求</w:t>
      </w:r>
    </w:p>
    <w:p>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2.1  设备构成、备件齐全</w:t>
      </w:r>
      <w:r>
        <w:rPr>
          <w:rFonts w:hint="eastAsia" w:ascii="宋体" w:hAnsi="宋体" w:eastAsia="宋体" w:cs="宋体"/>
          <w:color w:val="000000"/>
          <w:sz w:val="24"/>
          <w:szCs w:val="24"/>
          <w:lang w:eastAsia="zh-CN"/>
        </w:rPr>
        <w:t>。</w:t>
      </w:r>
    </w:p>
    <w:p>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 xml:space="preserve">  设备技术原理符合标书要求</w:t>
      </w:r>
      <w:r>
        <w:rPr>
          <w:rFonts w:hint="eastAsia" w:ascii="宋体" w:hAnsi="宋体" w:eastAsia="宋体" w:cs="宋体"/>
          <w:color w:val="000000"/>
          <w:sz w:val="24"/>
          <w:szCs w:val="24"/>
          <w:lang w:eastAsia="zh-CN"/>
        </w:rPr>
        <w:t>。</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进口设备需要在国外产地进行设备上电调试、提供出厂报告。</w:t>
      </w:r>
    </w:p>
    <w:p>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预验收原则上要求一次完成。若一次验收不成功，最多允许两次；如果出现第</w:t>
      </w:r>
      <w:r>
        <w:rPr>
          <w:rFonts w:hint="eastAsia" w:ascii="宋体" w:hAnsi="宋体" w:eastAsia="宋体" w:cs="宋体"/>
          <w:color w:val="000000"/>
          <w:sz w:val="24"/>
          <w:szCs w:val="24"/>
          <w:lang w:val="en-US" w:eastAsia="zh-CN"/>
        </w:rPr>
        <w:t>三次验收失败，重新作价或退货；</w:t>
      </w:r>
    </w:p>
    <w:p>
      <w:pPr>
        <w:adjustRightInd w:val="0"/>
        <w:snapToGrid w:val="0"/>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2.5  预验收食宿及往返机票由卖方（中标方）承担。</w:t>
      </w:r>
    </w:p>
    <w:p>
      <w:pPr>
        <w:adjustRightInd w:val="0"/>
        <w:snapToGrid w:val="0"/>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2.6  预验收：设备到厂后，买方人员进行验收，预验收合格，双方签署一份预验收报告，卖方应提前七天向买方发出预验收通知，预验收时设备应制造、组装完毕，并已进行了试运行、负荷试验和精度测试；预验收检查项目为：设备的技术规格和数量，设备制造加工质量，设备的机械、电气动作、综合精度、负荷试验，技术资料的完整情况；</w:t>
      </w:r>
    </w:p>
    <w:p>
      <w:pPr>
        <w:adjustRightInd w:val="0"/>
        <w:snapToGrid w:val="0"/>
        <w:spacing w:line="360" w:lineRule="auto"/>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2.7  试生产：中标通知书下达后2个月内安装调试完成，满足试生产条件，卖方（中标方）应配合买方完成整线联调联试</w:t>
      </w:r>
      <w:r>
        <w:rPr>
          <w:rFonts w:hint="eastAsia" w:ascii="宋体" w:hAnsi="宋体" w:eastAsia="宋体" w:cs="宋体"/>
          <w:b w:val="0"/>
          <w:bCs w:val="0"/>
          <w:color w:val="000000"/>
          <w:sz w:val="24"/>
          <w:szCs w:val="24"/>
        </w:rPr>
        <w:t>。</w:t>
      </w:r>
    </w:p>
    <w:p>
      <w:pPr>
        <w:adjustRightInd w:val="0"/>
        <w:snapToGrid w:val="0"/>
        <w:spacing w:line="360" w:lineRule="auto"/>
        <w:ind w:firstLine="482" w:firstLineChars="200"/>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3.终验收一般条件</w:t>
      </w:r>
    </w:p>
    <w:p>
      <w:pPr>
        <w:adjustRightInd w:val="0"/>
        <w:snapToGrid w:val="0"/>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3.1  经过预验收而且没有出现新的质量问题，或者满足预验收条款。</w:t>
      </w:r>
    </w:p>
    <w:p>
      <w:pPr>
        <w:adjustRightInd w:val="0"/>
        <w:snapToGrid w:val="0"/>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3.2  货物安装调试完毕，并至少经过了验收要求的负荷试运行。</w:t>
      </w:r>
    </w:p>
    <w:p>
      <w:pPr>
        <w:adjustRightInd w:val="0"/>
        <w:snapToGrid w:val="0"/>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3.3  货物正常运行时，噪声等环境影响因素满足国家和当地环保主管部门规定，安全措施落实、有效。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3.4  计量仪器、仪表配套合理，采用中国的法定计量单位，计量准确、灵敏可靠。保证设计指标和仪器说明书的参数的实现。</w:t>
      </w:r>
    </w:p>
    <w:p>
      <w:pPr>
        <w:adjustRightInd w:val="0"/>
        <w:snapToGrid w:val="0"/>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3.5  试运行期间或之后无维修、调整等行为（特殊情况除外）。</w:t>
      </w:r>
    </w:p>
    <w:p>
      <w:pPr>
        <w:adjustRightInd w:val="0"/>
        <w:snapToGrid w:val="0"/>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3.6  货物质量、技术性能等，达到签定的技术标书和合同规定的终验收标准。</w:t>
      </w:r>
    </w:p>
    <w:p>
      <w:pPr>
        <w:adjustRightInd w:val="0"/>
        <w:snapToGrid w:val="0"/>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*3.7  提供设备测量相关传感器省级及以上计量单位出具的检定校准证书。</w:t>
      </w:r>
    </w:p>
    <w:p>
      <w:pPr>
        <w:adjustRightInd w:val="0"/>
        <w:snapToGrid w:val="0"/>
        <w:spacing w:line="360" w:lineRule="auto"/>
        <w:ind w:firstLine="480" w:firstLineChars="20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3.8  依据招标文件、投标文件、答疑文件、技术交流文件等形成并达成一致的技术协议书和合同规定的终验收条件验收。</w:t>
      </w:r>
    </w:p>
    <w:p>
      <w:pPr>
        <w:spacing w:line="360" w:lineRule="auto"/>
        <w:ind w:firstLine="482" w:firstLineChars="200"/>
        <w:rPr>
          <w:rFonts w:ascii="宋体" w:hAnsi="宋体" w:eastAsia="宋体" w:cs="Times New Roman"/>
          <w:b/>
          <w:bCs/>
          <w:sz w:val="24"/>
          <w:szCs w:val="24"/>
        </w:rPr>
      </w:pPr>
      <w:r>
        <w:rPr>
          <w:rFonts w:hint="eastAsia" w:ascii="宋体" w:hAnsi="宋体" w:eastAsia="宋体" w:cs="Times New Roman"/>
          <w:b/>
          <w:bCs/>
          <w:sz w:val="24"/>
          <w:szCs w:val="24"/>
          <w:lang w:val="en-US" w:eastAsia="zh-CN"/>
        </w:rPr>
        <w:t>4.</w:t>
      </w:r>
      <w:r>
        <w:rPr>
          <w:rFonts w:ascii="宋体" w:hAnsi="宋体" w:eastAsia="宋体" w:cs="Times New Roman"/>
          <w:b/>
          <w:bCs/>
          <w:sz w:val="24"/>
          <w:szCs w:val="24"/>
        </w:rPr>
        <w:t>终验收基本要求</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4</w:t>
      </w:r>
      <w:r>
        <w:rPr>
          <w:rFonts w:ascii="宋体" w:hAnsi="宋体" w:eastAsia="宋体" w:cs="Times New Roman"/>
          <w:sz w:val="24"/>
          <w:szCs w:val="24"/>
        </w:rPr>
        <w:t xml:space="preserve">.1  </w:t>
      </w:r>
      <w:r>
        <w:rPr>
          <w:rFonts w:hint="eastAsia" w:ascii="宋体" w:hAnsi="宋体" w:eastAsia="宋体" w:cs="Times New Roman"/>
          <w:sz w:val="24"/>
          <w:szCs w:val="24"/>
        </w:rPr>
        <w:t>设备技术规格满足</w:t>
      </w:r>
      <w:r>
        <w:rPr>
          <w:rFonts w:ascii="宋体" w:hAnsi="宋体" w:eastAsia="宋体" w:cs="Times New Roman"/>
          <w:sz w:val="24"/>
          <w:szCs w:val="24"/>
        </w:rPr>
        <w:t>招标书中的技术要求。</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4</w:t>
      </w:r>
      <w:r>
        <w:rPr>
          <w:rFonts w:ascii="宋体" w:hAnsi="宋体" w:eastAsia="宋体" w:cs="Times New Roman"/>
          <w:sz w:val="24"/>
          <w:szCs w:val="24"/>
        </w:rPr>
        <w:t xml:space="preserve">.2  </w:t>
      </w:r>
      <w:r>
        <w:rPr>
          <w:rFonts w:hint="eastAsia" w:ascii="宋体" w:hAnsi="宋体" w:eastAsia="宋体" w:cs="Times New Roman"/>
          <w:sz w:val="24"/>
          <w:szCs w:val="24"/>
        </w:rPr>
        <w:t>对所有设备进行上电调试和带被试件运行。</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4</w:t>
      </w:r>
      <w:r>
        <w:rPr>
          <w:rFonts w:ascii="宋体" w:hAnsi="宋体" w:eastAsia="宋体" w:cs="Times New Roman"/>
          <w:sz w:val="24"/>
          <w:szCs w:val="24"/>
        </w:rPr>
        <w:t xml:space="preserve">.3  </w:t>
      </w:r>
      <w:r>
        <w:rPr>
          <w:rFonts w:hint="eastAsia" w:ascii="宋体" w:hAnsi="宋体" w:eastAsia="宋体" w:cs="Times New Roman"/>
          <w:sz w:val="24"/>
          <w:szCs w:val="24"/>
        </w:rPr>
        <w:t>对所有设备功能进行演示操作，包括对所有设备和传感器进行校准。</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4.4</w:t>
      </w:r>
      <w:r>
        <w:rPr>
          <w:rFonts w:ascii="宋体" w:hAnsi="宋体" w:eastAsia="宋体" w:cs="Times New Roman"/>
          <w:sz w:val="24"/>
          <w:szCs w:val="24"/>
        </w:rPr>
        <w:t xml:space="preserve">  出现下列问题之一，视作验收失败：</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4.4</w:t>
      </w:r>
      <w:r>
        <w:rPr>
          <w:rFonts w:ascii="宋体" w:hAnsi="宋体" w:eastAsia="宋体" w:cs="Times New Roman"/>
          <w:sz w:val="24"/>
          <w:szCs w:val="24"/>
        </w:rPr>
        <w:t xml:space="preserve">.1  </w:t>
      </w:r>
      <w:r>
        <w:rPr>
          <w:rFonts w:hint="eastAsia" w:ascii="宋体" w:hAnsi="宋体" w:eastAsia="宋体" w:cs="Times New Roman"/>
          <w:sz w:val="24"/>
          <w:szCs w:val="24"/>
        </w:rPr>
        <w:t>设备</w:t>
      </w:r>
      <w:r>
        <w:rPr>
          <w:rFonts w:ascii="宋体" w:hAnsi="宋体" w:eastAsia="宋体" w:cs="Times New Roman"/>
          <w:sz w:val="24"/>
          <w:szCs w:val="24"/>
        </w:rPr>
        <w:t>验收时，其参数无法满足招标书中的技术要求</w:t>
      </w:r>
      <w:r>
        <w:rPr>
          <w:rFonts w:hint="eastAsia" w:ascii="宋体" w:hAnsi="宋体" w:eastAsia="宋体" w:cs="Times New Roman"/>
          <w:sz w:val="24"/>
          <w:szCs w:val="24"/>
        </w:rPr>
        <w:t>；</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4.4</w:t>
      </w:r>
      <w:r>
        <w:rPr>
          <w:rFonts w:ascii="宋体" w:hAnsi="宋体" w:eastAsia="宋体" w:cs="Times New Roman"/>
          <w:sz w:val="24"/>
          <w:szCs w:val="24"/>
        </w:rPr>
        <w:t>.2  在整个验收过程中发生关键零部件损坏或重大故障；</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4.4</w:t>
      </w:r>
      <w:r>
        <w:rPr>
          <w:rFonts w:ascii="宋体" w:hAnsi="宋体" w:eastAsia="宋体" w:cs="Times New Roman"/>
          <w:sz w:val="24"/>
          <w:szCs w:val="24"/>
        </w:rPr>
        <w:t>.3  一般性故障超过</w:t>
      </w:r>
      <w:r>
        <w:rPr>
          <w:rFonts w:ascii="宋体" w:hAnsi="宋体" w:eastAsia="宋体" w:cs="Times New Roman"/>
          <w:sz w:val="24"/>
          <w:szCs w:val="24"/>
          <w:u w:val="single"/>
          <w:shd w:val="pct10" w:color="auto" w:fill="FFFFFF"/>
        </w:rPr>
        <w:t>2</w:t>
      </w:r>
      <w:r>
        <w:rPr>
          <w:rFonts w:ascii="宋体" w:hAnsi="宋体" w:eastAsia="宋体" w:cs="Times New Roman"/>
          <w:sz w:val="24"/>
          <w:szCs w:val="24"/>
        </w:rPr>
        <w:t>次；</w:t>
      </w:r>
    </w:p>
    <w:p>
      <w:pPr>
        <w:adjustRightInd w:val="0"/>
        <w:snapToGrid w:val="0"/>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4.4.4</w:t>
      </w:r>
      <w:r>
        <w:rPr>
          <w:rFonts w:ascii="宋体" w:hAnsi="宋体" w:eastAsia="宋体" w:cs="Times New Roman"/>
          <w:sz w:val="24"/>
          <w:szCs w:val="24"/>
        </w:rPr>
        <w:t xml:space="preserve">  更换的零部件货值超过总货值的</w:t>
      </w:r>
      <w:r>
        <w:rPr>
          <w:rFonts w:ascii="宋体" w:hAnsi="宋体" w:eastAsia="宋体" w:cs="Times New Roman"/>
          <w:sz w:val="24"/>
          <w:szCs w:val="24"/>
          <w:u w:val="single"/>
          <w:shd w:val="pct10" w:color="auto" w:fill="FFFFFF"/>
        </w:rPr>
        <w:t>1</w:t>
      </w:r>
      <w:r>
        <w:rPr>
          <w:rFonts w:ascii="宋体" w:hAnsi="宋体" w:eastAsia="宋体" w:cs="Times New Roman"/>
          <w:sz w:val="24"/>
          <w:szCs w:val="24"/>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lang w:val="en-US" w:eastAsia="zh-CN"/>
        </w:rPr>
        <w:t>4</w:t>
      </w:r>
      <w:r>
        <w:rPr>
          <w:rFonts w:ascii="宋体" w:hAnsi="宋体" w:eastAsia="宋体" w:cs="Times New Roman"/>
          <w:sz w:val="24"/>
          <w:szCs w:val="24"/>
        </w:rPr>
        <w:t>.5  累计负载运行实际性能（或生产率）</w:t>
      </w:r>
      <w:r>
        <w:rPr>
          <w:rFonts w:hint="eastAsia" w:ascii="宋体" w:hAnsi="宋体" w:eastAsia="宋体" w:cs="Times New Roman"/>
          <w:sz w:val="24"/>
          <w:szCs w:val="24"/>
        </w:rPr>
        <w:t>未</w:t>
      </w:r>
      <w:r>
        <w:rPr>
          <w:rFonts w:ascii="宋体" w:hAnsi="宋体" w:eastAsia="宋体" w:cs="Times New Roman"/>
          <w:sz w:val="24"/>
          <w:szCs w:val="24"/>
        </w:rPr>
        <w:t>达到合同规定；</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lang w:val="en-US" w:eastAsia="zh-CN"/>
        </w:rPr>
        <w:t>4</w:t>
      </w:r>
      <w:r>
        <w:rPr>
          <w:rFonts w:ascii="宋体" w:hAnsi="宋体" w:eastAsia="宋体" w:cs="Times New Roman"/>
          <w:sz w:val="24"/>
          <w:szCs w:val="24"/>
        </w:rPr>
        <w:t>.6  终验收原则上要求一次完成。若一次验收不成功，最多允许两次；如果出现第三次验收失败，重新作价或退货；</w:t>
      </w:r>
    </w:p>
    <w:p>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Times New Roman"/>
          <w:sz w:val="24"/>
          <w:szCs w:val="24"/>
          <w:lang w:val="en-US" w:eastAsia="zh-CN"/>
        </w:rPr>
        <w:t>4</w:t>
      </w:r>
      <w:r>
        <w:rPr>
          <w:rFonts w:ascii="宋体" w:hAnsi="宋体" w:eastAsia="宋体" w:cs="Times New Roman"/>
          <w:sz w:val="24"/>
          <w:szCs w:val="24"/>
        </w:rPr>
        <w:t>.7  终验收通过后买卖双方共同签署终验收报告，并移交、核对全部供货范围内物品。</w:t>
      </w:r>
      <w:r>
        <w:rPr>
          <w:rFonts w:ascii="宋体" w:hAnsi="宋体" w:eastAsia="宋体" w:cs="Times New Roman"/>
          <w:sz w:val="24"/>
          <w:szCs w:val="24"/>
        </w:rPr>
        <w:br w:type="textWrapping"/>
      </w:r>
      <w:r>
        <w:rPr>
          <w:rFonts w:hint="eastAsia" w:ascii="宋体" w:hAnsi="宋体" w:eastAsia="宋体" w:cs="Times New Roman"/>
          <w:sz w:val="24"/>
          <w:szCs w:val="24"/>
          <w:lang w:val="en-US" w:eastAsia="zh-CN"/>
        </w:rPr>
        <w:t xml:space="preserve">    4.8  </w:t>
      </w:r>
      <w:r>
        <w:rPr>
          <w:rFonts w:hint="eastAsia" w:ascii="宋体" w:hAnsi="宋体" w:eastAsia="宋体" w:cs="宋体"/>
          <w:color w:val="000000"/>
          <w:sz w:val="24"/>
          <w:szCs w:val="24"/>
        </w:rPr>
        <w:t>设备终验收的一般标准与要求：</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a.  资料齐全性、完整性和有效性。</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b.  设备应运行灵活、稳定、可靠、安全，无异常声音和非正常振动。设备不允许出现漏水、漏液、漏气（汽）。运动的零部件（如链条、联轴器、离合器等）应动作平稳、没有异常声音，不松动或易于调整；</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  设备外观应无损伤，应该涂满同种明亮清晰的油漆（特殊标志除外）。设备应该完整且所有的零部件应该安装牢固，所有的焊缝饱满、无残渣等缺陷；</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d.  所有的管道和电缆线等，应排列有序（正确、牢固、整齐）无皱褶、收缩和裂缝，电缆线在整个长度范围内，所有的接头应完全正确地连接；</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e.  设备应有完整的标牌，且清晰易见；</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f.  设备的润滑系统工作可靠，润滑点易于到达；</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g.  设备的安全要求符合中国最新的相关法律、法规、标准和规范以及合同要求；</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h.  地线连接和地极符合国际（ISO/IEC）标准规范；</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i.  所有的压力容器应具备合格证（如果有压力容器）；</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j.  设备正常运行时，噪音不超过中国国家有关规定；</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k.  计量仪器、仪表配套合理，采用中国的法定计量单位，计量准确、灵敏可靠。保证设计指标和仪器说明书的参数的实现，要求竣工验收交付一次合格，返修更换校调不超过48小时，特殊情况除外；</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l.  设备质量、技术性能等，按照签定的技术协议书和合同规定的终验收标准验收；</w:t>
      </w:r>
      <w:r>
        <w:rPr>
          <w:rFonts w:ascii="宋体" w:hAnsi="宋体" w:eastAsia="宋体" w:cs="Times New Roman"/>
          <w:sz w:val="24"/>
          <w:szCs w:val="24"/>
        </w:rPr>
        <w:br w:type="textWrapping"/>
      </w:r>
      <w:r>
        <w:rPr>
          <w:rFonts w:hint="eastAsia" w:ascii="宋体" w:hAnsi="宋体" w:eastAsia="宋体" w:cs="Times New Roman"/>
          <w:sz w:val="24"/>
          <w:szCs w:val="24"/>
          <w:lang w:val="en-US" w:eastAsia="zh-CN"/>
        </w:rPr>
        <w:t xml:space="preserve">    </w:t>
      </w:r>
      <w:r>
        <w:rPr>
          <w:rFonts w:hint="eastAsia" w:ascii="宋体" w:hAnsi="宋体" w:eastAsia="宋体" w:cs="Times New Roman"/>
          <w:b/>
          <w:bCs/>
          <w:sz w:val="24"/>
          <w:szCs w:val="24"/>
          <w:lang w:val="en-US" w:eastAsia="zh-CN"/>
        </w:rPr>
        <w:t>5.</w:t>
      </w:r>
      <w:r>
        <w:rPr>
          <w:rFonts w:hint="eastAsia" w:ascii="宋体" w:hAnsi="宋体" w:eastAsia="宋体" w:cs="Times New Roman"/>
          <w:b/>
          <w:bCs/>
          <w:sz w:val="24"/>
          <w:szCs w:val="24"/>
        </w:rPr>
        <w:t>终验收</w:t>
      </w:r>
      <w:r>
        <w:rPr>
          <w:rFonts w:hint="eastAsia" w:ascii="宋体" w:hAnsi="宋体" w:eastAsia="宋体" w:cs="Times New Roman"/>
          <w:b/>
          <w:bCs/>
          <w:sz w:val="24"/>
          <w:szCs w:val="24"/>
          <w:lang w:val="en-US" w:eastAsia="zh-CN"/>
        </w:rPr>
        <w:t>规程</w:t>
      </w:r>
      <w:r>
        <w:rPr>
          <w:rFonts w:hint="eastAsia" w:ascii="宋体" w:hAnsi="宋体" w:eastAsia="宋体" w:cs="Times New Roman"/>
          <w:b/>
          <w:bCs/>
          <w:sz w:val="24"/>
          <w:szCs w:val="24"/>
        </w:rPr>
        <w:br w:type="textWrapping"/>
      </w:r>
      <w:r>
        <w:rPr>
          <w:rFonts w:hint="eastAsia" w:ascii="宋体" w:hAnsi="宋体" w:eastAsia="宋体" w:cs="Times New Roman"/>
          <w:b/>
          <w:bCs/>
          <w:sz w:val="24"/>
          <w:szCs w:val="24"/>
          <w:lang w:val="en-US" w:eastAsia="zh-CN"/>
        </w:rPr>
        <w:t xml:space="preserve">    </w:t>
      </w:r>
      <w:r>
        <w:rPr>
          <w:rFonts w:hint="eastAsia" w:ascii="宋体" w:hAnsi="宋体" w:eastAsia="宋体" w:cs="宋体"/>
          <w:color w:val="000000"/>
          <w:sz w:val="24"/>
          <w:szCs w:val="24"/>
        </w:rPr>
        <w:t>终验收在整线联调联试完成后的买方现场进行。但是所有的项目，包括不能预验收的项目和预验收通过的项目都在终验收时重新检验，最终只以终验收为准。</w:t>
      </w:r>
    </w:p>
    <w:p>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1终验收规程：</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设备允许情况下，一般先连续运行  30  天，每天连续  8  小时，除用户方面因素外，必须达到以下要求：</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a.  在整个验收过程中没有维修、更换零部件或元件行为；</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b.  所有出现的调整，每次调整时间均不超过 30 分钟；</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c.  所有调整时间的总和不超过总运行时间的10%；</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d.  累计负载运行实际性能（或生产率）达到合同规定；</w:t>
      </w:r>
    </w:p>
    <w:p>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e.  终验收原则上要求一次完成。若一次验收不成功，最多允许两次；</w:t>
      </w:r>
    </w:p>
    <w:p>
      <w:pPr>
        <w:adjustRightInd w:val="0"/>
        <w:snapToGrid w:val="0"/>
        <w:spacing w:line="360" w:lineRule="auto"/>
        <w:ind w:firstLine="480" w:firstLineChars="200"/>
      </w:pPr>
      <w:r>
        <w:rPr>
          <w:rFonts w:hint="eastAsia" w:ascii="宋体" w:hAnsi="宋体" w:eastAsia="宋体" w:cs="宋体"/>
          <w:color w:val="000000"/>
          <w:sz w:val="24"/>
          <w:szCs w:val="24"/>
        </w:rPr>
        <w:t>f.  终验收通过后买卖双方共同签署终验收报告。</w:t>
      </w:r>
    </w:p>
    <w:p>
      <w:pPr>
        <w:pStyle w:val="130"/>
        <w:spacing w:line="360" w:lineRule="auto"/>
        <w:outlineLvl w:val="1"/>
        <w:rPr>
          <w:rFonts w:eastAsia="宋体"/>
          <w:b/>
          <w:bCs w:val="0"/>
          <w:i w:val="0"/>
          <w:iCs/>
          <w:color w:val="auto"/>
          <w:sz w:val="28"/>
        </w:rPr>
      </w:pPr>
      <w:bookmarkStart w:id="72" w:name="_Toc465187647"/>
      <w:r>
        <w:rPr>
          <w:rFonts w:eastAsia="宋体"/>
          <w:b/>
          <w:bCs w:val="0"/>
          <w:i w:val="0"/>
          <w:iCs/>
          <w:color w:val="auto"/>
          <w:sz w:val="28"/>
        </w:rPr>
        <w:t>第六章  投标技术文件一般要求</w:t>
      </w:r>
      <w:bookmarkEnd w:id="72"/>
    </w:p>
    <w:p>
      <w:pPr>
        <w:pStyle w:val="117"/>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pStyle w:val="117"/>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pPr>
        <w:pStyle w:val="3"/>
        <w:spacing w:before="120" w:after="120" w:line="360" w:lineRule="auto"/>
        <w:jc w:val="center"/>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bookmarkStart w:id="73" w:name="_Toc465187648"/>
    </w:p>
    <w:p>
      <w:pPr>
        <w:pStyle w:val="130"/>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73"/>
    </w:p>
    <w:p>
      <w:pPr>
        <w:pStyle w:val="117"/>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pPr>
        <w:pStyle w:val="117"/>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pPr>
        <w:pStyle w:val="16"/>
        <w:spacing w:line="360" w:lineRule="auto"/>
        <w:rPr>
          <w:rFonts w:hint="eastAsia" w:hAnsi="宋体" w:eastAsia="宋体" w:cs="宋体"/>
          <w:sz w:val="24"/>
          <w:szCs w:val="24"/>
        </w:rPr>
        <w:sectPr>
          <w:pgSz w:w="11907" w:h="16840"/>
          <w:pgMar w:top="1304" w:right="1418" w:bottom="1304" w:left="1418" w:header="724" w:footer="851" w:gutter="0"/>
          <w:cols w:space="720" w:num="1"/>
          <w:docGrid w:linePitch="290" w:charSpace="-3931"/>
        </w:sectPr>
      </w:pPr>
    </w:p>
    <w:p>
      <w:pPr>
        <w:pStyle w:val="16"/>
      </w:pPr>
    </w:p>
    <w:p>
      <w:pPr>
        <w:spacing w:line="360" w:lineRule="auto"/>
        <w:jc w:val="center"/>
        <w:outlineLvl w:val="0"/>
        <w:rPr>
          <w:rFonts w:ascii="宋体" w:hAnsi="Calibri" w:eastAsia="宋体" w:cs="Times New Roman"/>
          <w:b/>
          <w:sz w:val="36"/>
          <w:szCs w:val="36"/>
        </w:rPr>
      </w:pPr>
      <w:bookmarkStart w:id="74"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74"/>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5" w:name="_Toc11823"/>
      <w:bookmarkStart w:id="76" w:name="_Toc16330018"/>
      <w:bookmarkStart w:id="77" w:name="_Toc9465"/>
      <w:bookmarkStart w:id="78" w:name="_Toc17619"/>
      <w:bookmarkStart w:id="79" w:name="_Toc11930"/>
      <w:r>
        <w:rPr>
          <w:rFonts w:hint="eastAsia" w:ascii="黑体" w:hAnsi="黑体" w:eastAsia="黑体" w:cstheme="minorEastAsia"/>
          <w:b w:val="0"/>
          <w:sz w:val="28"/>
          <w:szCs w:val="28"/>
        </w:rPr>
        <w:t>1 合同设备</w:t>
      </w:r>
      <w:bookmarkEnd w:id="75"/>
      <w:bookmarkEnd w:id="76"/>
      <w:bookmarkEnd w:id="77"/>
      <w:bookmarkEnd w:id="78"/>
      <w:bookmarkEnd w:id="7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80" w:name="_Toc32510"/>
      <w:bookmarkStart w:id="81" w:name="_Toc29026"/>
      <w:bookmarkStart w:id="82"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3" w:name="_Toc16330019"/>
      <w:bookmarkStart w:id="84" w:name="_Toc7716"/>
      <w:r>
        <w:rPr>
          <w:rFonts w:hint="eastAsia" w:ascii="黑体" w:hAnsi="黑体" w:eastAsia="黑体" w:cstheme="minorEastAsia"/>
          <w:b w:val="0"/>
          <w:sz w:val="28"/>
          <w:szCs w:val="28"/>
        </w:rPr>
        <w:t>2 包装</w:t>
      </w:r>
      <w:bookmarkEnd w:id="80"/>
      <w:bookmarkEnd w:id="81"/>
      <w:bookmarkEnd w:id="82"/>
      <w:bookmarkEnd w:id="83"/>
      <w:bookmarkEnd w:id="8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5" w:name="_Toc27144"/>
      <w:bookmarkStart w:id="86" w:name="_Toc30507"/>
      <w:bookmarkStart w:id="87" w:name="_Toc16330020"/>
      <w:bookmarkStart w:id="88" w:name="_Toc2833"/>
      <w:bookmarkStart w:id="89" w:name="_Toc27453"/>
      <w:r>
        <w:rPr>
          <w:rFonts w:hint="eastAsia" w:ascii="黑体" w:hAnsi="黑体" w:eastAsia="黑体" w:cstheme="minorEastAsia"/>
          <w:b w:val="0"/>
          <w:sz w:val="28"/>
          <w:szCs w:val="28"/>
        </w:rPr>
        <w:t>3 运输标记</w:t>
      </w:r>
      <w:bookmarkEnd w:id="85"/>
      <w:bookmarkEnd w:id="86"/>
      <w:bookmarkEnd w:id="87"/>
      <w:bookmarkEnd w:id="88"/>
      <w:bookmarkEnd w:id="8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0" w:name="_Toc16330021"/>
      <w:bookmarkStart w:id="91" w:name="_Toc8624"/>
      <w:bookmarkStart w:id="92" w:name="_Toc10630"/>
      <w:bookmarkStart w:id="93" w:name="_Toc16133"/>
      <w:bookmarkStart w:id="94" w:name="_Toc7431"/>
      <w:r>
        <w:rPr>
          <w:rFonts w:hint="eastAsia" w:ascii="黑体" w:hAnsi="黑体" w:eastAsia="黑体" w:cstheme="minorEastAsia"/>
          <w:b w:val="0"/>
          <w:sz w:val="28"/>
          <w:szCs w:val="28"/>
        </w:rPr>
        <w:t>4 检验</w:t>
      </w:r>
      <w:bookmarkEnd w:id="90"/>
      <w:bookmarkEnd w:id="91"/>
      <w:bookmarkEnd w:id="92"/>
      <w:bookmarkEnd w:id="93"/>
      <w:bookmarkEnd w:id="9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5" w:name="_Toc14275"/>
      <w:bookmarkStart w:id="96" w:name="_Toc16330022"/>
      <w:bookmarkStart w:id="97" w:name="_Toc11217"/>
      <w:bookmarkStart w:id="98" w:name="_Toc19850"/>
      <w:bookmarkStart w:id="99" w:name="_Toc24467"/>
      <w:r>
        <w:rPr>
          <w:rFonts w:hint="eastAsia" w:ascii="黑体" w:hAnsi="黑体" w:eastAsia="黑体" w:cstheme="minorEastAsia"/>
          <w:b w:val="0"/>
          <w:sz w:val="28"/>
          <w:szCs w:val="28"/>
        </w:rPr>
        <w:t>5 权利担保</w:t>
      </w:r>
      <w:bookmarkEnd w:id="95"/>
      <w:bookmarkEnd w:id="96"/>
      <w:bookmarkEnd w:id="97"/>
      <w:bookmarkEnd w:id="98"/>
      <w:bookmarkEnd w:id="9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0" w:name="_Toc11759"/>
      <w:bookmarkStart w:id="101" w:name="_Toc20827"/>
      <w:bookmarkStart w:id="102" w:name="_Toc14809"/>
      <w:bookmarkStart w:id="103" w:name="_Toc27500"/>
      <w:bookmarkStart w:id="104" w:name="_Toc16330023"/>
      <w:r>
        <w:rPr>
          <w:rFonts w:hint="eastAsia" w:ascii="黑体" w:hAnsi="黑体" w:eastAsia="黑体" w:cstheme="minorEastAsia"/>
          <w:b w:val="0"/>
          <w:sz w:val="28"/>
          <w:szCs w:val="28"/>
        </w:rPr>
        <w:t>6 交货</w:t>
      </w:r>
      <w:bookmarkEnd w:id="100"/>
      <w:bookmarkEnd w:id="101"/>
      <w:bookmarkEnd w:id="102"/>
      <w:bookmarkEnd w:id="103"/>
      <w:bookmarkEnd w:id="10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5" w:name="_Toc8024"/>
      <w:bookmarkStart w:id="106" w:name="_Toc16330024"/>
      <w:bookmarkStart w:id="107" w:name="_Toc25510"/>
      <w:bookmarkStart w:id="108" w:name="_Toc23308"/>
      <w:bookmarkStart w:id="109" w:name="_Toc2984"/>
      <w:r>
        <w:rPr>
          <w:rFonts w:hint="eastAsia" w:ascii="黑体" w:hAnsi="黑体" w:eastAsia="黑体" w:cstheme="minorEastAsia"/>
          <w:b w:val="0"/>
          <w:sz w:val="28"/>
          <w:szCs w:val="28"/>
        </w:rPr>
        <w:t>7 安装、调试</w:t>
      </w:r>
      <w:bookmarkEnd w:id="105"/>
      <w:bookmarkEnd w:id="106"/>
      <w:bookmarkEnd w:id="107"/>
      <w:bookmarkEnd w:id="108"/>
      <w:bookmarkEnd w:id="109"/>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0" w:name="_Toc6350"/>
      <w:bookmarkStart w:id="111" w:name="_Toc16330025"/>
      <w:bookmarkStart w:id="112" w:name="_Toc15547"/>
      <w:bookmarkStart w:id="113" w:name="_Toc14260"/>
      <w:bookmarkStart w:id="114" w:name="_Toc14098"/>
      <w:r>
        <w:rPr>
          <w:rFonts w:hint="eastAsia" w:ascii="黑体" w:hAnsi="黑体" w:eastAsia="黑体" w:cstheme="minorEastAsia"/>
          <w:b w:val="0"/>
          <w:sz w:val="28"/>
          <w:szCs w:val="28"/>
        </w:rPr>
        <w:t>8 价款与支付</w:t>
      </w:r>
      <w:bookmarkEnd w:id="110"/>
      <w:bookmarkEnd w:id="111"/>
      <w:bookmarkEnd w:id="112"/>
      <w:bookmarkEnd w:id="113"/>
      <w:bookmarkEnd w:id="11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115" w:name="_Toc14676804"/>
      <w:bookmarkStart w:id="116" w:name="_Toc14531628"/>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115"/>
      <w:bookmarkEnd w:id="116"/>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7" w:name="_Toc24085"/>
      <w:bookmarkStart w:id="118" w:name="_Toc25708"/>
      <w:bookmarkStart w:id="119" w:name="_Toc6726"/>
      <w:bookmarkStart w:id="120" w:name="_Toc21726"/>
      <w:bookmarkStart w:id="121" w:name="_Toc16330026"/>
      <w:r>
        <w:rPr>
          <w:rFonts w:hint="eastAsia" w:ascii="黑体" w:hAnsi="黑体" w:eastAsia="黑体" w:cstheme="minorEastAsia"/>
          <w:b w:val="0"/>
          <w:sz w:val="28"/>
          <w:szCs w:val="28"/>
        </w:rPr>
        <w:t>9 质量保证及售后服务</w:t>
      </w:r>
      <w:bookmarkEnd w:id="117"/>
      <w:bookmarkEnd w:id="118"/>
      <w:bookmarkEnd w:id="119"/>
      <w:bookmarkEnd w:id="120"/>
      <w:bookmarkEnd w:id="12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2" w:name="_Toc15570"/>
      <w:bookmarkStart w:id="123" w:name="_Toc10359"/>
      <w:bookmarkStart w:id="124" w:name="_Toc12927"/>
      <w:bookmarkStart w:id="125" w:name="_Toc26769"/>
      <w:bookmarkStart w:id="126" w:name="_Toc16330027"/>
      <w:r>
        <w:rPr>
          <w:rFonts w:hint="eastAsia" w:ascii="黑体" w:hAnsi="黑体" w:eastAsia="黑体" w:cstheme="minorEastAsia"/>
          <w:b w:val="0"/>
          <w:sz w:val="28"/>
          <w:szCs w:val="28"/>
        </w:rPr>
        <w:t>10法定责任</w:t>
      </w:r>
      <w:bookmarkEnd w:id="122"/>
      <w:bookmarkEnd w:id="123"/>
      <w:bookmarkEnd w:id="124"/>
      <w:bookmarkEnd w:id="125"/>
      <w:bookmarkEnd w:id="12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7" w:name="_Toc16330028"/>
      <w:bookmarkStart w:id="128" w:name="_Toc27314"/>
      <w:bookmarkStart w:id="129" w:name="_Toc7698"/>
      <w:bookmarkStart w:id="130" w:name="_Toc30381"/>
      <w:bookmarkStart w:id="131" w:name="_Toc9708"/>
      <w:r>
        <w:rPr>
          <w:rFonts w:hint="eastAsia" w:ascii="黑体" w:hAnsi="黑体" w:eastAsia="黑体" w:cstheme="minorEastAsia"/>
          <w:b w:val="0"/>
          <w:sz w:val="28"/>
          <w:szCs w:val="28"/>
        </w:rPr>
        <w:t>11 违约责任</w:t>
      </w:r>
      <w:bookmarkEnd w:id="127"/>
      <w:bookmarkEnd w:id="128"/>
      <w:bookmarkEnd w:id="129"/>
      <w:bookmarkEnd w:id="130"/>
      <w:bookmarkEnd w:id="13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32" w:name="_Toc31554"/>
      <w:bookmarkStart w:id="133" w:name="_Toc9172"/>
      <w:bookmarkStart w:id="134" w:name="_Toc1827"/>
      <w:bookmarkStart w:id="135" w:name="_Toc16330029"/>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32"/>
    <w:bookmarkEnd w:id="133"/>
    <w:bookmarkEnd w:id="134"/>
    <w:bookmarkEnd w:id="135"/>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6" w:name="_Toc23793"/>
      <w:r>
        <w:rPr>
          <w:rFonts w:hint="eastAsia" w:ascii="黑体" w:hAnsi="黑体" w:eastAsia="黑体" w:cstheme="minorEastAsia"/>
          <w:b w:val="0"/>
          <w:sz w:val="28"/>
          <w:szCs w:val="28"/>
        </w:rPr>
        <w:t>12 合同的终止与解除</w:t>
      </w:r>
      <w:bookmarkEnd w:id="13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7" w:name="_Toc31945"/>
      <w:bookmarkStart w:id="138" w:name="_Toc13671"/>
      <w:bookmarkStart w:id="139" w:name="_Toc8620"/>
      <w:bookmarkStart w:id="140" w:name="_Toc11937"/>
      <w:bookmarkStart w:id="141" w:name="_Toc16330030"/>
      <w:r>
        <w:rPr>
          <w:rFonts w:hint="eastAsia" w:ascii="黑体" w:hAnsi="黑体" w:eastAsia="黑体" w:cstheme="minorEastAsia"/>
          <w:b w:val="0"/>
          <w:sz w:val="28"/>
          <w:szCs w:val="28"/>
        </w:rPr>
        <w:t>13 不可抗力</w:t>
      </w:r>
      <w:bookmarkEnd w:id="137"/>
      <w:bookmarkEnd w:id="138"/>
      <w:bookmarkEnd w:id="139"/>
      <w:bookmarkEnd w:id="140"/>
      <w:bookmarkEnd w:id="14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42" w:name="_Toc637"/>
      <w:bookmarkStart w:id="143" w:name="_Toc31243"/>
      <w:bookmarkStart w:id="144" w:name="_Toc30389"/>
      <w:bookmarkStart w:id="145" w:name="_Toc16330031"/>
      <w:bookmarkStart w:id="146" w:name="_Toc18772"/>
      <w:r>
        <w:rPr>
          <w:rFonts w:hint="eastAsia" w:ascii="黑体" w:hAnsi="黑体" w:eastAsia="黑体" w:cstheme="minorEastAsia"/>
          <w:b w:val="0"/>
          <w:sz w:val="28"/>
          <w:szCs w:val="28"/>
        </w:rPr>
        <w:t>14 通讯</w:t>
      </w:r>
      <w:bookmarkEnd w:id="142"/>
      <w:bookmarkEnd w:id="143"/>
      <w:bookmarkEnd w:id="144"/>
      <w:bookmarkEnd w:id="145"/>
      <w:bookmarkEnd w:id="14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312" w:beforeLines="100"/>
        <w:rPr>
          <w:rFonts w:ascii="黑体" w:hAnsi="黑体" w:eastAsia="黑体" w:cstheme="minorEastAsia"/>
          <w:b w:val="0"/>
          <w:sz w:val="28"/>
          <w:szCs w:val="28"/>
        </w:rPr>
      </w:pPr>
      <w:bookmarkStart w:id="147" w:name="_Toc9915"/>
      <w:bookmarkStart w:id="148" w:name="_Toc11290"/>
      <w:bookmarkStart w:id="149" w:name="_Toc16330032"/>
      <w:bookmarkStart w:id="150" w:name="_Toc23011"/>
      <w:bookmarkStart w:id="151" w:name="_Toc12984"/>
      <w:r>
        <w:rPr>
          <w:rFonts w:hint="eastAsia" w:ascii="黑体" w:hAnsi="黑体" w:eastAsia="黑体" w:cstheme="minorEastAsia"/>
          <w:b w:val="0"/>
          <w:sz w:val="28"/>
          <w:szCs w:val="28"/>
        </w:rPr>
        <w:t>15 适用法律及争议解决</w:t>
      </w:r>
      <w:bookmarkEnd w:id="147"/>
      <w:bookmarkEnd w:id="148"/>
      <w:bookmarkEnd w:id="149"/>
      <w:bookmarkEnd w:id="150"/>
      <w:bookmarkEnd w:id="15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52" w:name="_Toc5747"/>
      <w:bookmarkStart w:id="153" w:name="_Toc16330033"/>
      <w:bookmarkStart w:id="154" w:name="_Toc18207"/>
      <w:bookmarkStart w:id="155" w:name="_Toc23906"/>
      <w:bookmarkStart w:id="156" w:name="_Toc23765"/>
      <w:r>
        <w:rPr>
          <w:rFonts w:hint="eastAsia" w:ascii="黑体" w:hAnsi="黑体" w:eastAsia="黑体" w:cstheme="minorEastAsia"/>
          <w:b w:val="0"/>
          <w:sz w:val="28"/>
          <w:szCs w:val="28"/>
        </w:rPr>
        <w:t>16 附件</w:t>
      </w:r>
      <w:bookmarkEnd w:id="152"/>
      <w:bookmarkEnd w:id="153"/>
      <w:bookmarkEnd w:id="154"/>
      <w:bookmarkEnd w:id="155"/>
      <w:bookmarkEnd w:id="1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57" w:name="_Toc31331"/>
      <w:bookmarkStart w:id="158" w:name="_Toc17656"/>
      <w:bookmarkStart w:id="159" w:name="_Toc9594"/>
      <w:bookmarkStart w:id="160" w:name="_Toc16330034"/>
      <w:bookmarkStart w:id="161" w:name="_Toc27202"/>
      <w:r>
        <w:rPr>
          <w:rFonts w:hint="eastAsia" w:ascii="黑体" w:hAnsi="黑体" w:eastAsia="黑体" w:cstheme="minorEastAsia"/>
          <w:b w:val="0"/>
          <w:sz w:val="28"/>
          <w:szCs w:val="28"/>
        </w:rPr>
        <w:t>17 其他规定</w:t>
      </w:r>
      <w:bookmarkEnd w:id="157"/>
      <w:bookmarkEnd w:id="158"/>
      <w:bookmarkEnd w:id="159"/>
      <w:bookmarkEnd w:id="160"/>
      <w:bookmarkEnd w:id="16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62" w:name="_Toc29136"/>
      <w:bookmarkStart w:id="163" w:name="_Toc17952"/>
      <w:bookmarkStart w:id="164" w:name="_Toc16330035"/>
      <w:bookmarkStart w:id="165"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66" w:name="_Toc15340"/>
      <w:r>
        <w:rPr>
          <w:rFonts w:hint="eastAsia" w:ascii="黑体" w:hAnsi="黑体" w:eastAsia="黑体" w:cstheme="minorEastAsia"/>
          <w:b w:val="0"/>
          <w:sz w:val="28"/>
          <w:szCs w:val="28"/>
        </w:rPr>
        <w:t>18 签署事项</w:t>
      </w:r>
      <w:bookmarkEnd w:id="162"/>
      <w:bookmarkEnd w:id="163"/>
      <w:bookmarkEnd w:id="164"/>
      <w:bookmarkEnd w:id="165"/>
      <w:bookmarkEnd w:id="16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67" w:name="_Toc16330036"/>
      <w:bookmarkStart w:id="168" w:name="_Toc28611"/>
      <w:bookmarkStart w:id="169" w:name="_Toc15689"/>
      <w:bookmarkStart w:id="170" w:name="_Toc10272"/>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67"/>
    <w:bookmarkEnd w:id="168"/>
    <w:bookmarkEnd w:id="169"/>
    <w:bookmarkEnd w:id="170"/>
    <w:p>
      <w:pPr>
        <w:rPr>
          <w:sz w:val="24"/>
          <w:szCs w:val="24"/>
        </w:rPr>
      </w:pPr>
    </w:p>
    <w:p>
      <w:pPr>
        <w:pStyle w:val="2"/>
        <w:tabs>
          <w:tab w:val="right" w:leader="dot" w:pos="9061"/>
        </w:tabs>
        <w:rPr>
          <w:rFonts w:ascii="黑体" w:hAnsi="黑体" w:eastAsia="黑体" w:cstheme="minorEastAsia"/>
          <w:b w:val="0"/>
          <w:sz w:val="28"/>
          <w:szCs w:val="28"/>
        </w:rPr>
      </w:pPr>
      <w:bookmarkStart w:id="171" w:name="_Toc14581"/>
      <w:r>
        <w:rPr>
          <w:rFonts w:hint="eastAsia" w:ascii="黑体" w:hAnsi="黑体" w:eastAsia="黑体" w:cstheme="minorEastAsia"/>
          <w:b w:val="0"/>
          <w:sz w:val="28"/>
          <w:szCs w:val="28"/>
        </w:rPr>
        <w:t>附件一：设备清单明细表</w:t>
      </w:r>
      <w:bookmarkEnd w:id="171"/>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72" w:name="_Toc16330037"/>
      <w:bookmarkStart w:id="173" w:name="_Toc3778"/>
      <w:bookmarkStart w:id="174" w:name="_Toc24623"/>
      <w:bookmarkStart w:id="175" w:name="_Toc5379"/>
      <w:bookmarkStart w:id="176" w:name="_Toc25120"/>
    </w:p>
    <w:p>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pPr>
        <w:pStyle w:val="2"/>
        <w:tabs>
          <w:tab w:val="right" w:leader="dot" w:pos="9061"/>
        </w:tabs>
        <w:rPr>
          <w:rFonts w:ascii="黑体" w:hAnsi="黑体" w:eastAsia="黑体" w:cstheme="minorEastAsia"/>
          <w:b w:val="0"/>
          <w:sz w:val="28"/>
          <w:szCs w:val="28"/>
        </w:rPr>
      </w:pPr>
      <w:bookmarkStart w:id="177" w:name="_Toc8175"/>
      <w:r>
        <w:rPr>
          <w:rFonts w:hint="eastAsia" w:ascii="黑体" w:hAnsi="黑体" w:eastAsia="黑体" w:cstheme="minorEastAsia"/>
          <w:b w:val="0"/>
          <w:sz w:val="28"/>
          <w:szCs w:val="28"/>
        </w:rPr>
        <w:t xml:space="preserve">附件二 </w:t>
      </w:r>
      <w:bookmarkEnd w:id="172"/>
      <w:bookmarkEnd w:id="173"/>
      <w:bookmarkEnd w:id="174"/>
      <w:bookmarkEnd w:id="175"/>
      <w:bookmarkEnd w:id="176"/>
      <w:r>
        <w:rPr>
          <w:rFonts w:hint="eastAsia" w:ascii="黑体" w:hAnsi="黑体" w:eastAsia="黑体" w:cstheme="minorEastAsia"/>
          <w:b w:val="0"/>
          <w:sz w:val="28"/>
          <w:szCs w:val="28"/>
        </w:rPr>
        <w:t>技术协议书</w:t>
      </w:r>
      <w:bookmarkEnd w:id="177"/>
    </w:p>
    <w:p>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78"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78"/>
    </w:p>
    <w:p>
      <w:pPr>
        <w:keepNext/>
        <w:keepLines/>
        <w:outlineLvl w:val="9"/>
        <w:rPr>
          <w:rFonts w:hint="eastAsia" w:ascii="Times New Roman" w:hAnsi="Times New Roman" w:eastAsia="宋体" w:cs="Times New Roman"/>
          <w:b/>
          <w:bCs/>
          <w:color w:val="000000"/>
          <w:sz w:val="24"/>
          <w:szCs w:val="24"/>
        </w:rPr>
      </w:pPr>
    </w:p>
    <w:p>
      <w:pPr>
        <w:pStyle w:val="16"/>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6"/>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79" w:name="_Toc639004"/>
      <w:bookmarkStart w:id="180" w:name="_Toc212369550"/>
      <w:bookmarkStart w:id="181" w:name="_Toc25811"/>
      <w:bookmarkStart w:id="182"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79"/>
      <w:bookmarkEnd w:id="180"/>
      <w:bookmarkEnd w:id="181"/>
      <w:bookmarkEnd w:id="18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color w:val="000000"/>
          <w:sz w:val="24"/>
          <w:szCs w:val="24"/>
          <w:highlight w:val="none"/>
          <w:u w:val="single"/>
          <w:lang w:val="en-US" w:eastAsia="zh-CN"/>
        </w:rPr>
        <w:t>固废站打包机设备</w:t>
      </w:r>
      <w:r>
        <w:rPr>
          <w:rFonts w:hint="eastAsia" w:ascii="宋体" w:hAnsi="宋体" w:eastAsia="宋体" w:cs="宋体"/>
          <w:color w:val="000000"/>
          <w:sz w:val="24"/>
          <w:szCs w:val="24"/>
          <w:highlight w:val="none"/>
          <w:u w:val="single"/>
        </w:rPr>
        <w:t>项目</w:t>
      </w:r>
      <w:r>
        <w:rPr>
          <w:rFonts w:hint="eastAsia" w:ascii="宋体" w:hAnsi="宋体" w:eastAsia="宋体" w:cs="宋体"/>
          <w:color w:val="000000"/>
          <w:sz w:val="24"/>
          <w:szCs w:val="24"/>
          <w:highlight w:val="none"/>
          <w:u w:val="single"/>
          <w:lang w:eastAsia="zh-CN"/>
        </w:rPr>
        <w:t>（CGZX2023080365）</w:t>
      </w:r>
      <w:r>
        <w:rPr>
          <w:rFonts w:ascii="宋体" w:hAnsi="宋体" w:eastAsia="宋体" w:cs="Times New Roman"/>
          <w:color w:val="000000"/>
          <w:sz w:val="24"/>
          <w:szCs w:val="24"/>
          <w:u w:val="single"/>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lang w:val="en-US" w:eastAsia="zh-CN"/>
        </w:rPr>
        <w:t>两</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color w:val="000000"/>
          <w:sz w:val="24"/>
          <w:szCs w:val="24"/>
          <w:highlight w:val="none"/>
          <w:u w:val="single"/>
          <w:lang w:val="en-US" w:eastAsia="zh-CN"/>
        </w:rPr>
        <w:t>固废站打包机设备</w:t>
      </w:r>
      <w:r>
        <w:rPr>
          <w:rFonts w:hint="eastAsia" w:ascii="宋体" w:hAnsi="宋体" w:eastAsia="宋体" w:cs="宋体"/>
          <w:b/>
          <w:bCs/>
          <w:color w:val="000000"/>
          <w:sz w:val="24"/>
          <w:szCs w:val="24"/>
          <w:u w:val="single"/>
          <w:shd w:val="clear" w:color="auto" w:fill="FCFCFC"/>
        </w:rPr>
        <w:t>设备项目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CGZX2023080365）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29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9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9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9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9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9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9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9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9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9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9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color w:val="000000"/>
          <w:sz w:val="24"/>
          <w:szCs w:val="24"/>
          <w:highlight w:val="none"/>
          <w:u w:val="single"/>
          <w:lang w:val="en-US" w:eastAsia="zh-CN"/>
        </w:rPr>
        <w:t>固废站打包机设备</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r>
        <w:rPr>
          <w:rFonts w:hint="eastAsia" w:ascii="宋体" w:hAnsi="宋体" w:eastAsia="宋体" w:cs="宋体"/>
          <w:color w:val="000000"/>
          <w:sz w:val="24"/>
          <w:szCs w:val="24"/>
          <w:highlight w:val="none"/>
          <w:u w:val="single"/>
          <w:lang w:val="en-US" w:eastAsia="zh-CN"/>
        </w:rPr>
        <w:t>固废站打包机设备</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2238"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输送机总成</w:t>
            </w:r>
          </w:p>
        </w:tc>
        <w:tc>
          <w:tcPr>
            <w:tcW w:w="2239" w:type="dxa"/>
            <w:vAlign w:val="center"/>
          </w:tcPr>
          <w:p>
            <w:pPr>
              <w:jc w:val="center"/>
              <w:rPr>
                <w:rFonts w:hint="default" w:ascii="宋体" w:hAnsi="宋体" w:eastAsia="宋体" w:cs="宋体"/>
                <w:kern w:val="2"/>
                <w:sz w:val="24"/>
                <w:szCs w:val="24"/>
                <w:lang w:val="en-US" w:eastAsia="zh-CN" w:bidi="ar-SA"/>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238"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液压压机总成</w:t>
            </w:r>
          </w:p>
        </w:tc>
        <w:tc>
          <w:tcPr>
            <w:tcW w:w="2239" w:type="dxa"/>
            <w:vAlign w:val="center"/>
          </w:tcPr>
          <w:p>
            <w:pPr>
              <w:jc w:val="center"/>
              <w:rPr>
                <w:rFonts w:hint="default" w:ascii="宋体" w:hAnsi="宋体" w:eastAsia="宋体" w:cs="宋体"/>
                <w:kern w:val="2"/>
                <w:sz w:val="24"/>
                <w:szCs w:val="24"/>
                <w:lang w:val="en-US" w:eastAsia="zh-CN" w:bidi="ar-SA"/>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238"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夹包机总成</w:t>
            </w:r>
          </w:p>
        </w:tc>
        <w:tc>
          <w:tcPr>
            <w:tcW w:w="2239" w:type="dxa"/>
            <w:vAlign w:val="center"/>
          </w:tcPr>
          <w:p>
            <w:pPr>
              <w:jc w:val="center"/>
              <w:rPr>
                <w:rFonts w:hint="default" w:ascii="宋体" w:hAnsi="宋体" w:eastAsia="宋体" w:cs="宋体"/>
                <w:kern w:val="2"/>
                <w:sz w:val="24"/>
                <w:szCs w:val="24"/>
                <w:lang w:val="en-US" w:eastAsia="zh-CN" w:bidi="ar-SA"/>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2238"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捆包机总成</w:t>
            </w:r>
          </w:p>
        </w:tc>
        <w:tc>
          <w:tcPr>
            <w:tcW w:w="2239" w:type="dxa"/>
            <w:vAlign w:val="center"/>
          </w:tcPr>
          <w:p>
            <w:pPr>
              <w:jc w:val="center"/>
              <w:rPr>
                <w:rFonts w:hint="default" w:ascii="宋体" w:hAnsi="宋体" w:eastAsia="宋体" w:cs="宋体"/>
                <w:kern w:val="2"/>
                <w:sz w:val="24"/>
                <w:szCs w:val="24"/>
                <w:lang w:val="en-US" w:eastAsia="zh-CN" w:bidi="ar-SA"/>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2238"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推线机总成</w:t>
            </w:r>
          </w:p>
        </w:tc>
        <w:tc>
          <w:tcPr>
            <w:tcW w:w="2239" w:type="dxa"/>
            <w:vAlign w:val="center"/>
          </w:tcPr>
          <w:p>
            <w:pPr>
              <w:jc w:val="center"/>
              <w:rPr>
                <w:rFonts w:hint="default" w:ascii="宋体" w:hAnsi="宋体" w:eastAsia="宋体" w:cs="宋体"/>
                <w:kern w:val="2"/>
                <w:sz w:val="24"/>
                <w:szCs w:val="24"/>
                <w:lang w:val="en-US" w:eastAsia="zh-CN" w:bidi="ar-SA"/>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2238"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电气控制系统</w:t>
            </w:r>
          </w:p>
        </w:tc>
        <w:tc>
          <w:tcPr>
            <w:tcW w:w="2239" w:type="dxa"/>
            <w:vAlign w:val="center"/>
          </w:tcPr>
          <w:p>
            <w:pPr>
              <w:jc w:val="center"/>
              <w:rPr>
                <w:rFonts w:hint="eastAsia" w:ascii="宋体" w:hAnsi="宋体" w:eastAsia="宋体" w:cs="宋体"/>
                <w:kern w:val="2"/>
                <w:sz w:val="24"/>
                <w:szCs w:val="24"/>
                <w:lang w:val="en-US" w:eastAsia="zh-CN" w:bidi="ar-SA"/>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keepNext w:val="0"/>
              <w:keepLines w:val="0"/>
              <w:suppressLineNumbers w:val="0"/>
              <w:spacing w:before="0" w:beforeLines="-2147483648" w:beforeAutospacing="0" w:after="0" w:afterAutospacing="0" w:line="360" w:lineRule="exact"/>
              <w:ind w:left="0" w:leftChars="0" w:right="0" w:rightChars="0"/>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2238"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安全系统</w:t>
            </w:r>
          </w:p>
        </w:tc>
        <w:tc>
          <w:tcPr>
            <w:tcW w:w="2239" w:type="dxa"/>
            <w:vAlign w:val="center"/>
          </w:tcPr>
          <w:p>
            <w:pPr>
              <w:jc w:val="center"/>
              <w:rPr>
                <w:rFonts w:hint="eastAsia" w:ascii="宋体" w:hAnsi="宋体" w:eastAsia="宋体" w:cs="宋体"/>
                <w:kern w:val="2"/>
                <w:sz w:val="24"/>
                <w:szCs w:val="24"/>
                <w:lang w:val="en-US" w:eastAsia="zh-CN" w:bidi="ar-SA"/>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vAlign w:val="center"/>
          </w:tcPr>
          <w:p>
            <w:pPr>
              <w:jc w:val="center"/>
              <w:rPr>
                <w:rFonts w:hint="default" w:ascii="宋体" w:hAnsi="宋体" w:eastAsia="宋体" w:cs="宋体"/>
                <w:kern w:val="2"/>
                <w:sz w:val="24"/>
                <w:szCs w:val="24"/>
                <w:lang w:val="en-US" w:eastAsia="zh-CN" w:bidi="ar-SA"/>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2"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20</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000000"/>
          <w:sz w:val="24"/>
          <w:szCs w:val="24"/>
          <w:highlight w:val="none"/>
          <w:u w:val="single"/>
          <w:lang w:val="en-US" w:eastAsia="zh-CN"/>
        </w:rPr>
        <w:t>固废站打包机设备</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20</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20</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color w:val="000000"/>
          <w:sz w:val="24"/>
          <w:szCs w:val="24"/>
          <w:highlight w:val="none"/>
          <w:u w:val="single"/>
          <w:lang w:val="en-US" w:eastAsia="zh-CN"/>
        </w:rPr>
        <w:t>固废站打包机设备</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000000"/>
          <w:sz w:val="24"/>
          <w:szCs w:val="24"/>
          <w:highlight w:val="none"/>
          <w:u w:val="single"/>
          <w:lang w:val="en-US" w:eastAsia="zh-CN"/>
        </w:rPr>
        <w:t>固废站打包机设备</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6"/>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before="0" w:line="221" w:lineRule="auto"/>
              <w:ind w:left="0" w:right="0" w:firstLine="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238"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输送机总成</w:t>
            </w:r>
          </w:p>
        </w:tc>
        <w:tc>
          <w:tcPr>
            <w:tcW w:w="2239"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安装调试</w:t>
            </w: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238"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液压压机总成</w:t>
            </w:r>
          </w:p>
        </w:tc>
        <w:tc>
          <w:tcPr>
            <w:tcW w:w="2239"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技术培训</w:t>
            </w: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rPr>
            </w:pPr>
            <w:r>
              <w:rPr>
                <w:rFonts w:ascii="宋体" w:hAnsi="宋体" w:eastAsia="宋体" w:cs="宋体"/>
                <w:szCs w:val="21"/>
              </w:rPr>
              <w:t>3</w:t>
            </w:r>
          </w:p>
        </w:tc>
        <w:tc>
          <w:tcPr>
            <w:tcW w:w="2238"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夹包机总成</w:t>
            </w:r>
          </w:p>
        </w:tc>
        <w:tc>
          <w:tcPr>
            <w:tcW w:w="2239"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现场陪产</w:t>
            </w: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ascii="宋体" w:hAnsi="宋体" w:eastAsia="宋体" w:cs="宋体"/>
                <w:szCs w:val="21"/>
              </w:rPr>
            </w:pPr>
            <w:r>
              <w:rPr>
                <w:rFonts w:ascii="宋体" w:hAnsi="宋体" w:eastAsia="宋体" w:cs="宋体"/>
                <w:szCs w:val="21"/>
              </w:rPr>
              <w:t>4</w:t>
            </w:r>
          </w:p>
        </w:tc>
        <w:tc>
          <w:tcPr>
            <w:tcW w:w="2238"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捆包机总成</w:t>
            </w:r>
          </w:p>
        </w:tc>
        <w:tc>
          <w:tcPr>
            <w:tcW w:w="2239"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设计费</w:t>
            </w: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2" w:lineRule="auto"/>
              <w:ind w:left="293"/>
              <w:rPr>
                <w:rFonts w:ascii="宋体" w:hAnsi="宋体" w:eastAsia="宋体" w:cs="宋体"/>
                <w:szCs w:val="21"/>
              </w:rPr>
            </w:pPr>
            <w:r>
              <w:rPr>
                <w:rFonts w:ascii="宋体" w:hAnsi="宋体" w:eastAsia="宋体" w:cs="宋体"/>
                <w:szCs w:val="21"/>
              </w:rPr>
              <w:t>5</w:t>
            </w:r>
          </w:p>
        </w:tc>
        <w:tc>
          <w:tcPr>
            <w:tcW w:w="2238" w:type="dxa"/>
            <w:vAlign w:val="center"/>
          </w:tcPr>
          <w:p>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推线机总成</w:t>
            </w:r>
          </w:p>
        </w:tc>
        <w:tc>
          <w:tcPr>
            <w:tcW w:w="2239" w:type="dxa"/>
            <w:vAlign w:val="center"/>
          </w:tcPr>
          <w:p>
            <w:pPr>
              <w:jc w:val="center"/>
              <w:rPr>
                <w:rFonts w:hint="default" w:ascii="宋体" w:hAnsi="宋体" w:eastAsia="宋体" w:cs="宋体"/>
                <w:kern w:val="2"/>
                <w:sz w:val="24"/>
                <w:szCs w:val="24"/>
                <w:lang w:val="en-US" w:eastAsia="zh-CN" w:bidi="ar-SA"/>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ascii="宋体" w:hAnsi="宋体" w:eastAsia="宋体" w:cs="宋体"/>
                <w:szCs w:val="21"/>
              </w:rPr>
            </w:pPr>
            <w:r>
              <w:rPr>
                <w:rFonts w:ascii="宋体" w:hAnsi="宋体" w:eastAsia="宋体" w:cs="宋体"/>
                <w:szCs w:val="21"/>
              </w:rPr>
              <w:t>6</w:t>
            </w:r>
          </w:p>
        </w:tc>
        <w:tc>
          <w:tcPr>
            <w:tcW w:w="2238"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电气控制系统</w:t>
            </w:r>
          </w:p>
        </w:tc>
        <w:tc>
          <w:tcPr>
            <w:tcW w:w="2239" w:type="dxa"/>
            <w:vAlign w:val="center"/>
          </w:tcPr>
          <w:p>
            <w:pPr>
              <w:jc w:val="center"/>
              <w:rPr>
                <w:rFonts w:hint="eastAsia" w:ascii="宋体" w:hAnsi="宋体" w:eastAsia="宋体" w:cs="宋体"/>
                <w:kern w:val="2"/>
                <w:sz w:val="24"/>
                <w:szCs w:val="24"/>
                <w:lang w:val="en-US" w:eastAsia="zh-CN" w:bidi="ar-SA"/>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pPr>
              <w:spacing w:before="116" w:line="182" w:lineRule="auto"/>
              <w:ind w:left="294"/>
              <w:rPr>
                <w:rFonts w:ascii="宋体" w:hAnsi="宋体" w:eastAsia="宋体" w:cs="宋体"/>
                <w:szCs w:val="21"/>
              </w:rPr>
            </w:pPr>
            <w:r>
              <w:rPr>
                <w:rFonts w:ascii="宋体" w:hAnsi="宋体" w:eastAsia="宋体" w:cs="宋体"/>
                <w:szCs w:val="21"/>
              </w:rPr>
              <w:t>7</w:t>
            </w:r>
          </w:p>
        </w:tc>
        <w:tc>
          <w:tcPr>
            <w:tcW w:w="2238" w:type="dxa"/>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安全系统</w:t>
            </w:r>
          </w:p>
        </w:tc>
        <w:tc>
          <w:tcPr>
            <w:tcW w:w="2239" w:type="dxa"/>
            <w:vAlign w:val="center"/>
          </w:tcPr>
          <w:p>
            <w:pPr>
              <w:jc w:val="center"/>
              <w:rPr>
                <w:rFonts w:hint="eastAsia" w:ascii="宋体" w:hAnsi="宋体" w:eastAsia="宋体" w:cs="宋体"/>
                <w:kern w:val="2"/>
                <w:sz w:val="24"/>
                <w:szCs w:val="24"/>
                <w:lang w:val="en-US" w:eastAsia="zh-CN" w:bidi="ar-SA"/>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5"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6"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现场安装调试</w:t>
            </w:r>
          </w:p>
        </w:tc>
        <w:tc>
          <w:tcPr>
            <w:tcW w:w="1126" w:type="dxa"/>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技术培训</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现场陪产</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1" w:line="185" w:lineRule="auto"/>
              <w:jc w:val="center"/>
              <w:rPr>
                <w:rFonts w:ascii="宋体" w:hAnsi="宋体" w:eastAsia="宋体" w:cs="宋体"/>
                <w:szCs w:val="21"/>
              </w:rPr>
            </w:pPr>
            <w:r>
              <w:rPr>
                <w:rFonts w:ascii="宋体" w:hAnsi="宋体" w:eastAsia="宋体" w:cs="宋体"/>
                <w:szCs w:val="21"/>
              </w:rPr>
              <w:t>4</w:t>
            </w:r>
          </w:p>
        </w:tc>
        <w:tc>
          <w:tcPr>
            <w:tcW w:w="3625"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设计费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szCs w:val="21"/>
              </w:rPr>
            </w:pPr>
            <w:r>
              <w:rPr>
                <w:rFonts w:ascii="宋体" w:hAnsi="宋体" w:eastAsia="宋体" w:cs="宋体"/>
                <w:szCs w:val="21"/>
              </w:rPr>
              <w:t>5</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6"/>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color w:val="000000"/>
          <w:sz w:val="24"/>
          <w:szCs w:val="24"/>
          <w:highlight w:val="none"/>
          <w:u w:val="single"/>
          <w:lang w:val="en-US" w:eastAsia="zh-CN"/>
        </w:rPr>
        <w:t>固废站打包机设备</w:t>
      </w:r>
      <w:r>
        <w:rPr>
          <w:rFonts w:hint="eastAsia" w:ascii="宋体" w:hAnsi="宋体" w:eastAsia="宋体" w:cs="宋体"/>
          <w:color w:val="000000"/>
          <w:sz w:val="24"/>
          <w:szCs w:val="24"/>
          <w:highlight w:val="none"/>
          <w:u w:val="single"/>
        </w:rPr>
        <w:t>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color w:val="000000"/>
          <w:sz w:val="24"/>
          <w:szCs w:val="24"/>
          <w:highlight w:val="none"/>
          <w:u w:val="single"/>
          <w:lang w:val="en-US" w:eastAsia="zh-CN"/>
        </w:rPr>
        <w:t>固废站打包机设备</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6"/>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szCs w:val="20"/>
                <w:lang w:val="en-US" w:eastAsia="zh-CN"/>
              </w:rPr>
              <w:t>固废站打包机设备</w:t>
            </w:r>
            <w:r>
              <w:rPr>
                <w:rFonts w:hint="eastAsia" w:ascii="宋体" w:hAnsi="宋体" w:eastAsia="宋体" w:cs="宋体"/>
                <w:b/>
                <w:szCs w:val="20"/>
              </w:rPr>
              <w:t>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jc w:val="center"/>
        <w:outlineLvl w:val="9"/>
        <w:rPr>
          <w:rFonts w:hint="eastAsia" w:ascii="宋体" w:hAnsi="宋体" w:eastAsia="宋体" w:cs="Times New Roman"/>
          <w:b/>
          <w:bCs/>
          <w:sz w:val="24"/>
          <w:szCs w:val="24"/>
          <w:highlight w:val="none"/>
        </w:rPr>
      </w:pPr>
    </w:p>
    <w:p>
      <w:pPr>
        <w:jc w:val="center"/>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10</w:t>
      </w:r>
      <w:r>
        <w:rPr>
          <w:rFonts w:hint="eastAsia" w:ascii="宋体" w:hAnsi="宋体" w:eastAsia="宋体" w:cs="Times New Roman"/>
          <w:b/>
          <w:bCs/>
          <w:sz w:val="24"/>
          <w:szCs w:val="24"/>
          <w:highlight w:val="none"/>
        </w:rPr>
        <w:t>0分）</w:t>
      </w:r>
    </w:p>
    <w:p>
      <w:pPr>
        <w:pStyle w:val="2"/>
        <w:rPr>
          <w:rFonts w:hint="eastAsia"/>
        </w:rPr>
      </w:pPr>
    </w:p>
    <w:tbl>
      <w:tblPr>
        <w:tblStyle w:val="35"/>
        <w:tblW w:w="89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99"/>
        <w:gridCol w:w="700"/>
        <w:gridCol w:w="1092"/>
        <w:gridCol w:w="850"/>
        <w:gridCol w:w="50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97"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评标因素</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总分</w:t>
            </w:r>
          </w:p>
        </w:tc>
        <w:tc>
          <w:tcPr>
            <w:tcW w:w="10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评审内容</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最高</w:t>
            </w:r>
          </w:p>
          <w:p>
            <w:pPr>
              <w:jc w:val="center"/>
              <w:rPr>
                <w:rFonts w:hint="eastAsia" w:ascii="宋体" w:hAnsi="宋体" w:eastAsia="宋体" w:cs="宋体"/>
                <w:sz w:val="24"/>
                <w:szCs w:val="24"/>
              </w:rPr>
            </w:pPr>
            <w:r>
              <w:rPr>
                <w:rFonts w:hint="eastAsia" w:ascii="宋体" w:hAnsi="宋体" w:eastAsia="宋体" w:cs="宋体"/>
                <w:sz w:val="24"/>
                <w:szCs w:val="24"/>
              </w:rPr>
              <w:t>得分</w:t>
            </w:r>
          </w:p>
        </w:tc>
        <w:tc>
          <w:tcPr>
            <w:tcW w:w="5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96" w:hRule="atLeast"/>
          <w:jc w:val="center"/>
        </w:trPr>
        <w:tc>
          <w:tcPr>
            <w:tcW w:w="8959" w:type="dxa"/>
            <w:gridSpan w:val="5"/>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技术因素</w:t>
            </w:r>
          </w:p>
          <w:p>
            <w:pPr>
              <w:jc w:val="left"/>
              <w:rPr>
                <w:rFonts w:hint="eastAsia" w:ascii="宋体" w:hAnsi="宋体" w:eastAsia="宋体" w:cs="宋体"/>
                <w:sz w:val="24"/>
                <w:szCs w:val="24"/>
              </w:rPr>
            </w:pPr>
            <w:r>
              <w:rPr>
                <w:rFonts w:hint="eastAsia" w:ascii="宋体" w:hAnsi="宋体" w:eastAsia="宋体" w:cs="宋体"/>
                <w:sz w:val="24"/>
                <w:szCs w:val="24"/>
              </w:rPr>
              <w:t>1、技术评分标准要量化，各项目权重合理。</w:t>
            </w:r>
            <w:r>
              <w:rPr>
                <w:rFonts w:hint="eastAsia" w:ascii="宋体" w:hAnsi="宋体" w:eastAsia="宋体" w:cs="宋体"/>
                <w:sz w:val="24"/>
                <w:szCs w:val="24"/>
              </w:rPr>
              <w:br w:type="textWrapping"/>
            </w:r>
            <w:r>
              <w:rPr>
                <w:rFonts w:hint="eastAsia" w:ascii="宋体" w:hAnsi="宋体" w:eastAsia="宋体" w:cs="宋体"/>
                <w:sz w:val="24"/>
                <w:szCs w:val="24"/>
              </w:rPr>
              <w:t>依照技术方案、质量保障、服务及其他评价内容的优先次序，根据分项评价值进行排名。若上述排名皆相同的，则由全体评委成员无记名投票，得票高者排序在前。</w:t>
            </w:r>
          </w:p>
          <w:p>
            <w:pPr>
              <w:jc w:val="left"/>
              <w:rPr>
                <w:rFonts w:hint="eastAsia" w:ascii="宋体" w:hAnsi="宋体" w:eastAsia="宋体" w:cs="宋体"/>
                <w:sz w:val="24"/>
                <w:szCs w:val="24"/>
              </w:rPr>
            </w:pPr>
            <w:r>
              <w:rPr>
                <w:rFonts w:hint="eastAsia" w:ascii="宋体" w:hAnsi="宋体" w:eastAsia="宋体" w:cs="宋体"/>
                <w:sz w:val="24"/>
                <w:szCs w:val="24"/>
              </w:rPr>
              <w:t>2、评委打分不得超过得分界限。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3" w:hRule="atLeast"/>
          <w:jc w:val="center"/>
        </w:trPr>
        <w:tc>
          <w:tcPr>
            <w:tcW w:w="1299" w:type="dxa"/>
            <w:vMerge w:val="restart"/>
            <w:tcBorders>
              <w:top w:val="single" w:color="auto" w:sz="4" w:space="0"/>
              <w:left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技术因素</w:t>
            </w:r>
          </w:p>
        </w:tc>
        <w:tc>
          <w:tcPr>
            <w:tcW w:w="700" w:type="dxa"/>
            <w:vMerge w:val="restart"/>
            <w:tcBorders>
              <w:top w:val="single" w:color="auto" w:sz="4" w:space="0"/>
              <w:left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100</w:t>
            </w:r>
          </w:p>
        </w:tc>
        <w:tc>
          <w:tcPr>
            <w:tcW w:w="1092" w:type="dxa"/>
            <w:vMerge w:val="restart"/>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技术方案</w:t>
            </w:r>
          </w:p>
        </w:tc>
        <w:tc>
          <w:tcPr>
            <w:tcW w:w="85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10</w:t>
            </w:r>
          </w:p>
        </w:tc>
        <w:tc>
          <w:tcPr>
            <w:tcW w:w="501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技术标偏离情况，完全满足标书要求，赋10分，如有偏离，视情况给予核减。0-10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4" w:hRule="atLeast"/>
          <w:jc w:val="center"/>
        </w:trPr>
        <w:tc>
          <w:tcPr>
            <w:tcW w:w="1299" w:type="dxa"/>
            <w:vMerge w:val="continue"/>
            <w:tcBorders>
              <w:left w:val="single" w:color="auto" w:sz="4" w:space="0"/>
              <w:right w:val="single" w:color="auto" w:sz="4" w:space="0"/>
            </w:tcBorders>
            <w:vAlign w:val="center"/>
          </w:tcPr>
          <w:p>
            <w:pPr>
              <w:jc w:val="left"/>
              <w:rPr>
                <w:rFonts w:hint="eastAsia" w:ascii="宋体" w:hAnsi="宋体" w:eastAsia="宋体" w:cs="宋体"/>
                <w:sz w:val="24"/>
                <w:szCs w:val="24"/>
              </w:rPr>
            </w:pPr>
          </w:p>
        </w:tc>
        <w:tc>
          <w:tcPr>
            <w:tcW w:w="700" w:type="dxa"/>
            <w:vMerge w:val="continue"/>
            <w:tcBorders>
              <w:left w:val="single" w:color="auto" w:sz="4" w:space="0"/>
              <w:right w:val="single" w:color="auto" w:sz="4" w:space="0"/>
            </w:tcBorders>
            <w:vAlign w:val="center"/>
          </w:tcPr>
          <w:p>
            <w:pPr>
              <w:jc w:val="left"/>
              <w:rPr>
                <w:rFonts w:hint="eastAsia" w:ascii="宋体" w:hAnsi="宋体" w:eastAsia="宋体" w:cs="宋体"/>
                <w:sz w:val="24"/>
                <w:szCs w:val="24"/>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30</w:t>
            </w:r>
          </w:p>
        </w:tc>
        <w:tc>
          <w:tcPr>
            <w:tcW w:w="501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项目技术维修方案切实可行，质量、售后技术服务能完全满足标书要求.（材料、辅材及数量、型号、品牌、人工是否提供）0-30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1299" w:type="dxa"/>
            <w:vMerge w:val="continue"/>
            <w:tcBorders>
              <w:left w:val="single" w:color="auto" w:sz="4" w:space="0"/>
              <w:right w:val="single" w:color="auto" w:sz="4" w:space="0"/>
            </w:tcBorders>
            <w:vAlign w:val="center"/>
          </w:tcPr>
          <w:p>
            <w:pPr>
              <w:jc w:val="left"/>
              <w:rPr>
                <w:rFonts w:hint="eastAsia" w:ascii="宋体" w:hAnsi="宋体" w:eastAsia="宋体" w:cs="宋体"/>
                <w:sz w:val="24"/>
                <w:szCs w:val="24"/>
              </w:rPr>
            </w:pPr>
          </w:p>
        </w:tc>
        <w:tc>
          <w:tcPr>
            <w:tcW w:w="700" w:type="dxa"/>
            <w:vMerge w:val="continue"/>
            <w:tcBorders>
              <w:left w:val="single" w:color="auto" w:sz="4" w:space="0"/>
              <w:right w:val="single" w:color="auto" w:sz="4" w:space="0"/>
            </w:tcBorders>
            <w:vAlign w:val="center"/>
          </w:tcPr>
          <w:p>
            <w:pPr>
              <w:jc w:val="left"/>
              <w:rPr>
                <w:rFonts w:hint="eastAsia" w:ascii="宋体" w:hAnsi="宋体" w:eastAsia="宋体" w:cs="宋体"/>
                <w:sz w:val="24"/>
                <w:szCs w:val="24"/>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20</w:t>
            </w:r>
          </w:p>
        </w:tc>
        <w:tc>
          <w:tcPr>
            <w:tcW w:w="501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安装、调试方案合理、完善、切实可行，视情况得0-20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55" w:hRule="atLeast"/>
          <w:jc w:val="center"/>
        </w:trPr>
        <w:tc>
          <w:tcPr>
            <w:tcW w:w="1299" w:type="dxa"/>
            <w:vMerge w:val="continue"/>
            <w:tcBorders>
              <w:left w:val="single" w:color="auto" w:sz="4" w:space="0"/>
              <w:right w:val="single" w:color="auto" w:sz="4" w:space="0"/>
            </w:tcBorders>
            <w:vAlign w:val="center"/>
          </w:tcPr>
          <w:p>
            <w:pPr>
              <w:jc w:val="left"/>
              <w:rPr>
                <w:rFonts w:hint="eastAsia" w:ascii="宋体" w:hAnsi="宋体" w:eastAsia="宋体" w:cs="宋体"/>
                <w:sz w:val="24"/>
                <w:szCs w:val="24"/>
              </w:rPr>
            </w:pPr>
          </w:p>
        </w:tc>
        <w:tc>
          <w:tcPr>
            <w:tcW w:w="700" w:type="dxa"/>
            <w:vMerge w:val="continue"/>
            <w:tcBorders>
              <w:left w:val="single" w:color="auto" w:sz="4" w:space="0"/>
              <w:right w:val="single" w:color="auto" w:sz="4" w:space="0"/>
            </w:tcBorders>
            <w:vAlign w:val="center"/>
          </w:tcPr>
          <w:p>
            <w:pPr>
              <w:jc w:val="left"/>
              <w:rPr>
                <w:rFonts w:hint="eastAsia" w:ascii="宋体" w:hAnsi="宋体" w:eastAsia="宋体" w:cs="宋体"/>
                <w:sz w:val="24"/>
                <w:szCs w:val="24"/>
              </w:rPr>
            </w:pPr>
          </w:p>
        </w:tc>
        <w:tc>
          <w:tcPr>
            <w:tcW w:w="1092" w:type="dxa"/>
            <w:vMerge w:val="restart"/>
            <w:tcBorders>
              <w:top w:val="single" w:color="auto" w:sz="4" w:space="0"/>
              <w:left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质量保障</w:t>
            </w:r>
          </w:p>
        </w:tc>
        <w:tc>
          <w:tcPr>
            <w:tcW w:w="85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20</w:t>
            </w:r>
          </w:p>
        </w:tc>
        <w:tc>
          <w:tcPr>
            <w:tcW w:w="501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质量保证体系完整，措施有力，能有项目控制计划和质量保证相关承诺。根据提供的资料从优到劣进行综合评审排序，自主赋分。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8" w:hRule="atLeast"/>
          <w:jc w:val="center"/>
        </w:trPr>
        <w:tc>
          <w:tcPr>
            <w:tcW w:w="1299" w:type="dxa"/>
            <w:vMerge w:val="continue"/>
            <w:tcBorders>
              <w:left w:val="single" w:color="auto" w:sz="4" w:space="0"/>
              <w:right w:val="single" w:color="auto" w:sz="4" w:space="0"/>
            </w:tcBorders>
            <w:vAlign w:val="center"/>
          </w:tcPr>
          <w:p>
            <w:pPr>
              <w:jc w:val="left"/>
              <w:rPr>
                <w:rFonts w:hint="eastAsia" w:ascii="宋体" w:hAnsi="宋体" w:eastAsia="宋体" w:cs="宋体"/>
                <w:sz w:val="24"/>
                <w:szCs w:val="24"/>
              </w:rPr>
            </w:pPr>
          </w:p>
        </w:tc>
        <w:tc>
          <w:tcPr>
            <w:tcW w:w="700" w:type="dxa"/>
            <w:vMerge w:val="continue"/>
            <w:tcBorders>
              <w:left w:val="single" w:color="auto" w:sz="4" w:space="0"/>
              <w:right w:val="single" w:color="auto" w:sz="4" w:space="0"/>
            </w:tcBorders>
            <w:vAlign w:val="center"/>
          </w:tcPr>
          <w:p>
            <w:pPr>
              <w:jc w:val="left"/>
              <w:rPr>
                <w:rFonts w:hint="eastAsia" w:ascii="宋体" w:hAnsi="宋体" w:eastAsia="宋体" w:cs="宋体"/>
                <w:sz w:val="24"/>
                <w:szCs w:val="24"/>
              </w:rPr>
            </w:pPr>
          </w:p>
        </w:tc>
        <w:tc>
          <w:tcPr>
            <w:tcW w:w="1092" w:type="dxa"/>
            <w:vMerge w:val="continue"/>
            <w:tcBorders>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10</w:t>
            </w:r>
          </w:p>
        </w:tc>
        <w:tc>
          <w:tcPr>
            <w:tcW w:w="501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工期、应急服务满足招标文件要求，合理有效、切实可行，自主赋分。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20" w:hRule="atLeast"/>
          <w:jc w:val="center"/>
        </w:trPr>
        <w:tc>
          <w:tcPr>
            <w:tcW w:w="1299" w:type="dxa"/>
            <w:vMerge w:val="continue"/>
            <w:tcBorders>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p>
        </w:tc>
        <w:tc>
          <w:tcPr>
            <w:tcW w:w="700" w:type="dxa"/>
            <w:vMerge w:val="continue"/>
            <w:tcBorders>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p>
        </w:tc>
        <w:tc>
          <w:tcPr>
            <w:tcW w:w="1092"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业绩</w:t>
            </w:r>
          </w:p>
        </w:tc>
        <w:tc>
          <w:tcPr>
            <w:tcW w:w="850"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10</w:t>
            </w:r>
          </w:p>
        </w:tc>
        <w:tc>
          <w:tcPr>
            <w:tcW w:w="501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提供3份以上投标同类业绩，得10分；提供3份得6分；提供2份得4分；提供1份证明材料的，得2分；无证明材料的，不得分。</w:t>
            </w:r>
          </w:p>
        </w:tc>
      </w:tr>
    </w:tbl>
    <w:p>
      <w:pPr>
        <w:rPr>
          <w:rFonts w:hint="eastAsia" w:ascii="宋体" w:hAnsi="宋体" w:eastAsia="宋体" w:cs="Times New Roman"/>
          <w:b/>
          <w:bCs/>
          <w:sz w:val="24"/>
          <w:szCs w:val="24"/>
          <w:highlight w:val="none"/>
        </w:rPr>
      </w:pPr>
    </w:p>
    <w:p>
      <w:pPr>
        <w:pStyle w:val="16"/>
        <w:rPr>
          <w:rFonts w:hint="eastAsia"/>
        </w:rPr>
      </w:pP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6"/>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6"/>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16"/>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6"/>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配套能力“供货类别”→“非生产招标”→“工艺设备”，</w:t>
      </w:r>
      <w:r>
        <w:rPr>
          <w:rFonts w:hint="eastAsia" w:ascii="宋体" w:hAnsi="宋体" w:eastAsia="宋体" w:cs="宋体"/>
          <w:b/>
          <w:bCs/>
          <w:i w:val="0"/>
          <w:strike w:val="0"/>
          <w:color w:val="000000"/>
          <w:sz w:val="24"/>
          <w:szCs w:val="28"/>
          <w:highlight w:val="yellow"/>
          <w:u w:val="none"/>
          <w:lang w:val="en-US" w:eastAsia="zh-CN"/>
        </w:rPr>
        <w:t>业务主管部门</w:t>
      </w:r>
      <w:r>
        <w:rPr>
          <w:rFonts w:hint="eastAsia" w:hAnsi="宋体" w:eastAsia="宋体" w:cs="宋体"/>
          <w:b/>
          <w:bCs/>
          <w:i w:val="0"/>
          <w:strike w:val="0"/>
          <w:color w:val="000000"/>
          <w:sz w:val="24"/>
          <w:szCs w:val="28"/>
          <w:highlight w:val="yellow"/>
          <w:u w:val="none"/>
          <w:lang w:val="en-US" w:eastAsia="zh-CN"/>
        </w:rPr>
        <w:t>为</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工艺研究院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16"/>
        <w:sectPr>
          <w:pgSz w:w="11906" w:h="16838"/>
          <w:pgMar w:top="1588" w:right="1418" w:bottom="1134" w:left="1418" w:header="851" w:footer="992" w:gutter="0"/>
          <w:cols w:space="720" w:num="1"/>
          <w:titlePg/>
          <w:docGrid w:type="lines" w:linePitch="312" w:charSpace="0"/>
        </w:sectPr>
      </w:pPr>
    </w:p>
    <w:p>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3"/>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4"/>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5"/>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6"/>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7"/>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8"/>
                    <a:stretch>
                      <a:fillRect/>
                    </a:stretch>
                  </pic:blipFill>
                  <pic:spPr>
                    <a:xfrm>
                      <a:off x="0" y="0"/>
                      <a:ext cx="5760085" cy="1956600"/>
                    </a:xfrm>
                    <a:prstGeom prst="rect">
                      <a:avLst/>
                    </a:prstGeom>
                  </pic:spPr>
                </pic:pic>
              </a:graphicData>
            </a:graphic>
          </wp:inline>
        </w:drawing>
      </w:r>
    </w:p>
    <w:p>
      <w:pPr>
        <w:rPr>
          <w:rFonts w:hint="eastAsia" w:hAnsi="宋体" w:eastAsia="宋体" w:cs="Times New Roman"/>
          <w:b/>
          <w:color w:val="000000"/>
          <w:sz w:val="24"/>
          <w:szCs w:val="24"/>
          <w:lang w:val="en-US" w:eastAsia="zh-CN"/>
        </w:rPr>
      </w:pPr>
      <w:r>
        <w:rPr>
          <w:rFonts w:hint="eastAsia" w:hAnsi="宋体" w:eastAsia="宋体" w:cs="Times New Roman"/>
          <w:b/>
          <w:color w:val="000000"/>
          <w:sz w:val="24"/>
          <w:szCs w:val="24"/>
          <w:lang w:val="en-US" w:eastAsia="zh-CN"/>
        </w:rPr>
        <w:br w:type="page"/>
      </w:r>
    </w:p>
    <w:p>
      <w:pPr>
        <w:pStyle w:val="16"/>
        <w:rPr>
          <w:rFonts w:hint="eastAsia" w:hAnsi="宋体" w:eastAsia="宋体" w:cs="Times New Roman"/>
          <w:b/>
          <w:color w:val="000000"/>
          <w:sz w:val="24"/>
          <w:szCs w:val="24"/>
          <w:lang w:val="en-US" w:eastAsia="zh-CN"/>
        </w:rPr>
      </w:pPr>
      <w:r>
        <w:rPr>
          <w:rFonts w:hint="eastAsia" w:hAnsi="宋体" w:eastAsia="宋体" w:cs="Times New Roman"/>
          <w:b/>
          <w:color w:val="000000"/>
          <w:sz w:val="24"/>
          <w:szCs w:val="24"/>
          <w:lang w:val="en-US" w:eastAsia="zh-CN"/>
        </w:rPr>
        <w:t>附件17：设备设施颜色标识--中国重型汽车集团有限公司企业标准</w:t>
      </w:r>
    </w:p>
    <w:p>
      <w:pPr>
        <w:pStyle w:val="16"/>
        <w:jc w:val="center"/>
        <w:rPr>
          <w:rFonts w:hint="default" w:hAnsi="宋体" w:eastAsia="宋体" w:cs="Times New Roman"/>
          <w:b/>
          <w:color w:val="000000"/>
          <w:sz w:val="24"/>
          <w:szCs w:val="24"/>
          <w:lang w:val="en-US" w:eastAsia="zh-CN"/>
        </w:rPr>
      </w:pPr>
    </w:p>
    <w:p>
      <w:pPr>
        <w:pStyle w:val="16"/>
        <w:jc w:val="center"/>
        <w:rPr>
          <w:rFonts w:hint="default" w:hAnsi="宋体" w:eastAsia="宋体" w:cs="Times New Roman"/>
          <w:b/>
          <w:color w:val="000000"/>
          <w:sz w:val="24"/>
          <w:szCs w:val="24"/>
          <w:lang w:val="en-US" w:eastAsia="zh-CN"/>
        </w:rPr>
      </w:pPr>
      <w:r>
        <w:rPr>
          <w:rFonts w:hint="default" w:hAnsi="宋体" w:eastAsia="宋体" w:cs="Times New Roman"/>
          <w:b/>
          <w:color w:val="000000"/>
          <w:sz w:val="24"/>
          <w:szCs w:val="24"/>
          <w:lang w:val="en-US" w:eastAsia="zh-CN"/>
        </w:rPr>
        <w:object>
          <v:shape id="_x0000_i1025" o:spt="75" type="#_x0000_t75" style="height:66pt;width:72.75pt;" o:ole="t" filled="f" o:preferrelative="t" stroked="f" coordsize="21600,21600">
            <v:path/>
            <v:fill on="f" focussize="0,0"/>
            <v:stroke on="f"/>
            <v:imagedata r:id="rId50" o:title=""/>
            <o:lock v:ext="edit" aspectratio="t"/>
            <w10:wrap type="none"/>
            <w10:anchorlock/>
          </v:shape>
          <o:OLEObject Type="Embed" ProgID="Package" ShapeID="_x0000_i1025" DrawAspect="Icon" ObjectID="_1468075725" r:id="rId49">
            <o:LockedField>false</o:LockedField>
          </o:OLEObject>
        </w:object>
      </w: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modern"/>
    <w:pitch w:val="default"/>
    <w:sig w:usb0="00000283" w:usb1="288F0000" w:usb2="00000006" w:usb3="00000000" w:csb0="00040001"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w:panose1 w:val="05000000000000000000"/>
    <w:charset w:val="00"/>
    <w:family w:val="auto"/>
    <w:pitch w:val="default"/>
    <w:sig w:usb0="00000000" w:usb1="00000000" w:usb2="00000000" w:usb3="00000000" w:csb0="80000000" w:csb1="0000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16"/>
    <w:multiLevelType w:val="multilevel"/>
    <w:tmpl w:val="00000016"/>
    <w:lvl w:ilvl="0" w:tentative="0">
      <w:start w:val="1"/>
      <w:numFmt w:val="bullet"/>
      <w:lvlText w:val=""/>
      <w:lvlJc w:val="left"/>
      <w:pPr>
        <w:tabs>
          <w:tab w:val="left" w:pos="708"/>
        </w:tabs>
        <w:ind w:left="708" w:hanging="283"/>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613B8F"/>
    <w:multiLevelType w:val="multilevel"/>
    <w:tmpl w:val="00613B8F"/>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1CC246C"/>
    <w:multiLevelType w:val="multilevel"/>
    <w:tmpl w:val="01CC246C"/>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028315CB"/>
    <w:multiLevelType w:val="multilevel"/>
    <w:tmpl w:val="028315CB"/>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17F369E3"/>
    <w:multiLevelType w:val="multilevel"/>
    <w:tmpl w:val="17F369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D17450A"/>
    <w:multiLevelType w:val="multilevel"/>
    <w:tmpl w:val="1D17450A"/>
    <w:lvl w:ilvl="0" w:tentative="0">
      <w:start w:val="1"/>
      <w:numFmt w:val="bullet"/>
      <w:lvlText w:val=""/>
      <w:lvlJc w:val="left"/>
      <w:pPr>
        <w:ind w:left="403" w:hanging="420"/>
      </w:pPr>
      <w:rPr>
        <w:rFonts w:hint="default" w:ascii="Wingdings" w:hAnsi="Wingdings"/>
      </w:rPr>
    </w:lvl>
    <w:lvl w:ilvl="1" w:tentative="0">
      <w:start w:val="1"/>
      <w:numFmt w:val="bullet"/>
      <w:lvlText w:val=""/>
      <w:lvlJc w:val="left"/>
      <w:pPr>
        <w:ind w:left="823" w:hanging="420"/>
      </w:pPr>
      <w:rPr>
        <w:rFonts w:hint="default" w:ascii="Wingdings" w:hAnsi="Wingdings"/>
      </w:rPr>
    </w:lvl>
    <w:lvl w:ilvl="2" w:tentative="0">
      <w:start w:val="1"/>
      <w:numFmt w:val="bullet"/>
      <w:lvlText w:val=""/>
      <w:lvlJc w:val="left"/>
      <w:pPr>
        <w:ind w:left="1243" w:hanging="420"/>
      </w:pPr>
      <w:rPr>
        <w:rFonts w:hint="default" w:ascii="Wingdings" w:hAnsi="Wingdings"/>
      </w:rPr>
    </w:lvl>
    <w:lvl w:ilvl="3" w:tentative="0">
      <w:start w:val="1"/>
      <w:numFmt w:val="bullet"/>
      <w:lvlText w:val=""/>
      <w:lvlJc w:val="left"/>
      <w:pPr>
        <w:ind w:left="1663" w:hanging="420"/>
      </w:pPr>
      <w:rPr>
        <w:rFonts w:hint="default" w:ascii="Wingdings" w:hAnsi="Wingdings"/>
      </w:rPr>
    </w:lvl>
    <w:lvl w:ilvl="4" w:tentative="0">
      <w:start w:val="1"/>
      <w:numFmt w:val="bullet"/>
      <w:lvlText w:val=""/>
      <w:lvlJc w:val="left"/>
      <w:pPr>
        <w:ind w:left="2083" w:hanging="420"/>
      </w:pPr>
      <w:rPr>
        <w:rFonts w:hint="default" w:ascii="Wingdings" w:hAnsi="Wingdings"/>
      </w:rPr>
    </w:lvl>
    <w:lvl w:ilvl="5" w:tentative="0">
      <w:start w:val="1"/>
      <w:numFmt w:val="bullet"/>
      <w:lvlText w:val=""/>
      <w:lvlJc w:val="left"/>
      <w:pPr>
        <w:ind w:left="2503" w:hanging="420"/>
      </w:pPr>
      <w:rPr>
        <w:rFonts w:hint="default" w:ascii="Wingdings" w:hAnsi="Wingdings"/>
      </w:rPr>
    </w:lvl>
    <w:lvl w:ilvl="6" w:tentative="0">
      <w:start w:val="1"/>
      <w:numFmt w:val="bullet"/>
      <w:lvlText w:val=""/>
      <w:lvlJc w:val="left"/>
      <w:pPr>
        <w:ind w:left="2923" w:hanging="420"/>
      </w:pPr>
      <w:rPr>
        <w:rFonts w:hint="default" w:ascii="Wingdings" w:hAnsi="Wingdings"/>
      </w:rPr>
    </w:lvl>
    <w:lvl w:ilvl="7" w:tentative="0">
      <w:start w:val="1"/>
      <w:numFmt w:val="bullet"/>
      <w:lvlText w:val=""/>
      <w:lvlJc w:val="left"/>
      <w:pPr>
        <w:ind w:left="3343" w:hanging="420"/>
      </w:pPr>
      <w:rPr>
        <w:rFonts w:hint="default" w:ascii="Wingdings" w:hAnsi="Wingdings"/>
      </w:rPr>
    </w:lvl>
    <w:lvl w:ilvl="8" w:tentative="0">
      <w:start w:val="1"/>
      <w:numFmt w:val="bullet"/>
      <w:lvlText w:val=""/>
      <w:lvlJc w:val="left"/>
      <w:pPr>
        <w:ind w:left="3763" w:hanging="420"/>
      </w:pPr>
      <w:rPr>
        <w:rFonts w:hint="default" w:ascii="Wingdings" w:hAnsi="Wingdings"/>
      </w:rPr>
    </w:lvl>
  </w:abstractNum>
  <w:abstractNum w:abstractNumId="9">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0">
    <w:nsid w:val="208F3DBE"/>
    <w:multiLevelType w:val="multilevel"/>
    <w:tmpl w:val="208F3DB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2">
    <w:nsid w:val="22240951"/>
    <w:multiLevelType w:val="multilevel"/>
    <w:tmpl w:val="22240951"/>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26390C48"/>
    <w:multiLevelType w:val="multilevel"/>
    <w:tmpl w:val="26390C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5">
    <w:nsid w:val="376D13FE"/>
    <w:multiLevelType w:val="multilevel"/>
    <w:tmpl w:val="376D13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3DFB7B91"/>
    <w:multiLevelType w:val="multilevel"/>
    <w:tmpl w:val="3DFB7B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8">
    <w:nsid w:val="484679A8"/>
    <w:multiLevelType w:val="multilevel"/>
    <w:tmpl w:val="484679A8"/>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5340023"/>
    <w:multiLevelType w:val="multilevel"/>
    <w:tmpl w:val="55340023"/>
    <w:lvl w:ilvl="0" w:tentative="0">
      <w:start w:val="1"/>
      <w:numFmt w:val="decimal"/>
      <w:lvlText w:val="%1）"/>
      <w:lvlJc w:val="left"/>
      <w:pPr>
        <w:ind w:left="420" w:hanging="420"/>
      </w:pPr>
      <w:rPr>
        <w:rFonts w:ascii="宋体" w:hAnsi="宋体" w:eastAsia="宋体" w:cs="Times New Roman"/>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955557F"/>
    <w:multiLevelType w:val="multilevel"/>
    <w:tmpl w:val="595555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D0B4A07"/>
    <w:multiLevelType w:val="multilevel"/>
    <w:tmpl w:val="5D0B4A07"/>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2B3439F"/>
    <w:multiLevelType w:val="multilevel"/>
    <w:tmpl w:val="62B3439F"/>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97443AA"/>
    <w:multiLevelType w:val="multilevel"/>
    <w:tmpl w:val="697443AA"/>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E8C6948"/>
    <w:multiLevelType w:val="singleLevel"/>
    <w:tmpl w:val="6E8C6948"/>
    <w:lvl w:ilvl="0" w:tentative="0">
      <w:start w:val="1"/>
      <w:numFmt w:val="chineseCounting"/>
      <w:suff w:val="space"/>
      <w:lvlText w:val="第%1部分"/>
      <w:lvlJc w:val="left"/>
      <w:rPr>
        <w:rFonts w:hint="eastAsia"/>
      </w:rPr>
    </w:lvl>
  </w:abstractNum>
  <w:abstractNum w:abstractNumId="25">
    <w:nsid w:val="6FFF4A8A"/>
    <w:multiLevelType w:val="multilevel"/>
    <w:tmpl w:val="6FFF4A8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7A612DE2"/>
    <w:multiLevelType w:val="singleLevel"/>
    <w:tmpl w:val="7A612DE2"/>
    <w:lvl w:ilvl="0" w:tentative="0">
      <w:start w:val="2"/>
      <w:numFmt w:val="decimal"/>
      <w:lvlText w:val="%1."/>
      <w:lvlJc w:val="left"/>
      <w:pPr>
        <w:tabs>
          <w:tab w:val="left" w:pos="312"/>
        </w:tabs>
      </w:pPr>
    </w:lvl>
  </w:abstractNum>
  <w:abstractNum w:abstractNumId="27">
    <w:nsid w:val="7BC160E3"/>
    <w:multiLevelType w:val="multilevel"/>
    <w:tmpl w:val="7BC160E3"/>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24"/>
  </w:num>
  <w:num w:numId="2">
    <w:abstractNumId w:val="0"/>
  </w:num>
  <w:num w:numId="3">
    <w:abstractNumId w:val="26"/>
  </w:num>
  <w:num w:numId="4">
    <w:abstractNumId w:val="11"/>
  </w:num>
  <w:num w:numId="5">
    <w:abstractNumId w:val="4"/>
  </w:num>
  <w:num w:numId="6">
    <w:abstractNumId w:val="17"/>
  </w:num>
  <w:num w:numId="7">
    <w:abstractNumId w:val="1"/>
  </w:num>
  <w:num w:numId="8">
    <w:abstractNumId w:val="14"/>
  </w:num>
  <w:num w:numId="9">
    <w:abstractNumId w:val="9"/>
  </w:num>
  <w:num w:numId="10">
    <w:abstractNumId w:val="5"/>
  </w:num>
  <w:num w:numId="11">
    <w:abstractNumId w:val="3"/>
  </w:num>
  <w:num w:numId="12">
    <w:abstractNumId w:val="27"/>
  </w:num>
  <w:num w:numId="13">
    <w:abstractNumId w:val="6"/>
  </w:num>
  <w:num w:numId="14">
    <w:abstractNumId w:val="8"/>
  </w:num>
  <w:num w:numId="15">
    <w:abstractNumId w:val="20"/>
  </w:num>
  <w:num w:numId="16">
    <w:abstractNumId w:val="25"/>
  </w:num>
  <w:num w:numId="17">
    <w:abstractNumId w:val="10"/>
  </w:num>
  <w:num w:numId="18">
    <w:abstractNumId w:val="7"/>
  </w:num>
  <w:num w:numId="19">
    <w:abstractNumId w:val="15"/>
  </w:num>
  <w:num w:numId="20">
    <w:abstractNumId w:val="12"/>
  </w:num>
  <w:num w:numId="21">
    <w:abstractNumId w:val="19"/>
  </w:num>
  <w:num w:numId="22">
    <w:abstractNumId w:val="22"/>
  </w:num>
  <w:num w:numId="23">
    <w:abstractNumId w:val="13"/>
  </w:num>
  <w:num w:numId="24">
    <w:abstractNumId w:val="23"/>
  </w:num>
  <w:num w:numId="25">
    <w:abstractNumId w:val="16"/>
  </w:num>
  <w:num w:numId="26">
    <w:abstractNumId w:val="18"/>
  </w:num>
  <w:num w:numId="27">
    <w:abstractNumId w:val="2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000000"/>
    <w:rsid w:val="5DD850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2">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unhideWhenUsed/>
    <w:qFormat/>
    <w:uiPriority w:val="1"/>
  </w:style>
  <w:style w:type="table" w:default="1" w:styleId="35">
    <w:name w:val="Normal Table"/>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2"/>
    <w:qFormat/>
    <w:uiPriority w:val="9"/>
    <w:rPr>
      <w:rFonts w:ascii="Arial" w:hAnsi="Arial" w:eastAsia="宋体" w:cs="Times New Roman"/>
      <w:b/>
      <w:bCs/>
      <w:sz w:val="24"/>
      <w:szCs w:val="32"/>
    </w:rPr>
  </w:style>
  <w:style w:type="character" w:customStyle="1" w:styleId="47">
    <w:name w:val="标题 3 字符"/>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0"/>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2"/>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customStyle="1"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4.emf"/><Relationship Id="rId5" Type="http://schemas.openxmlformats.org/officeDocument/2006/relationships/header" Target="header1.xml"/><Relationship Id="rId49" Type="http://schemas.openxmlformats.org/officeDocument/2006/relationships/oleObject" Target="embeddings/oleObject1.bin"/><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header" Target="header5.xml"/><Relationship Id="rId31" Type="http://schemas.openxmlformats.org/officeDocument/2006/relationships/header" Target="header4.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91</Pages>
  <Words>44499</Words>
  <Characters>47252</Characters>
  <Lines>305</Lines>
  <Paragraphs>86</Paragraphs>
  <TotalTime>1</TotalTime>
  <ScaleCrop>false</ScaleCrop>
  <LinksUpToDate>false</LinksUpToDate>
  <CharactersWithSpaces>53644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孔明伟</cp:lastModifiedBy>
  <cp:lastPrinted>2022-07-01T11:19:00Z</cp:lastPrinted>
  <dcterms:modified xsi:type="dcterms:W3CDTF">2023-09-26T05:10:40Z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ED02EB12B8294FE5807EAA5D2C3C24E0</vt:lpwstr>
  </property>
</Properties>
</file>