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color w:val="000000"/>
          <w:sz w:val="30"/>
          <w:szCs w:val="30"/>
        </w:rPr>
      </w:pPr>
    </w:p>
    <w:p>
      <w:pPr>
        <w:pStyle w:val="11"/>
        <w:rPr>
          <w:rFonts w:ascii="宋体" w:hAnsi="宋体" w:eastAsia="宋体" w:cs="宋体"/>
        </w:rPr>
      </w:pP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产品试验检测中心直流稳压电源采购</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招标项目</w:t>
      </w:r>
    </w:p>
    <w:p>
      <w:pPr>
        <w:jc w:val="right"/>
        <w:rPr>
          <w:rFonts w:ascii="宋体" w:hAnsi="宋体" w:cs="宋体"/>
          <w:color w:val="000000"/>
          <w:sz w:val="28"/>
          <w:szCs w:val="28"/>
        </w:rPr>
      </w:pPr>
      <w:r>
        <w:rPr>
          <w:rFonts w:hint="eastAsia" w:ascii="宋体" w:hAnsi="宋体" w:cs="宋体"/>
          <w:color w:val="000000"/>
          <w:sz w:val="28"/>
          <w:szCs w:val="28"/>
        </w:rPr>
        <w:t>附：技术协议书</w:t>
      </w:r>
    </w:p>
    <w:p>
      <w:pPr>
        <w:jc w:val="right"/>
        <w:rPr>
          <w:rFonts w:ascii="宋体" w:hAnsi="宋体" w:cs="宋体"/>
          <w:color w:val="000000"/>
          <w:sz w:val="28"/>
          <w:szCs w:val="28"/>
        </w:rPr>
      </w:pPr>
    </w:p>
    <w:p>
      <w:pPr>
        <w:pStyle w:val="11"/>
        <w:rPr>
          <w:rFonts w:ascii="宋体" w:hAnsi="宋体" w:eastAsia="宋体" w:cs="宋体"/>
          <w:color w:val="000000"/>
          <w:sz w:val="28"/>
          <w:szCs w:val="28"/>
        </w:rPr>
      </w:pPr>
    </w:p>
    <w:p>
      <w:pPr>
        <w:pStyle w:val="11"/>
        <w:rPr>
          <w:rFonts w:ascii="宋体" w:hAnsi="宋体" w:eastAsia="宋体" w:cs="宋体"/>
          <w:color w:val="000000"/>
          <w:sz w:val="28"/>
          <w:szCs w:val="28"/>
        </w:rPr>
      </w:pPr>
    </w:p>
    <w:p>
      <w:pPr>
        <w:spacing w:line="360" w:lineRule="auto"/>
        <w:jc w:val="center"/>
        <w:rPr>
          <w:rFonts w:ascii="宋体" w:hAnsi="宋体" w:cs="宋体"/>
          <w:b/>
          <w:sz w:val="84"/>
          <w:szCs w:val="84"/>
        </w:rPr>
      </w:pPr>
      <w:r>
        <w:rPr>
          <w:rFonts w:hint="eastAsia" w:ascii="宋体" w:hAnsi="宋体" w:cs="宋体"/>
          <w:b/>
          <w:sz w:val="84"/>
          <w:szCs w:val="84"/>
        </w:rPr>
        <w:t>招</w:t>
      </w:r>
    </w:p>
    <w:p>
      <w:pPr>
        <w:tabs>
          <w:tab w:val="left" w:pos="6470"/>
        </w:tabs>
        <w:spacing w:line="360" w:lineRule="auto"/>
        <w:jc w:val="left"/>
        <w:rPr>
          <w:rFonts w:ascii="宋体" w:hAnsi="宋体" w:cs="宋体"/>
          <w:b/>
          <w:sz w:val="84"/>
          <w:szCs w:val="84"/>
        </w:rPr>
      </w:pPr>
      <w:r>
        <w:rPr>
          <w:rFonts w:hint="eastAsia" w:ascii="宋体" w:hAnsi="宋体" w:cs="宋体"/>
          <w:b/>
          <w:sz w:val="84"/>
          <w:szCs w:val="84"/>
        </w:rPr>
        <w:tab/>
      </w:r>
    </w:p>
    <w:p>
      <w:pPr>
        <w:spacing w:line="360" w:lineRule="auto"/>
        <w:jc w:val="center"/>
        <w:rPr>
          <w:rFonts w:ascii="宋体" w:hAnsi="宋体" w:cs="宋体"/>
          <w:b/>
          <w:sz w:val="84"/>
          <w:szCs w:val="84"/>
        </w:rPr>
      </w:pPr>
      <w:r>
        <w:rPr>
          <w:rFonts w:hint="eastAsia" w:ascii="宋体" w:hAnsi="宋体" w:cs="宋体"/>
          <w:b/>
          <w:sz w:val="84"/>
          <w:szCs w:val="84"/>
        </w:rPr>
        <w:t>标</w:t>
      </w:r>
    </w:p>
    <w:p>
      <w:pPr>
        <w:spacing w:line="360" w:lineRule="auto"/>
        <w:jc w:val="center"/>
        <w:rPr>
          <w:rFonts w:ascii="宋体" w:hAnsi="宋体" w:cs="宋体"/>
          <w:b/>
          <w:sz w:val="84"/>
          <w:szCs w:val="84"/>
        </w:rPr>
      </w:pPr>
    </w:p>
    <w:p>
      <w:pPr>
        <w:spacing w:line="360" w:lineRule="auto"/>
        <w:jc w:val="center"/>
        <w:rPr>
          <w:rFonts w:ascii="宋体" w:hAnsi="宋体" w:cs="宋体"/>
          <w:b/>
          <w:sz w:val="48"/>
          <w:szCs w:val="48"/>
        </w:rPr>
      </w:pPr>
      <w:r>
        <w:rPr>
          <w:rFonts w:hint="eastAsia" w:ascii="宋体" w:hAnsi="宋体" w:cs="宋体"/>
          <w:b/>
          <w:sz w:val="84"/>
          <w:szCs w:val="84"/>
        </w:rPr>
        <w:t>书</w:t>
      </w:r>
    </w:p>
    <w:p>
      <w:pPr>
        <w:jc w:val="center"/>
        <w:rPr>
          <w:rFonts w:ascii="宋体" w:hAnsi="宋体" w:cs="宋体"/>
          <w:color w:val="000000"/>
          <w:sz w:val="28"/>
          <w:szCs w:val="28"/>
        </w:rPr>
      </w:pPr>
    </w:p>
    <w:p>
      <w:pPr>
        <w:spacing w:line="360" w:lineRule="auto"/>
        <w:ind w:firstLine="2240" w:firstLineChars="800"/>
        <w:rPr>
          <w:rFonts w:ascii="宋体" w:hAnsi="宋体" w:cs="宋体"/>
          <w:bCs/>
          <w:sz w:val="28"/>
          <w:szCs w:val="28"/>
        </w:rPr>
      </w:pPr>
      <w:r>
        <w:rPr>
          <w:rFonts w:hint="eastAsia" w:ascii="宋体" w:hAnsi="宋体" w:cs="宋体"/>
          <w:bCs/>
          <w:sz w:val="28"/>
          <w:szCs w:val="28"/>
        </w:rPr>
        <w:t>招标人：中国重汽集团济南动力有限公司</w:t>
      </w:r>
    </w:p>
    <w:p>
      <w:pPr>
        <w:pStyle w:val="15"/>
        <w:spacing w:line="360" w:lineRule="auto"/>
        <w:jc w:val="center"/>
        <w:rPr>
          <w:rFonts w:hAnsi="宋体" w:cs="宋体"/>
          <w:bCs/>
          <w:sz w:val="28"/>
          <w:szCs w:val="28"/>
        </w:rPr>
      </w:pPr>
      <w:r>
        <w:rPr>
          <w:rFonts w:hint="eastAsia" w:hAnsi="宋体" w:cs="宋体"/>
          <w:bCs/>
          <w:sz w:val="28"/>
          <w:szCs w:val="28"/>
        </w:rPr>
        <w:t xml:space="preserve"> 2023年6月</w:t>
      </w:r>
    </w:p>
    <w:p>
      <w:pPr>
        <w:pStyle w:val="49"/>
        <w:rPr>
          <w:rFonts w:ascii="宋体" w:hAnsi="宋体" w:eastAsia="宋体" w:cs="宋体"/>
        </w:rPr>
      </w:pPr>
      <w:r>
        <w:rPr>
          <w:rFonts w:hint="eastAsia" w:ascii="宋体" w:hAnsi="宋体" w:eastAsia="宋体" w:cs="宋体"/>
        </w:rPr>
        <w:t>第一部分  招标公告</w:t>
      </w:r>
    </w:p>
    <w:p>
      <w:pPr>
        <w:pStyle w:val="68"/>
        <w:numPr>
          <w:ilvl w:val="0"/>
          <w:numId w:val="1"/>
        </w:numPr>
        <w:rPr>
          <w:rFonts w:eastAsia="宋体" w:cs="宋体"/>
        </w:rPr>
      </w:pPr>
      <w:r>
        <w:rPr>
          <w:rFonts w:hint="eastAsia" w:eastAsia="宋体" w:cs="宋体"/>
        </w:rPr>
        <w:t>项目名称</w:t>
      </w:r>
    </w:p>
    <w:p>
      <w:pPr>
        <w:spacing w:line="360" w:lineRule="auto"/>
        <w:ind w:left="1679" w:leftChars="228" w:hanging="1200" w:hangingChars="500"/>
        <w:rPr>
          <w:rFonts w:ascii="宋体" w:hAnsi="宋体" w:cs="宋体"/>
          <w:color w:val="000000"/>
          <w:sz w:val="24"/>
          <w:szCs w:val="24"/>
          <w:u w:val="single"/>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产品试验检测中心直流稳压电源采购招标项目</w:t>
      </w:r>
    </w:p>
    <w:p>
      <w:pPr>
        <w:spacing w:line="360" w:lineRule="auto"/>
        <w:ind w:left="1679" w:leftChars="228" w:hanging="1200" w:hangingChars="500"/>
        <w:rPr>
          <w:rFonts w:ascii="宋体" w:hAnsi="宋体" w:cs="宋体"/>
          <w:color w:val="000000"/>
          <w:sz w:val="24"/>
          <w:szCs w:val="24"/>
          <w:highlight w:val="yellow"/>
        </w:rPr>
      </w:pPr>
      <w:r>
        <w:rPr>
          <w:rFonts w:hint="eastAsia" w:ascii="宋体" w:hAnsi="宋体" w:cs="宋体"/>
          <w:color w:val="000000"/>
          <w:sz w:val="24"/>
          <w:szCs w:val="24"/>
        </w:rPr>
        <w:t>采购形式编号：</w:t>
      </w:r>
      <w:r>
        <w:rPr>
          <w:rFonts w:ascii="宋体" w:hAnsi="宋体" w:cs="宋体"/>
          <w:color w:val="000000"/>
          <w:sz w:val="24"/>
          <w:szCs w:val="24"/>
        </w:rPr>
        <w:t>CGZX20230</w:t>
      </w:r>
      <w:r>
        <w:rPr>
          <w:rFonts w:hint="eastAsia" w:ascii="宋体" w:hAnsi="宋体" w:cs="宋体"/>
          <w:color w:val="000000"/>
          <w:sz w:val="24"/>
          <w:szCs w:val="24"/>
        </w:rPr>
        <w:t>60226</w:t>
      </w:r>
    </w:p>
    <w:bookmarkEnd w:id="0"/>
    <w:p>
      <w:pPr>
        <w:pStyle w:val="68"/>
        <w:numPr>
          <w:ilvl w:val="0"/>
          <w:numId w:val="1"/>
        </w:numPr>
        <w:rPr>
          <w:rFonts w:eastAsia="宋体" w:cs="宋体"/>
        </w:rPr>
      </w:pPr>
      <w:r>
        <w:rPr>
          <w:rFonts w:hint="eastAsia" w:eastAsia="宋体" w:cs="宋体"/>
        </w:rPr>
        <w:t>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1、招标内容：产品试验检测中心直流稳压电源，详见技术协议书。</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r>
        <w:rPr>
          <w:rFonts w:hint="eastAsia" w:hAnsi="宋体" w:cs="宋体"/>
          <w:b/>
          <w:color w:val="000000"/>
          <w:sz w:val="24"/>
          <w:szCs w:val="24"/>
        </w:rPr>
        <w:t xml:space="preserve"> </w:t>
      </w:r>
    </w:p>
    <w:p>
      <w:pPr>
        <w:pStyle w:val="15"/>
        <w:spacing w:line="360" w:lineRule="auto"/>
        <w:ind w:firstLine="482" w:firstLineChars="200"/>
        <w:rPr>
          <w:rFonts w:hAnsi="宋体" w:cs="宋体"/>
          <w:b/>
          <w:color w:val="000000"/>
          <w:sz w:val="24"/>
          <w:szCs w:val="24"/>
        </w:rPr>
      </w:pPr>
      <w:r>
        <w:rPr>
          <w:rFonts w:hint="eastAsia" w:hAnsi="宋体" w:cs="宋体"/>
          <w:b/>
          <w:color w:val="000000"/>
          <w:sz w:val="24"/>
          <w:szCs w:val="24"/>
        </w:rPr>
        <w:t>具体要求详见《技术协议书》：第一章到第六章。</w:t>
      </w:r>
    </w:p>
    <w:p>
      <w:pPr>
        <w:pStyle w:val="68"/>
        <w:numPr>
          <w:ilvl w:val="0"/>
          <w:numId w:val="1"/>
        </w:numPr>
        <w:rPr>
          <w:rFonts w:eastAsia="宋体" w:cs="宋体"/>
        </w:rPr>
      </w:pPr>
      <w:r>
        <w:rPr>
          <w:rFonts w:hint="eastAsia" w:eastAsia="宋体" w:cs="宋体"/>
        </w:rPr>
        <w:t>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1、项目名称：产品试验检测中心直流稳压电源采购招标项目。</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2、项目地点：济南市章丘区世纪大道7777号中国重汽工业园区发动机试验室。</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15"/>
        <w:spacing w:line="360" w:lineRule="auto"/>
        <w:ind w:firstLine="480" w:firstLineChars="200"/>
        <w:rPr>
          <w:rFonts w:hAnsi="宋体" w:cs="宋体"/>
          <w:color w:val="000000"/>
          <w:sz w:val="24"/>
          <w:szCs w:val="24"/>
          <w:highlight w:val="yellow"/>
        </w:rPr>
      </w:pPr>
      <w:r>
        <w:rPr>
          <w:rFonts w:hint="eastAsia" w:hAnsi="宋体" w:cs="宋体"/>
          <w:color w:val="000000"/>
          <w:sz w:val="24"/>
          <w:szCs w:val="24"/>
        </w:rPr>
        <w:t>4、交货期：</w:t>
      </w:r>
      <w:r>
        <w:rPr>
          <w:rFonts w:hint="eastAsia" w:hAnsi="宋体" w:cs="宋体"/>
          <w:color w:val="000000"/>
          <w:sz w:val="24"/>
          <w:szCs w:val="24"/>
          <w:highlight w:val="yellow"/>
        </w:rPr>
        <w:t>交货期为合同签订后的30个日历日内。</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5、交货方式：交钥匙方式。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6、付款方式：半年期商业汇票(</w:t>
      </w:r>
      <w:r>
        <w:rPr>
          <w:rFonts w:hint="eastAsia" w:hAnsi="宋体" w:cs="宋体"/>
          <w:color w:val="000000"/>
          <w:sz w:val="24"/>
          <w:szCs w:val="24"/>
          <w:highlight w:val="yellow"/>
          <w:u w:val="single"/>
        </w:rPr>
        <w:t>包括银行承兑汇票和商业承兑汇票</w:t>
      </w:r>
      <w:r>
        <w:rPr>
          <w:rFonts w:hint="eastAsia" w:hAnsi="宋体" w:cs="宋体"/>
          <w:color w:val="000000"/>
          <w:sz w:val="24"/>
          <w:szCs w:val="24"/>
        </w:rPr>
        <w:t>）</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（1）设备全部到齐，验收合格交付使用后，卖方提交金额为合同价款90%的收据并附带下列单据，买方依照财务制度审核无误后</w:t>
      </w:r>
      <w:r>
        <w:rPr>
          <w:rFonts w:hint="eastAsia" w:hAnsi="宋体" w:cs="宋体"/>
          <w:color w:val="000000"/>
          <w:sz w:val="24"/>
          <w:szCs w:val="24"/>
          <w:u w:val="single"/>
        </w:rPr>
        <w:t>7个</w:t>
      </w:r>
      <w:r>
        <w:rPr>
          <w:rFonts w:hint="eastAsia" w:hAnsi="宋体" w:cs="宋体"/>
          <w:color w:val="000000"/>
          <w:sz w:val="24"/>
          <w:szCs w:val="24"/>
        </w:rPr>
        <w:t>工作日内支付。</w:t>
      </w:r>
    </w:p>
    <w:p>
      <w:pPr>
        <w:pStyle w:val="15"/>
        <w:spacing w:line="360" w:lineRule="auto"/>
        <w:ind w:firstLine="720" w:firstLineChars="300"/>
        <w:rPr>
          <w:rFonts w:hAnsi="宋体" w:cs="宋体"/>
          <w:color w:val="000000"/>
          <w:sz w:val="24"/>
          <w:szCs w:val="24"/>
        </w:rPr>
      </w:pPr>
      <w:r>
        <w:rPr>
          <w:rFonts w:hint="eastAsia" w:hAnsi="宋体" w:cs="宋体"/>
          <w:color w:val="000000"/>
          <w:sz w:val="24"/>
          <w:szCs w:val="24"/>
        </w:rPr>
        <w:t>A：金额为该合同价款100%的增值税专用发票（含复印件二份），具体开票信息详见增值税专用发票开票信息表，根据表中所列信息开具增值税专用发票。</w:t>
      </w:r>
    </w:p>
    <w:p>
      <w:pPr>
        <w:pStyle w:val="15"/>
        <w:spacing w:line="360" w:lineRule="auto"/>
        <w:ind w:firstLine="720" w:firstLineChars="300"/>
        <w:rPr>
          <w:rFonts w:hAnsi="宋体" w:cs="宋体"/>
          <w:color w:val="000000"/>
          <w:sz w:val="24"/>
          <w:szCs w:val="24"/>
        </w:rPr>
      </w:pPr>
      <w:r>
        <w:rPr>
          <w:rFonts w:hint="eastAsia" w:hAnsi="宋体" w:cs="宋体"/>
          <w:color w:val="000000"/>
          <w:sz w:val="24"/>
          <w:szCs w:val="24"/>
        </w:rPr>
        <w:t>B：该套合同设备最终验收报告的原件及其复印件两份。</w:t>
      </w:r>
    </w:p>
    <w:p>
      <w:pPr>
        <w:pStyle w:val="15"/>
        <w:numPr>
          <w:ilvl w:val="0"/>
          <w:numId w:val="2"/>
        </w:numPr>
        <w:spacing w:line="360" w:lineRule="auto"/>
        <w:ind w:firstLine="480" w:firstLineChars="200"/>
        <w:rPr>
          <w:rFonts w:hAnsi="宋体" w:cs="宋体"/>
          <w:color w:val="000000"/>
          <w:sz w:val="24"/>
          <w:szCs w:val="24"/>
        </w:rPr>
      </w:pPr>
      <w:r>
        <w:rPr>
          <w:rFonts w:hint="eastAsia" w:hAnsi="宋体" w:cs="宋体"/>
          <w:color w:val="000000"/>
          <w:sz w:val="24"/>
          <w:szCs w:val="24"/>
        </w:rPr>
        <w:t>合同总价款的</w:t>
      </w:r>
      <w:r>
        <w:rPr>
          <w:rFonts w:hint="eastAsia" w:hAnsi="宋体" w:cs="宋体"/>
          <w:color w:val="000000"/>
          <w:sz w:val="24"/>
          <w:szCs w:val="24"/>
          <w:u w:val="single"/>
        </w:rPr>
        <w:t>10%</w:t>
      </w:r>
      <w:r>
        <w:rPr>
          <w:rFonts w:hint="eastAsia" w:hAnsi="宋体" w:cs="宋体"/>
          <w:color w:val="000000"/>
          <w:sz w:val="24"/>
          <w:szCs w:val="24"/>
        </w:rPr>
        <w:t>作为本合同约定设备的质量保证金，质量保证金在质量保证期内不计利息。待货物质量保证期满一年后，卖方向买方提交金额为合同价款10%的收据（正本一份，复印件二份），经买方依照财务制度审核无误后支付。如有质量问题，质量保证金予以相应扣除。</w:t>
      </w:r>
    </w:p>
    <w:p>
      <w:pPr>
        <w:rPr>
          <w:rFonts w:ascii="宋体" w:hAnsi="宋体" w:cs="宋体"/>
          <w:b/>
          <w:color w:val="000000"/>
          <w:sz w:val="24"/>
          <w:szCs w:val="24"/>
        </w:rPr>
      </w:pPr>
      <w:r>
        <w:rPr>
          <w:rFonts w:hint="eastAsia" w:ascii="宋体" w:hAnsi="宋体" w:cs="宋体"/>
          <w:b/>
          <w:color w:val="000000"/>
          <w:sz w:val="24"/>
          <w:szCs w:val="24"/>
        </w:rPr>
        <w:br w:type="page"/>
      </w:r>
    </w:p>
    <w:p>
      <w:pPr>
        <w:spacing w:line="540" w:lineRule="exact"/>
        <w:jc w:val="center"/>
        <w:rPr>
          <w:rFonts w:ascii="宋体" w:hAnsi="宋体" w:cs="宋体"/>
          <w:b/>
          <w:color w:val="000000"/>
          <w:sz w:val="24"/>
          <w:szCs w:val="24"/>
        </w:rPr>
      </w:pPr>
      <w:r>
        <w:rPr>
          <w:rFonts w:hint="eastAsia" w:ascii="宋体" w:hAnsi="宋体" w:cs="宋体"/>
          <w:b/>
          <w:color w:val="000000"/>
          <w:sz w:val="24"/>
          <w:szCs w:val="24"/>
        </w:rPr>
        <w:t>增值税专用发票开票信息表</w:t>
      </w:r>
    </w:p>
    <w:tbl>
      <w:tblPr>
        <w:tblStyle w:val="3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540" w:lineRule="exact"/>
              <w:rPr>
                <w:rFonts w:ascii="宋体" w:hAnsi="宋体" w:cs="宋体"/>
                <w:bCs/>
                <w:sz w:val="24"/>
                <w:szCs w:val="24"/>
              </w:rPr>
            </w:pPr>
            <w:r>
              <w:rPr>
                <w:rFonts w:hint="eastAsia" w:ascii="宋体" w:hAnsi="宋体" w:cs="宋体"/>
                <w:bCs/>
                <w:sz w:val="24"/>
                <w:szCs w:val="24"/>
              </w:rPr>
              <w:t>名称：中国重汽集团济南动力有限公司</w:t>
            </w:r>
          </w:p>
        </w:tc>
        <w:tc>
          <w:tcPr>
            <w:tcW w:w="4643" w:type="dxa"/>
          </w:tcPr>
          <w:p>
            <w:pPr>
              <w:spacing w:line="540" w:lineRule="exact"/>
              <w:rPr>
                <w:rFonts w:ascii="宋体" w:hAnsi="宋体" w:cs="宋体"/>
                <w:bCs/>
                <w:sz w:val="24"/>
                <w:szCs w:val="24"/>
              </w:rPr>
            </w:pPr>
            <w:r>
              <w:rPr>
                <w:rFonts w:hint="eastAsia" w:ascii="宋体" w:hAnsi="宋体" w:cs="宋体"/>
                <w:bCs/>
                <w:sz w:val="24"/>
                <w:szCs w:val="24"/>
              </w:rPr>
              <w:t>地址：章丘市圣井唐王山路北潘王路西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540" w:lineRule="exact"/>
              <w:rPr>
                <w:rFonts w:ascii="宋体" w:hAnsi="宋体" w:cs="宋体"/>
                <w:bCs/>
                <w:sz w:val="24"/>
                <w:szCs w:val="24"/>
              </w:rPr>
            </w:pPr>
            <w:r>
              <w:rPr>
                <w:rFonts w:hint="eastAsia" w:ascii="宋体" w:hAnsi="宋体" w:cs="宋体"/>
                <w:bCs/>
                <w:sz w:val="24"/>
                <w:szCs w:val="24"/>
              </w:rPr>
              <w:t>纳税人识别号：91370100787411873C</w:t>
            </w:r>
          </w:p>
        </w:tc>
        <w:tc>
          <w:tcPr>
            <w:tcW w:w="4643" w:type="dxa"/>
          </w:tcPr>
          <w:p>
            <w:pPr>
              <w:spacing w:line="540" w:lineRule="exact"/>
              <w:rPr>
                <w:rFonts w:ascii="宋体" w:hAnsi="宋体" w:cs="宋体"/>
                <w:bCs/>
                <w:sz w:val="24"/>
                <w:szCs w:val="24"/>
              </w:rPr>
            </w:pPr>
            <w:r>
              <w:rPr>
                <w:rFonts w:hint="eastAsia" w:ascii="宋体" w:hAnsi="宋体" w:cs="宋体"/>
                <w:bCs/>
                <w:sz w:val="24"/>
                <w:szCs w:val="24"/>
              </w:rPr>
              <w:t>开户行：中国银行章丘支行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540" w:lineRule="exact"/>
              <w:rPr>
                <w:rFonts w:ascii="宋体" w:hAnsi="宋体" w:cs="宋体"/>
                <w:bCs/>
                <w:sz w:val="24"/>
                <w:szCs w:val="24"/>
              </w:rPr>
            </w:pPr>
            <w:r>
              <w:rPr>
                <w:rFonts w:hint="eastAsia" w:ascii="宋体" w:hAnsi="宋体" w:cs="宋体"/>
                <w:bCs/>
                <w:sz w:val="24"/>
                <w:szCs w:val="24"/>
              </w:rPr>
              <w:t>电话： 0531-58062198</w:t>
            </w:r>
          </w:p>
        </w:tc>
        <w:tc>
          <w:tcPr>
            <w:tcW w:w="4643" w:type="dxa"/>
          </w:tcPr>
          <w:p>
            <w:pPr>
              <w:spacing w:line="540" w:lineRule="exact"/>
              <w:rPr>
                <w:rFonts w:ascii="宋体" w:hAnsi="宋体" w:cs="宋体"/>
                <w:bCs/>
                <w:sz w:val="24"/>
                <w:szCs w:val="24"/>
              </w:rPr>
            </w:pPr>
            <w:r>
              <w:rPr>
                <w:rFonts w:hint="eastAsia" w:ascii="宋体" w:hAnsi="宋体" w:cs="宋体"/>
                <w:bCs/>
                <w:sz w:val="24"/>
                <w:szCs w:val="24"/>
              </w:rPr>
              <w:t>账号：2377 0557 4474</w:t>
            </w:r>
          </w:p>
        </w:tc>
      </w:tr>
    </w:tbl>
    <w:p>
      <w:pPr>
        <w:pStyle w:val="15"/>
        <w:spacing w:line="360" w:lineRule="auto"/>
        <w:ind w:firstLine="480" w:firstLineChars="200"/>
        <w:rPr>
          <w:rFonts w:hAnsi="宋体" w:cs="宋体"/>
          <w:color w:val="000000"/>
          <w:sz w:val="24"/>
          <w:szCs w:val="24"/>
        </w:rPr>
      </w:pPr>
    </w:p>
    <w:p>
      <w:pPr>
        <w:pStyle w:val="68"/>
        <w:numPr>
          <w:ilvl w:val="0"/>
          <w:numId w:val="1"/>
        </w:numPr>
        <w:rPr>
          <w:rFonts w:eastAsia="宋体" w:cs="宋体"/>
        </w:rPr>
      </w:pPr>
      <w:bookmarkStart w:id="1" w:name="_Hlk134193523"/>
      <w:r>
        <w:rPr>
          <w:rFonts w:hint="eastAsia" w:eastAsia="宋体" w:cs="宋体"/>
        </w:rPr>
        <w:t>投标说明</w:t>
      </w:r>
    </w:p>
    <w:p>
      <w:pPr>
        <w:pStyle w:val="76"/>
        <w:rPr>
          <w:rFonts w:ascii="宋体" w:hAnsi="宋体" w:cs="宋体"/>
        </w:rPr>
      </w:pPr>
      <w:r>
        <w:rPr>
          <w:rFonts w:hint="eastAsia" w:ascii="宋体" w:hAnsi="宋体" w:cs="宋体"/>
        </w:rPr>
        <w:t>1、报名方式</w:t>
      </w:r>
    </w:p>
    <w:p>
      <w:pPr>
        <w:pStyle w:val="66"/>
        <w:ind w:firstLine="480"/>
        <w:rPr>
          <w:rFonts w:cs="宋体"/>
        </w:rPr>
      </w:pPr>
      <w:r>
        <w:rPr>
          <w:rFonts w:hint="eastAsia" w:cs="宋体"/>
        </w:rPr>
        <w:t>1.1拟投标人根据招标人在中国重汽官网等公开媒体上发布的招标信息，在“中国重汽e采通”平台报名。</w:t>
      </w:r>
      <w:r>
        <w:rPr>
          <w:rFonts w:hint="eastAsia" w:cs="宋体"/>
          <w:b/>
          <w:bCs/>
        </w:rPr>
        <w:t>按照中国重汽e采通“SRM非生产供应商注册手册”（附件1</w:t>
      </w:r>
      <w:r>
        <w:rPr>
          <w:rFonts w:cs="宋体"/>
          <w:b/>
          <w:bCs/>
        </w:rPr>
        <w:t>2</w:t>
      </w:r>
      <w:r>
        <w:rPr>
          <w:rFonts w:hint="eastAsia" w:cs="宋体"/>
          <w:b/>
          <w:bCs/>
        </w:rPr>
        <w:t>）进行注册</w:t>
      </w:r>
      <w:r>
        <w:rPr>
          <w:rFonts w:hint="eastAsia" w:cs="宋体"/>
        </w:rPr>
        <w:t>，登录后进入“供应商应标”，选择对应的项目，点击“</w:t>
      </w:r>
      <w:r>
        <w:rPr>
          <w:rFonts w:hint="eastAsia" w:cs="宋体"/>
          <w:b/>
          <w:bCs/>
        </w:rPr>
        <w:t>应标</w:t>
      </w:r>
      <w:r>
        <w:rPr>
          <w:rFonts w:hint="eastAsia" w:cs="宋体"/>
        </w:rPr>
        <w:t>”</w:t>
      </w:r>
      <w:r>
        <w:rPr>
          <w:rFonts w:hint="eastAsia" w:cs="宋体"/>
          <w:b/>
          <w:bCs/>
        </w:rPr>
        <w:t>后按照招标文件本部分第7条投标文件组成资格证明文件中的1-10准备资料并</w:t>
      </w:r>
      <w:r>
        <w:rPr>
          <w:rFonts w:hint="eastAsia" w:cs="宋体"/>
        </w:rPr>
        <w:t>上传，资质审查通过即为报名成功；公示期间请尽快报名。</w:t>
      </w:r>
    </w:p>
    <w:p>
      <w:pPr>
        <w:pStyle w:val="66"/>
        <w:ind w:firstLine="480"/>
        <w:rPr>
          <w:rFonts w:cs="宋体"/>
          <w:bCs/>
        </w:rPr>
      </w:pPr>
      <w:r>
        <w:rPr>
          <w:rFonts w:hint="eastAsia" w:cs="宋体"/>
          <w:bCs/>
        </w:rPr>
        <w:t xml:space="preserve">1.2 </w:t>
      </w:r>
      <w:r>
        <w:rPr>
          <w:rFonts w:hint="eastAsia" w:cs="宋体"/>
        </w:rPr>
        <w:t>拟投标人报名成功后，请将营业执照，授权书（含法人及授权人身份信息）、投标保证金电子回单发送邮件至我单位备案，邮箱地址：</w:t>
      </w:r>
      <w:r>
        <w:rPr>
          <w:rFonts w:hint="default" w:cs="宋体"/>
        </w:rPr>
        <w:t>liyue1</w:t>
      </w:r>
      <w:r>
        <w:rPr>
          <w:rFonts w:hint="eastAsia" w:cs="宋体"/>
        </w:rPr>
        <w:t>@sinotruk.com。</w:t>
      </w:r>
    </w:p>
    <w:p>
      <w:pPr>
        <w:pStyle w:val="66"/>
        <w:ind w:firstLine="482"/>
        <w:rPr>
          <w:rFonts w:cs="宋体"/>
          <w:b/>
        </w:rPr>
      </w:pPr>
      <w:r>
        <w:rPr>
          <w:rFonts w:hint="eastAsia" w:cs="宋体"/>
          <w:b/>
        </w:rPr>
        <w:t>投标邮件主题：某单位授权某代表参与投标某项目+电话</w:t>
      </w:r>
    </w:p>
    <w:p>
      <w:pPr>
        <w:pStyle w:val="66"/>
        <w:ind w:firstLine="482"/>
        <w:rPr>
          <w:rFonts w:cs="宋体"/>
          <w:b/>
        </w:rPr>
      </w:pPr>
      <w:r>
        <w:rPr>
          <w:rFonts w:hint="eastAsia" w:cs="宋体"/>
          <w:b/>
        </w:rPr>
        <w:t>投标邮件附件：营业执照，授权书（含法人及授权人身份信息）、投标保证金电子回单（三个附件发送，不要发压缩包，不要使用126或者123邮箱报名，我公司无法打开下载）</w:t>
      </w:r>
    </w:p>
    <w:p>
      <w:pPr>
        <w:pStyle w:val="66"/>
        <w:ind w:firstLine="482"/>
        <w:rPr>
          <w:rFonts w:cs="宋体"/>
          <w:b/>
        </w:rPr>
      </w:pPr>
      <w:r>
        <w:rPr>
          <w:rFonts w:hint="eastAsia" w:cs="宋体"/>
          <w:b/>
        </w:rPr>
        <w:t>邮件正文</w:t>
      </w:r>
      <w:r>
        <w:rPr>
          <w:rFonts w:hint="eastAsia" w:cs="宋体"/>
        </w:rPr>
        <w:t>：请务必在邮件正文中文字表述</w:t>
      </w:r>
      <w:r>
        <w:rPr>
          <w:rFonts w:hint="eastAsia" w:cs="宋体"/>
          <w:b/>
        </w:rPr>
        <w:t>付款账号、户名、开户行以及行号、保证金金额。</w:t>
      </w:r>
    </w:p>
    <w:p>
      <w:pPr>
        <w:pStyle w:val="66"/>
        <w:ind w:firstLine="482"/>
        <w:rPr>
          <w:rFonts w:cs="宋体"/>
          <w:b/>
        </w:rPr>
      </w:pPr>
      <w:r>
        <w:rPr>
          <w:rFonts w:hint="eastAsia" w:cs="宋体"/>
          <w:b/>
        </w:rPr>
        <w:t>投标保证金缴纳时候，务必备注所投标的项目名称。</w:t>
      </w:r>
    </w:p>
    <w:p>
      <w:pPr>
        <w:pStyle w:val="66"/>
        <w:ind w:firstLine="480"/>
        <w:rPr>
          <w:rFonts w:cs="宋体"/>
          <w:highlight w:val="green"/>
        </w:rPr>
      </w:pPr>
      <w:r>
        <w:rPr>
          <w:rFonts w:hint="eastAsia" w:cs="宋体"/>
          <w:highlight w:val="green"/>
        </w:rPr>
        <w:t>因未提供邮件正文相关信息导致后期无法退回保证金的，需投标单位承担。报名后无需电话询问是否报名成功，我单位会通过邮件一一回复。</w:t>
      </w:r>
    </w:p>
    <w:p>
      <w:pPr>
        <w:pStyle w:val="72"/>
        <w:rPr>
          <w:rFonts w:ascii="宋体" w:hAnsi="宋体" w:cs="宋体"/>
          <w:color w:val="auto"/>
        </w:rPr>
      </w:pPr>
      <w:r>
        <w:rPr>
          <w:rFonts w:hint="eastAsia" w:ascii="宋体" w:hAnsi="宋体" w:cs="宋体"/>
          <w:color w:val="auto"/>
        </w:rPr>
        <w:t>2、投标条件</w:t>
      </w:r>
    </w:p>
    <w:p>
      <w:pPr>
        <w:pStyle w:val="15"/>
        <w:spacing w:line="360" w:lineRule="auto"/>
        <w:ind w:firstLine="480" w:firstLineChars="200"/>
        <w:rPr>
          <w:rFonts w:hAnsi="宋体" w:cs="宋体"/>
          <w:b/>
          <w:sz w:val="24"/>
          <w:szCs w:val="24"/>
        </w:rPr>
      </w:pPr>
      <w:r>
        <w:rPr>
          <w:rFonts w:hint="eastAsia" w:hAnsi="宋体" w:cs="宋体"/>
          <w:sz w:val="24"/>
          <w:szCs w:val="24"/>
        </w:rPr>
        <w:t>（1）拟标投人必须是在中华人民共和国境内注册的独立法人机构，具有独立承担民事责任能力，注册资金不少于</w:t>
      </w:r>
      <w:r>
        <w:rPr>
          <w:rFonts w:hAnsi="宋体" w:cs="宋体"/>
          <w:i/>
          <w:sz w:val="24"/>
          <w:szCs w:val="24"/>
          <w:highlight w:val="yellow"/>
          <w:u w:val="single"/>
        </w:rPr>
        <w:t>1</w:t>
      </w:r>
      <w:r>
        <w:rPr>
          <w:rFonts w:hint="eastAsia" w:hAnsi="宋体" w:cs="宋体"/>
          <w:i/>
          <w:sz w:val="24"/>
          <w:szCs w:val="24"/>
          <w:highlight w:val="yellow"/>
          <w:u w:val="single"/>
        </w:rPr>
        <w:t>0万</w:t>
      </w:r>
      <w:r>
        <w:rPr>
          <w:rFonts w:hint="eastAsia" w:hAnsi="宋体" w:cs="宋体"/>
          <w:sz w:val="24"/>
          <w:szCs w:val="24"/>
        </w:rPr>
        <w:t>人民币（或等值其他货币）；公司成立</w:t>
      </w:r>
      <w:r>
        <w:rPr>
          <w:rFonts w:hint="eastAsia" w:hAnsi="宋体" w:cs="宋体"/>
          <w:sz w:val="24"/>
          <w:szCs w:val="24"/>
          <w:highlight w:val="yellow"/>
          <w:u w:val="single"/>
        </w:rPr>
        <w:t>一年</w:t>
      </w:r>
      <w:r>
        <w:rPr>
          <w:rFonts w:hint="eastAsia" w:hAnsi="宋体" w:cs="宋体"/>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default" w:hAnsi="宋体" w:cs="宋体"/>
          <w:color w:val="000000"/>
          <w:sz w:val="24"/>
          <w:szCs w:val="24"/>
        </w:rPr>
      </w:pPr>
      <w:r>
        <w:rPr>
          <w:rFonts w:hint="default" w:hAnsi="宋体" w:cs="宋体"/>
          <w:color w:val="000000"/>
          <w:sz w:val="24"/>
          <w:szCs w:val="24"/>
        </w:rPr>
        <w:t>（8）拟投标人的直接或间接股东、法定代表人、董事、监事、高管非重汽员工及其亲属。</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w:t>
      </w:r>
      <w:r>
        <w:rPr>
          <w:rFonts w:hint="eastAsia" w:hAnsi="宋体" w:cs="宋体"/>
          <w:color w:val="000000"/>
          <w:sz w:val="24"/>
          <w:szCs w:val="24"/>
          <w:lang w:val="en-US" w:eastAsia="zh-CN"/>
        </w:rPr>
        <w:t>9</w:t>
      </w:r>
      <w:r>
        <w:rPr>
          <w:rFonts w:hint="eastAsia" w:hAnsi="宋体" w:cs="宋体"/>
          <w:color w:val="000000"/>
          <w:sz w:val="24"/>
          <w:szCs w:val="24"/>
        </w:rPr>
        <w:t>）本项目不接受联合体投标。</w:t>
      </w:r>
    </w:p>
    <w:p>
      <w:pPr>
        <w:pStyle w:val="15"/>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3"/>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3"/>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66"/>
        <w:ind w:firstLine="482"/>
        <w:rPr>
          <w:rFonts w:cs="宋体"/>
          <w:b/>
        </w:rPr>
      </w:pPr>
      <w:r>
        <w:rPr>
          <w:rFonts w:hint="eastAsia"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72"/>
        <w:rPr>
          <w:rFonts w:ascii="宋体" w:hAnsi="宋体" w:cs="宋体"/>
        </w:rPr>
      </w:pPr>
      <w:r>
        <w:rPr>
          <w:rFonts w:hint="eastAsia" w:ascii="宋体" w:hAnsi="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66"/>
        <w:ind w:firstLine="480"/>
        <w:rPr>
          <w:rFonts w:cs="宋体"/>
        </w:rPr>
      </w:pPr>
      <w:r>
        <w:rPr>
          <w:rFonts w:hint="eastAsia" w:cs="宋体"/>
        </w:rPr>
        <w:t>投标人自行勘察现场，进行合理报价。</w:t>
      </w:r>
      <w:r>
        <w:rPr>
          <w:rFonts w:hint="eastAsia" w:cs="宋体"/>
          <w:highlight w:val="yellow"/>
        </w:rPr>
        <w:t>报价为投标总报价应包括但不限于税费、运杂、安装调试、与其他专业配合及可预见的风险、以及其它不可预见等全部费用</w:t>
      </w:r>
      <w:r>
        <w:rPr>
          <w:rFonts w:hint="eastAsia" w:cs="宋体"/>
        </w:rPr>
        <w:t>。</w:t>
      </w:r>
    </w:p>
    <w:p>
      <w:pPr>
        <w:pStyle w:val="66"/>
        <w:ind w:firstLine="482"/>
        <w:rPr>
          <w:rFonts w:cs="宋体"/>
          <w:b/>
        </w:rPr>
      </w:pPr>
      <w:r>
        <w:rPr>
          <w:rFonts w:hint="eastAsia" w:cs="宋体"/>
          <w:b/>
        </w:rPr>
        <w:t>（2）所有项目内容的报价货币单位为：</w:t>
      </w:r>
      <w:r>
        <w:rPr>
          <w:rFonts w:hint="eastAsia" w:cs="宋体"/>
          <w:b/>
          <w:u w:val="single"/>
        </w:rPr>
        <w:t xml:space="preserve">  （人民币）元</w:t>
      </w:r>
      <w:r>
        <w:rPr>
          <w:rFonts w:hint="eastAsia" w:cs="宋体"/>
          <w:b/>
        </w:rPr>
        <w:t>（请务必报含税价和不含税价并写明税率）。</w:t>
      </w:r>
    </w:p>
    <w:p>
      <w:pPr>
        <w:pStyle w:val="76"/>
        <w:rPr>
          <w:rFonts w:ascii="宋体" w:hAnsi="宋体" w:cs="宋体"/>
        </w:rPr>
      </w:pPr>
      <w:r>
        <w:rPr>
          <w:rFonts w:hint="eastAsia" w:ascii="宋体" w:hAnsi="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hint="default" w:ascii="宋体" w:hAnsi="宋体" w:cs="宋体"/>
          <w:color w:val="000000"/>
          <w:sz w:val="24"/>
          <w:szCs w:val="24"/>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4"/>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4"/>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4"/>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4"/>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72"/>
        <w:rPr>
          <w:rFonts w:ascii="宋体" w:hAnsi="宋体" w:cs="宋体"/>
        </w:rPr>
      </w:pPr>
      <w:r>
        <w:rPr>
          <w:rFonts w:hint="eastAsia" w:ascii="宋体" w:hAnsi="宋体" w:cs="宋体"/>
        </w:rPr>
        <w:t>5、询标</w:t>
      </w:r>
    </w:p>
    <w:p>
      <w:pPr>
        <w:pStyle w:val="66"/>
        <w:ind w:firstLine="480"/>
        <w:rPr>
          <w:rFonts w:cs="宋体"/>
        </w:rPr>
      </w:pPr>
      <w:r>
        <w:rPr>
          <w:rFonts w:hint="eastAsia" w:cs="宋体"/>
        </w:rPr>
        <w:t>凡对本次招标提出的询问，均以招标方的书面答复为准。</w:t>
      </w:r>
    </w:p>
    <w:p>
      <w:pPr>
        <w:pStyle w:val="72"/>
        <w:rPr>
          <w:rFonts w:ascii="宋体" w:hAnsi="宋体" w:cs="宋体"/>
        </w:rPr>
      </w:pPr>
      <w:r>
        <w:rPr>
          <w:rFonts w:hint="eastAsia" w:ascii="宋体" w:hAnsi="宋体" w:cs="宋体"/>
        </w:rPr>
        <w:t>6、投标文件的编制</w:t>
      </w:r>
    </w:p>
    <w:p>
      <w:pPr>
        <w:pStyle w:val="66"/>
        <w:ind w:firstLine="480"/>
        <w:rPr>
          <w:rFonts w:cs="宋体"/>
        </w:rPr>
      </w:pPr>
      <w:r>
        <w:rPr>
          <w:rFonts w:hint="eastAsia" w:cs="宋体"/>
        </w:rPr>
        <w:t>（1）投标文件和与投标有关的所有文件均应使用中文。</w:t>
      </w:r>
    </w:p>
    <w:p>
      <w:pPr>
        <w:pStyle w:val="66"/>
        <w:ind w:firstLine="480"/>
        <w:rPr>
          <w:rFonts w:cs="宋体"/>
        </w:rPr>
      </w:pPr>
      <w:r>
        <w:rPr>
          <w:rFonts w:hint="eastAsia" w:cs="宋体"/>
        </w:rPr>
        <w:t>（2）除投标文件的技术规格中另有规定外，投标文件中所使用的计量单位应为中华人民共和国法定计量单位。</w:t>
      </w:r>
    </w:p>
    <w:p>
      <w:pPr>
        <w:pStyle w:val="72"/>
        <w:rPr>
          <w:rFonts w:ascii="宋体" w:hAnsi="宋体" w:cs="宋体"/>
        </w:rPr>
      </w:pPr>
      <w:r>
        <w:rPr>
          <w:rFonts w:hint="eastAsia" w:ascii="宋体" w:hAnsi="宋体" w:cs="宋体"/>
        </w:rPr>
        <w:t>7、投标文件的组成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本项目投标文件分为</w:t>
      </w:r>
      <w:r>
        <w:rPr>
          <w:rFonts w:hint="eastAsia" w:ascii="宋体" w:hAnsi="宋体" w:cs="宋体"/>
          <w:b/>
          <w:sz w:val="24"/>
          <w:szCs w:val="24"/>
        </w:rPr>
        <w:t>纸质版</w:t>
      </w:r>
      <w:r>
        <w:rPr>
          <w:rFonts w:hint="eastAsia" w:ascii="宋体" w:hAnsi="宋体" w:cs="宋体"/>
          <w:bCs/>
          <w:sz w:val="24"/>
          <w:szCs w:val="24"/>
        </w:rPr>
        <w:t>投标文件和</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ind w:firstLine="482" w:firstLineChars="200"/>
        <w:rPr>
          <w:rFonts w:ascii="宋体" w:hAnsi="宋体" w:cs="宋体"/>
          <w:b/>
          <w:highlight w:val="yellow"/>
        </w:rPr>
      </w:pPr>
      <w:r>
        <w:rPr>
          <w:rFonts w:hint="eastAsia" w:ascii="宋体" w:hAnsi="宋体" w:cs="宋体"/>
          <w:b/>
          <w:sz w:val="24"/>
          <w:szCs w:val="24"/>
        </w:rPr>
        <w:t>投标文件（资质标）》</w:t>
      </w:r>
      <w:r>
        <w:rPr>
          <w:rFonts w:hint="eastAsia" w:ascii="宋体" w:hAnsi="宋体" w:cs="宋体"/>
          <w:bCs/>
          <w:sz w:val="24"/>
          <w:szCs w:val="24"/>
        </w:rPr>
        <w:t>一个文件（里面是全部资质投标书），</w:t>
      </w:r>
      <w:r>
        <w:rPr>
          <w:rFonts w:hint="eastAsia" w:ascii="宋体" w:hAnsi="宋体" w:cs="宋体"/>
          <w:b/>
          <w:sz w:val="24"/>
          <w:szCs w:val="24"/>
        </w:rPr>
        <w:t>投标文件（技术标）》</w:t>
      </w:r>
      <w:r>
        <w:rPr>
          <w:rFonts w:hint="eastAsia" w:ascii="宋体" w:hAnsi="宋体" w:cs="宋体"/>
          <w:bCs/>
          <w:sz w:val="24"/>
          <w:szCs w:val="24"/>
        </w:rPr>
        <w:t>一个文件（里面是全部技术投标书），</w:t>
      </w:r>
      <w:r>
        <w:rPr>
          <w:rFonts w:hint="eastAsia" w:ascii="宋体" w:hAnsi="宋体" w:cs="宋体"/>
          <w:b/>
          <w:sz w:val="24"/>
          <w:szCs w:val="24"/>
        </w:rPr>
        <w:t>《投标文件（商务标）》（开标一览表）</w:t>
      </w:r>
      <w:r>
        <w:rPr>
          <w:rFonts w:hint="eastAsia" w:ascii="宋体" w:hAnsi="宋体" w:cs="宋体"/>
          <w:bCs/>
          <w:sz w:val="24"/>
          <w:szCs w:val="24"/>
        </w:rPr>
        <w:t>一个文件（里面是全部商务投标书），</w:t>
      </w:r>
      <w:r>
        <w:rPr>
          <w:rFonts w:hint="eastAsia" w:ascii="宋体" w:hAnsi="宋体" w:cs="宋体"/>
          <w:bCs/>
          <w:color w:val="000000"/>
          <w:sz w:val="24"/>
          <w:szCs w:val="24"/>
        </w:rPr>
        <w:t>不按此要求提供投标文件的，投标文件做无效标处理。</w:t>
      </w:r>
    </w:p>
    <w:p>
      <w:pPr>
        <w:pStyle w:val="66"/>
        <w:ind w:firstLine="482"/>
        <w:rPr>
          <w:rFonts w:cs="宋体"/>
          <w:b/>
        </w:rPr>
      </w:pPr>
      <w:r>
        <w:rPr>
          <w:rFonts w:hint="eastAsia" w:cs="宋体"/>
          <w:b/>
          <w:highlight w:val="yellow"/>
        </w:rPr>
        <w:t>本项目投标文件</w:t>
      </w:r>
      <w:r>
        <w:rPr>
          <w:rFonts w:hint="eastAsia" w:cs="宋体"/>
          <w:b/>
          <w:color w:val="auto"/>
          <w:highlight w:val="yellow"/>
        </w:rPr>
        <w:t>一式四份，正本一份，副本三份。电子版投标文件1份（保证电子版和纸质版一致性）。</w:t>
      </w:r>
      <w:r>
        <w:rPr>
          <w:rFonts w:hint="eastAsia" w:cs="宋体"/>
          <w:b/>
        </w:rPr>
        <w:t>若为现场开标，营业执照和授权书需在开标现场出示；若为视频开标，则需在视频端呈现即可。</w:t>
      </w:r>
      <w:r>
        <w:rPr>
          <w:rFonts w:hint="eastAsia" w:cs="宋体"/>
        </w:rPr>
        <w:t>若没有携带营业执照原件，将根据现场所有参与开标的投标单位和专家共同判定得出认可情况</w:t>
      </w:r>
      <w:r>
        <w:rPr>
          <w:rFonts w:hint="eastAsia" w:cs="宋体"/>
          <w:b/>
        </w:rPr>
        <w:t>。</w:t>
      </w:r>
      <w:r>
        <w:rPr>
          <w:rFonts w:hint="eastAsia" w:cs="宋体"/>
        </w:rPr>
        <w:t>详见附件格式</w:t>
      </w:r>
      <w:r>
        <w:rPr>
          <w:rFonts w:hint="eastAsia" w:cs="宋体"/>
          <w:color w:val="auto"/>
        </w:rPr>
        <w:t>1—10</w:t>
      </w:r>
      <w:r>
        <w:rPr>
          <w:rFonts w:hint="eastAsia" w:cs="宋体"/>
          <w:b/>
        </w:rPr>
        <w:t>，其余未尽事宜请按各单位习惯制定即可。</w:t>
      </w:r>
    </w:p>
    <w:p>
      <w:pPr>
        <w:pStyle w:val="66"/>
        <w:ind w:firstLine="198" w:firstLineChars="82"/>
        <w:rPr>
          <w:rFonts w:cs="宋体"/>
          <w:b/>
          <w:bCs/>
        </w:rPr>
      </w:pPr>
      <w:bookmarkStart w:id="2" w:name="_Toc212369516"/>
      <w:r>
        <w:rPr>
          <w:rFonts w:hint="eastAsia" w:cs="宋体"/>
          <w:b/>
          <w:bCs/>
        </w:rPr>
        <w:t>7.1 资格证明文件包括：</w:t>
      </w:r>
      <w:bookmarkEnd w:id="2"/>
    </w:p>
    <w:p>
      <w:pPr>
        <w:spacing w:line="360" w:lineRule="auto"/>
        <w:ind w:firstLine="480" w:firstLineChars="200"/>
        <w:rPr>
          <w:rFonts w:ascii="宋体" w:hAnsi="宋体" w:cs="宋体"/>
          <w:color w:val="000000"/>
          <w:sz w:val="24"/>
          <w:szCs w:val="24"/>
        </w:rPr>
      </w:pPr>
      <w:bookmarkStart w:id="3"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7）企业信用证明材料（中国人民银行信用代码证+征信报告）；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9)企业最近半年的完税证明；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10)保密承诺函（附件3）；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12)投标保证金缴纳凭证。</w:t>
      </w:r>
    </w:p>
    <w:p>
      <w:pPr>
        <w:spacing w:line="460" w:lineRule="exact"/>
        <w:ind w:firstLine="482" w:firstLineChars="200"/>
        <w:rPr>
          <w:rFonts w:ascii="宋体" w:hAnsi="宋体" w:cs="宋体"/>
          <w:b/>
          <w:bCs/>
          <w:sz w:val="24"/>
        </w:rPr>
      </w:pPr>
      <w:r>
        <w:rPr>
          <w:rFonts w:hint="eastAsia" w:ascii="宋体" w:hAnsi="宋体" w:cs="宋体"/>
          <w:b/>
          <w:bCs/>
          <w:sz w:val="24"/>
        </w:rPr>
        <w:t>7.2技术部分：</w:t>
      </w:r>
      <w:bookmarkEnd w:id="3"/>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b/>
          <w:color w:val="000000"/>
          <w:sz w:val="24"/>
          <w:szCs w:val="24"/>
          <w:highlight w:val="green"/>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r>
        <w:rPr>
          <w:rFonts w:hint="eastAsia" w:ascii="宋体" w:hAnsi="宋体" w:cs="宋体"/>
          <w:color w:val="000000"/>
          <w:sz w:val="24"/>
          <w:szCs w:val="24"/>
          <w:highlight w:val="green"/>
        </w:rPr>
        <w:t>，</w:t>
      </w:r>
      <w:r>
        <w:rPr>
          <w:rFonts w:hint="eastAsia" w:ascii="宋体" w:hAnsi="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66"/>
        <w:ind w:firstLine="482"/>
        <w:rPr>
          <w:rFonts w:cs="宋体"/>
          <w:b/>
          <w:bCs/>
        </w:rPr>
      </w:pPr>
      <w:r>
        <w:rPr>
          <w:rFonts w:hint="eastAsia" w:cs="宋体"/>
          <w:b/>
          <w:bCs/>
        </w:rPr>
        <w:t>7.3商务部分：</w:t>
      </w:r>
    </w:p>
    <w:p>
      <w:pPr>
        <w:pStyle w:val="66"/>
        <w:ind w:firstLine="480"/>
        <w:rPr>
          <w:rFonts w:cs="宋体"/>
        </w:rPr>
      </w:pPr>
      <w:r>
        <w:rPr>
          <w:rFonts w:hint="eastAsia" w:cs="宋体"/>
        </w:rPr>
        <w:t>1）开标一览表（附件7）；</w:t>
      </w:r>
    </w:p>
    <w:p>
      <w:pPr>
        <w:pStyle w:val="66"/>
        <w:ind w:firstLine="480"/>
        <w:rPr>
          <w:rFonts w:cs="宋体"/>
          <w:b/>
        </w:rPr>
      </w:pPr>
      <w:r>
        <w:rPr>
          <w:rFonts w:hint="eastAsia" w:cs="宋体"/>
        </w:rPr>
        <w:t>2）投标报价明细表（附件8）</w:t>
      </w:r>
      <w:r>
        <w:rPr>
          <w:rFonts w:hint="eastAsia" w:cs="宋体"/>
          <w:b/>
        </w:rPr>
        <w:t>附件7、8、9需要一起单独封装1份；</w:t>
      </w:r>
    </w:p>
    <w:p>
      <w:pPr>
        <w:pStyle w:val="66"/>
        <w:ind w:firstLine="480"/>
        <w:rPr>
          <w:rFonts w:cs="宋体"/>
        </w:rPr>
      </w:pPr>
      <w:r>
        <w:rPr>
          <w:rFonts w:hint="eastAsia" w:cs="宋体"/>
        </w:rPr>
        <w:t>3）商务条款偏离表（附件9）</w:t>
      </w:r>
      <w:r>
        <w:rPr>
          <w:rFonts w:hint="eastAsia" w:cs="宋体"/>
          <w:b/>
        </w:rPr>
        <w:t>付款方式不可以偏离；</w:t>
      </w:r>
    </w:p>
    <w:p>
      <w:pPr>
        <w:pStyle w:val="66"/>
        <w:ind w:firstLine="480"/>
        <w:rPr>
          <w:rFonts w:cs="宋体"/>
        </w:rPr>
      </w:pPr>
      <w:r>
        <w:rPr>
          <w:rFonts w:hint="eastAsia" w:cs="宋体"/>
        </w:rPr>
        <w:t>4）服务承诺函(附件10)</w:t>
      </w:r>
      <w:r>
        <w:rPr>
          <w:rFonts w:hint="eastAsia" w:cs="宋体"/>
          <w:b/>
        </w:rPr>
        <w:t>需写明质保期外服务费用情况；</w:t>
      </w:r>
    </w:p>
    <w:p>
      <w:pPr>
        <w:pStyle w:val="66"/>
        <w:ind w:firstLine="480"/>
        <w:rPr>
          <w:rFonts w:cs="宋体"/>
        </w:rPr>
      </w:pPr>
      <w:r>
        <w:rPr>
          <w:rFonts w:hint="eastAsia" w:cs="宋体"/>
        </w:rPr>
        <w:t>5）按招标文件投标人须知和技术规格书中要求提供的有关文件。</w:t>
      </w:r>
    </w:p>
    <w:p>
      <w:pPr>
        <w:pStyle w:val="72"/>
        <w:rPr>
          <w:rFonts w:ascii="宋体" w:hAnsi="宋体" w:cs="宋体"/>
        </w:rPr>
      </w:pPr>
      <w:r>
        <w:rPr>
          <w:rFonts w:hint="eastAsia" w:ascii="宋体" w:hAnsi="宋体" w:cs="宋体"/>
        </w:rPr>
        <w:t>8、投标文件格式</w:t>
      </w:r>
    </w:p>
    <w:p>
      <w:pPr>
        <w:pStyle w:val="66"/>
        <w:ind w:firstLine="480"/>
        <w:rPr>
          <w:rFonts w:cs="宋体"/>
          <w:b/>
        </w:rPr>
      </w:pPr>
      <w:r>
        <w:rPr>
          <w:rFonts w:hint="eastAsia" w:cs="宋体"/>
        </w:rPr>
        <w:t>详见附件格式1—10</w:t>
      </w:r>
      <w:r>
        <w:rPr>
          <w:rFonts w:hint="eastAsia" w:cs="宋体"/>
          <w:b/>
        </w:rPr>
        <w:t>，其余未尽事宜请按各单位习惯制定即可。</w:t>
      </w:r>
    </w:p>
    <w:p>
      <w:pPr>
        <w:pStyle w:val="68"/>
        <w:rPr>
          <w:rFonts w:eastAsia="宋体" w:cs="宋体"/>
        </w:rPr>
      </w:pPr>
      <w:r>
        <w:rPr>
          <w:rFonts w:hint="eastAsia" w:eastAsia="宋体" w:cs="宋体"/>
        </w:rPr>
        <w:t>五、议程安排</w:t>
      </w:r>
    </w:p>
    <w:p>
      <w:pPr>
        <w:pStyle w:val="72"/>
        <w:spacing w:line="360" w:lineRule="auto"/>
        <w:rPr>
          <w:rFonts w:ascii="宋体" w:hAnsi="宋体" w:cs="宋体"/>
        </w:rPr>
      </w:pPr>
      <w:r>
        <w:rPr>
          <w:rFonts w:hint="eastAsia" w:ascii="宋体" w:hAnsi="宋体" w:cs="宋体"/>
        </w:rPr>
        <w:t>1、发标时间：</w:t>
      </w:r>
      <w:r>
        <w:rPr>
          <w:rFonts w:hint="eastAsia" w:ascii="宋体" w:hAnsi="宋体" w:cs="宋体"/>
          <w:b w:val="0"/>
          <w:color w:val="auto"/>
        </w:rPr>
        <w:t>2023年</w:t>
      </w:r>
      <w:r>
        <w:rPr>
          <w:rFonts w:hint="eastAsia" w:ascii="宋体" w:hAnsi="宋体" w:cs="宋体"/>
          <w:b w:val="0"/>
          <w:color w:val="auto"/>
          <w:lang w:val="en-US" w:eastAsia="zh-CN"/>
        </w:rPr>
        <w:t>7</w:t>
      </w:r>
      <w:r>
        <w:rPr>
          <w:rFonts w:hint="eastAsia" w:ascii="宋体" w:hAnsi="宋体" w:cs="宋体"/>
          <w:b w:val="0"/>
          <w:color w:val="auto"/>
        </w:rPr>
        <w:t>月</w:t>
      </w:r>
      <w:r>
        <w:rPr>
          <w:rFonts w:hint="eastAsia" w:ascii="宋体" w:hAnsi="宋体" w:cs="宋体"/>
          <w:b w:val="0"/>
          <w:color w:val="auto"/>
          <w:lang w:val="en-US" w:eastAsia="zh-CN"/>
        </w:rPr>
        <w:t>3</w:t>
      </w:r>
      <w:r>
        <w:rPr>
          <w:rFonts w:hint="eastAsia" w:ascii="宋体" w:hAnsi="宋体" w:cs="宋体"/>
          <w:b w:val="0"/>
          <w:color w:val="auto"/>
        </w:rPr>
        <w:t>日（周</w:t>
      </w:r>
      <w:r>
        <w:rPr>
          <w:rFonts w:hint="eastAsia" w:ascii="宋体" w:hAnsi="宋体" w:cs="宋体"/>
          <w:b w:val="0"/>
          <w:color w:val="auto"/>
          <w:lang w:val="en-US" w:eastAsia="zh-CN"/>
        </w:rPr>
        <w:t>一</w:t>
      </w:r>
      <w:r>
        <w:rPr>
          <w:rFonts w:hint="eastAsia" w:ascii="宋体" w:hAnsi="宋体" w:cs="宋体"/>
          <w:b w:val="0"/>
          <w:color w:val="auto"/>
        </w:rPr>
        <w:t>）</w:t>
      </w:r>
    </w:p>
    <w:p>
      <w:pPr>
        <w:pStyle w:val="72"/>
        <w:spacing w:line="360" w:lineRule="auto"/>
        <w:rPr>
          <w:rFonts w:ascii="宋体" w:hAnsi="宋体" w:cs="宋体"/>
          <w:b w:val="0"/>
        </w:rPr>
      </w:pPr>
      <w:r>
        <w:rPr>
          <w:rFonts w:hint="eastAsia" w:ascii="宋体" w:hAnsi="宋体" w:cs="宋体"/>
        </w:rPr>
        <w:t>2、发布招标方式：本次招标公告在中国重汽官方网站、中国重汽E采通平台发布。</w:t>
      </w:r>
    </w:p>
    <w:p>
      <w:pPr>
        <w:pStyle w:val="66"/>
        <w:ind w:firstLine="482"/>
        <w:rPr>
          <w:rFonts w:cs="宋体"/>
          <w:b/>
        </w:rPr>
      </w:pPr>
      <w:r>
        <w:rPr>
          <w:rFonts w:hint="eastAsia" w:cs="宋体"/>
          <w:b/>
        </w:rPr>
        <w:t>注意：以上渠道为官方指定发布渠道，切勿相信其他来源的信息。</w:t>
      </w:r>
    </w:p>
    <w:p>
      <w:pPr>
        <w:pStyle w:val="66"/>
        <w:ind w:firstLine="482"/>
        <w:rPr>
          <w:rFonts w:cs="宋体"/>
          <w:b/>
        </w:rPr>
      </w:pPr>
      <w:r>
        <w:rPr>
          <w:rFonts w:hint="eastAsia" w:cs="宋体"/>
          <w:b/>
          <w:bCs/>
        </w:rPr>
        <w:t>3、踏勘现场时间：</w:t>
      </w:r>
      <w:r>
        <w:rPr>
          <w:rFonts w:hint="eastAsia" w:cs="宋体"/>
          <w:bCs/>
        </w:rPr>
        <w:t>截止2023年</w:t>
      </w:r>
      <w:r>
        <w:rPr>
          <w:rFonts w:hint="eastAsia" w:cs="宋体"/>
          <w:bCs/>
          <w:lang w:val="en-US" w:eastAsia="zh-CN"/>
        </w:rPr>
        <w:t>7</w:t>
      </w:r>
      <w:r>
        <w:rPr>
          <w:rFonts w:hint="eastAsia" w:cs="宋体"/>
          <w:bCs/>
        </w:rPr>
        <w:t>月</w:t>
      </w:r>
      <w:r>
        <w:rPr>
          <w:rFonts w:hint="eastAsia" w:cs="宋体"/>
          <w:bCs/>
          <w:lang w:val="en-US" w:eastAsia="zh-CN"/>
        </w:rPr>
        <w:t>12</w:t>
      </w:r>
      <w:r>
        <w:rPr>
          <w:rFonts w:hint="eastAsia" w:cs="宋体"/>
          <w:bCs/>
        </w:rPr>
        <w:t>日</w:t>
      </w:r>
      <w:r>
        <w:rPr>
          <w:rFonts w:hint="eastAsia" w:cs="宋体"/>
        </w:rPr>
        <w:t>（周</w:t>
      </w:r>
      <w:r>
        <w:rPr>
          <w:rFonts w:hint="eastAsia" w:cs="宋体"/>
          <w:lang w:val="en-US" w:eastAsia="zh-CN"/>
        </w:rPr>
        <w:t>三</w:t>
      </w:r>
      <w:r>
        <w:rPr>
          <w:rFonts w:hint="eastAsia" w:cs="宋体"/>
        </w:rPr>
        <w:t>）</w:t>
      </w:r>
      <w:r>
        <w:rPr>
          <w:rFonts w:hint="eastAsia" w:cs="宋体"/>
          <w:bCs/>
        </w:rPr>
        <w:t>下午</w:t>
      </w:r>
      <w:r>
        <w:rPr>
          <w:rFonts w:hint="eastAsia" w:cs="宋体"/>
        </w:rPr>
        <w:t>17点</w:t>
      </w:r>
      <w:r>
        <w:rPr>
          <w:rFonts w:hint="eastAsia" w:cs="宋体"/>
          <w:bCs/>
        </w:rPr>
        <w:t>前</w:t>
      </w:r>
    </w:p>
    <w:p>
      <w:pPr>
        <w:pStyle w:val="72"/>
        <w:rPr>
          <w:rFonts w:ascii="宋体" w:hAnsi="宋体" w:cs="宋体"/>
        </w:rPr>
      </w:pPr>
      <w:r>
        <w:rPr>
          <w:rFonts w:hint="eastAsia" w:ascii="宋体" w:hAnsi="宋体" w:cs="宋体"/>
        </w:rPr>
        <w:t>4、技术答疑</w:t>
      </w:r>
    </w:p>
    <w:p>
      <w:pPr>
        <w:pStyle w:val="66"/>
        <w:ind w:firstLine="480"/>
        <w:rPr>
          <w:rFonts w:cs="宋体"/>
        </w:rPr>
      </w:pPr>
      <w:r>
        <w:rPr>
          <w:rFonts w:hint="eastAsia" w:cs="宋体"/>
        </w:rPr>
        <w:t>答疑时间：截止至2023年</w:t>
      </w:r>
      <w:r>
        <w:rPr>
          <w:rFonts w:hint="eastAsia" w:cs="宋体"/>
          <w:lang w:val="en-US" w:eastAsia="zh-CN"/>
        </w:rPr>
        <w:t>7</w:t>
      </w:r>
      <w:r>
        <w:rPr>
          <w:rFonts w:hint="eastAsia" w:cs="宋体"/>
        </w:rPr>
        <w:t>月</w:t>
      </w:r>
      <w:r>
        <w:rPr>
          <w:rFonts w:hint="eastAsia" w:cs="宋体"/>
          <w:lang w:val="en-US" w:eastAsia="zh-CN"/>
        </w:rPr>
        <w:t>12</w:t>
      </w:r>
      <w:r>
        <w:rPr>
          <w:rFonts w:hint="eastAsia" w:cs="宋体"/>
        </w:rPr>
        <w:t>日（周</w:t>
      </w:r>
      <w:r>
        <w:rPr>
          <w:rFonts w:hint="eastAsia" w:cs="宋体"/>
          <w:lang w:val="en-US" w:eastAsia="zh-CN"/>
        </w:rPr>
        <w:t>三</w:t>
      </w:r>
      <w:r>
        <w:rPr>
          <w:rFonts w:hint="eastAsia" w:cs="宋体"/>
        </w:rPr>
        <w:t>）下午17点前，逾期不受理</w:t>
      </w:r>
    </w:p>
    <w:p>
      <w:pPr>
        <w:pStyle w:val="66"/>
        <w:ind w:firstLine="480"/>
        <w:rPr>
          <w:rFonts w:cs="宋体"/>
        </w:rPr>
      </w:pPr>
      <w:r>
        <w:rPr>
          <w:rFonts w:hint="eastAsia" w:cs="宋体"/>
        </w:rPr>
        <w:t>答疑方式：书面及邮件</w:t>
      </w:r>
    </w:p>
    <w:p>
      <w:pPr>
        <w:pStyle w:val="66"/>
        <w:ind w:firstLine="480"/>
        <w:rPr>
          <w:rFonts w:cs="宋体"/>
          <w:highlight w:val="yellow"/>
        </w:rPr>
      </w:pPr>
      <w:r>
        <w:rPr>
          <w:rFonts w:hint="eastAsia" w:cs="宋体"/>
          <w:highlight w:val="yellow"/>
        </w:rPr>
        <w:t>联 系 人：李昊</w:t>
      </w:r>
    </w:p>
    <w:p>
      <w:pPr>
        <w:pStyle w:val="66"/>
        <w:ind w:firstLine="480"/>
        <w:rPr>
          <w:rFonts w:cs="宋体"/>
          <w:highlight w:val="yellow"/>
        </w:rPr>
      </w:pPr>
      <w:r>
        <w:rPr>
          <w:rFonts w:hint="eastAsia" w:cs="宋体"/>
          <w:highlight w:val="yellow"/>
        </w:rPr>
        <w:t>电    话：15153153917</w:t>
      </w:r>
    </w:p>
    <w:p>
      <w:pPr>
        <w:pStyle w:val="66"/>
        <w:ind w:firstLine="480"/>
        <w:rPr>
          <w:rFonts w:cs="宋体"/>
        </w:rPr>
      </w:pPr>
      <w:r>
        <w:rPr>
          <w:rFonts w:hint="eastAsia" w:cs="宋体"/>
        </w:rPr>
        <w:t xml:space="preserve">邮    箱：jnatc_lihao@163.com </w:t>
      </w:r>
    </w:p>
    <w:p>
      <w:pPr>
        <w:pStyle w:val="72"/>
        <w:rPr>
          <w:rFonts w:ascii="宋体" w:hAnsi="宋体" w:cs="宋体"/>
        </w:rPr>
      </w:pPr>
      <w:r>
        <w:rPr>
          <w:rFonts w:hint="eastAsia" w:ascii="宋体" w:hAnsi="宋体" w:cs="宋体"/>
        </w:rPr>
        <w:t>5、商务答疑</w:t>
      </w:r>
    </w:p>
    <w:p>
      <w:pPr>
        <w:pStyle w:val="66"/>
        <w:ind w:firstLine="480"/>
        <w:rPr>
          <w:rFonts w:cs="宋体"/>
        </w:rPr>
      </w:pPr>
      <w:r>
        <w:rPr>
          <w:rFonts w:hint="eastAsia" w:cs="宋体"/>
        </w:rPr>
        <w:t>答疑方式：</w:t>
      </w:r>
      <w:r>
        <w:rPr>
          <w:rFonts w:hint="eastAsia" w:cs="宋体"/>
          <w:b/>
        </w:rPr>
        <w:t>邮件</w:t>
      </w:r>
      <w:r>
        <w:rPr>
          <w:rFonts w:hint="eastAsia" w:cs="宋体"/>
        </w:rPr>
        <w:t>（电话不受理）</w:t>
      </w:r>
    </w:p>
    <w:p>
      <w:pPr>
        <w:pStyle w:val="66"/>
        <w:ind w:firstLine="480"/>
        <w:rPr>
          <w:rFonts w:hint="default" w:cs="宋体"/>
        </w:rPr>
      </w:pPr>
      <w:r>
        <w:rPr>
          <w:rFonts w:hint="eastAsia" w:cs="宋体"/>
        </w:rPr>
        <w:t>联系人：</w:t>
      </w:r>
      <w:r>
        <w:rPr>
          <w:rFonts w:hint="default" w:cs="宋体"/>
        </w:rPr>
        <w:t>李岳</w:t>
      </w:r>
    </w:p>
    <w:p>
      <w:pPr>
        <w:pStyle w:val="66"/>
        <w:ind w:firstLine="480"/>
        <w:rPr>
          <w:rFonts w:cs="宋体"/>
        </w:rPr>
      </w:pPr>
      <w:r>
        <w:rPr>
          <w:rFonts w:hint="eastAsia" w:cs="宋体"/>
        </w:rPr>
        <w:t>电话：0531-58066116</w:t>
      </w:r>
    </w:p>
    <w:p>
      <w:pPr>
        <w:pStyle w:val="66"/>
        <w:ind w:firstLine="480"/>
        <w:rPr>
          <w:rFonts w:cs="宋体"/>
        </w:rPr>
      </w:pPr>
      <w:r>
        <w:rPr>
          <w:rFonts w:hint="eastAsia" w:cs="宋体"/>
        </w:rPr>
        <w:t>邮    箱：</w:t>
      </w:r>
      <w:r>
        <w:rPr>
          <w:rFonts w:hint="default" w:cs="宋体"/>
        </w:rPr>
        <w:t>liyue1</w:t>
      </w:r>
      <w:r>
        <w:rPr>
          <w:rFonts w:hint="eastAsia" w:cs="宋体"/>
        </w:rPr>
        <w:t>@sinotruk.com</w:t>
      </w:r>
    </w:p>
    <w:p>
      <w:pPr>
        <w:pStyle w:val="72"/>
        <w:rPr>
          <w:rFonts w:ascii="宋体" w:hAnsi="宋体" w:cs="宋体"/>
        </w:rPr>
      </w:pPr>
      <w:r>
        <w:rPr>
          <w:rFonts w:hint="eastAsia" w:ascii="宋体" w:hAnsi="宋体" w:cs="宋体"/>
        </w:rPr>
        <w:t>6、投标报名及注意事项</w:t>
      </w:r>
    </w:p>
    <w:p>
      <w:pPr>
        <w:pStyle w:val="68"/>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72"/>
        <w:rPr>
          <w:rFonts w:ascii="宋体" w:hAnsi="宋体" w:cs="宋体"/>
        </w:rPr>
      </w:pPr>
      <w:r>
        <w:rPr>
          <w:rFonts w:hint="eastAsia" w:ascii="宋体" w:hAnsi="宋体" w:cs="宋体"/>
        </w:rPr>
        <w:t>7、开标时间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2023年</w:t>
      </w:r>
      <w:r>
        <w:rPr>
          <w:rFonts w:hint="eastAsia" w:hAnsi="宋体" w:cs="宋体"/>
          <w:color w:val="000000"/>
          <w:sz w:val="24"/>
          <w:szCs w:val="24"/>
          <w:highlight w:val="cyan"/>
          <w:lang w:val="en-US" w:eastAsia="zh-CN"/>
        </w:rPr>
        <w:t>7</w:t>
      </w:r>
      <w:r>
        <w:rPr>
          <w:rFonts w:hint="eastAsia" w:hAnsi="宋体" w:cs="宋体"/>
          <w:color w:val="000000"/>
          <w:sz w:val="24"/>
          <w:szCs w:val="24"/>
          <w:highlight w:val="cyan"/>
        </w:rPr>
        <w:t>月</w:t>
      </w:r>
      <w:r>
        <w:rPr>
          <w:rFonts w:hint="eastAsia" w:hAnsi="宋体" w:cs="宋体"/>
          <w:color w:val="000000"/>
          <w:sz w:val="24"/>
          <w:szCs w:val="24"/>
          <w:highlight w:val="cyan"/>
          <w:lang w:val="en-US" w:eastAsia="zh-CN"/>
        </w:rPr>
        <w:t>13</w:t>
      </w:r>
      <w:r>
        <w:rPr>
          <w:rFonts w:hint="eastAsia" w:hAnsi="宋体" w:cs="宋体"/>
          <w:color w:val="000000"/>
          <w:sz w:val="24"/>
          <w:szCs w:val="24"/>
          <w:highlight w:val="cyan"/>
        </w:rPr>
        <w:t>日（周</w:t>
      </w:r>
      <w:r>
        <w:rPr>
          <w:rFonts w:hint="eastAsia" w:hAnsi="宋体" w:cs="宋体"/>
          <w:color w:val="000000"/>
          <w:sz w:val="24"/>
          <w:szCs w:val="24"/>
          <w:highlight w:val="cyan"/>
          <w:lang w:val="en-US" w:eastAsia="zh-CN"/>
        </w:rPr>
        <w:t>三</w:t>
      </w:r>
      <w:bookmarkStart w:id="33" w:name="_GoBack"/>
      <w:bookmarkEnd w:id="33"/>
      <w:r>
        <w:rPr>
          <w:rFonts w:hint="eastAsia" w:hAnsi="宋体" w:cs="宋体"/>
          <w:color w:val="000000"/>
          <w:sz w:val="24"/>
          <w:szCs w:val="24"/>
          <w:highlight w:val="cyan"/>
        </w:rPr>
        <w:t>）下午1：30，</w:t>
      </w:r>
      <w:r>
        <w:rPr>
          <w:rFonts w:hint="eastAsia" w:hAnsi="宋体" w:cs="宋体"/>
          <w:color w:val="000000"/>
          <w:sz w:val="24"/>
          <w:szCs w:val="24"/>
        </w:rPr>
        <w:t>若有变动另行通知。</w:t>
      </w:r>
    </w:p>
    <w:p>
      <w:pPr>
        <w:pStyle w:val="72"/>
        <w:rPr>
          <w:rFonts w:ascii="宋体" w:hAnsi="宋体" w:cs="宋体"/>
        </w:rPr>
      </w:pPr>
      <w:r>
        <w:rPr>
          <w:rFonts w:hint="eastAsia" w:ascii="宋体" w:hAnsi="宋体" w:cs="宋体"/>
        </w:rPr>
        <w:t>8、开标方式</w:t>
      </w:r>
    </w:p>
    <w:p>
      <w:pPr>
        <w:pStyle w:val="72"/>
        <w:spacing w:line="360" w:lineRule="auto"/>
        <w:ind w:firstLine="480"/>
        <w:rPr>
          <w:rFonts w:ascii="宋体" w:hAnsi="宋体" w:cs="宋体"/>
          <w:b w:val="0"/>
          <w:bCs w:val="0"/>
        </w:rPr>
      </w:pPr>
      <w:r>
        <w:rPr>
          <w:rFonts w:hint="eastAsia" w:ascii="宋体" w:hAnsi="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如选择到场参与开标，自行携带纸质投标文件于开标前至开标地点即可。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如选择线上参与开标，纸质投标文件需在开标日前两天，邮寄到指定地址。</w:t>
      </w:r>
    </w:p>
    <w:p>
      <w:pPr>
        <w:pStyle w:val="15"/>
        <w:ind w:firstLine="482" w:firstLineChars="200"/>
        <w:rPr>
          <w:rFonts w:hAnsi="宋体" w:cs="宋体"/>
          <w:color w:val="000000"/>
          <w:sz w:val="24"/>
          <w:szCs w:val="24"/>
          <w:highlight w:val="yellow"/>
        </w:rPr>
      </w:pPr>
      <w:r>
        <w:rPr>
          <w:rFonts w:hint="eastAsia" w:hAnsi="宋体" w:cs="宋体"/>
          <w:b/>
          <w:sz w:val="24"/>
          <w:szCs w:val="24"/>
        </w:rPr>
        <w:t>邮寄地址：</w:t>
      </w:r>
      <w:r>
        <w:rPr>
          <w:rFonts w:hint="eastAsia" w:hAnsi="宋体" w:cs="宋体"/>
          <w:color w:val="000000"/>
          <w:sz w:val="24"/>
          <w:szCs w:val="24"/>
          <w:highlight w:val="yellow"/>
        </w:rPr>
        <w:t>山东省济南市历城区华奥路777号</w:t>
      </w:r>
    </w:p>
    <w:p>
      <w:pPr>
        <w:pStyle w:val="66"/>
        <w:ind w:firstLine="480"/>
        <w:rPr>
          <w:rFonts w:cs="宋体"/>
        </w:rPr>
      </w:pPr>
      <w:r>
        <w:rPr>
          <w:rFonts w:hint="eastAsia" w:cs="宋体"/>
          <w:highlight w:val="yellow"/>
        </w:rPr>
        <w:t>联系人及联系方式：  李昊  15153153917</w:t>
      </w:r>
    </w:p>
    <w:p>
      <w:pPr>
        <w:pStyle w:val="72"/>
        <w:rPr>
          <w:rFonts w:ascii="宋体" w:hAnsi="宋体" w:cs="宋体"/>
        </w:rPr>
      </w:pPr>
      <w:r>
        <w:rPr>
          <w:rFonts w:hint="eastAsia" w:ascii="宋体" w:hAnsi="宋体" w:cs="宋体"/>
        </w:rPr>
        <w:t>9、现场资质审验</w:t>
      </w:r>
    </w:p>
    <w:p>
      <w:pPr>
        <w:pStyle w:val="66"/>
        <w:ind w:firstLine="480"/>
        <w:rPr>
          <w:rFonts w:cs="宋体"/>
        </w:rPr>
      </w:pPr>
      <w:r>
        <w:rPr>
          <w:rFonts w:hint="eastAsia" w:cs="宋体"/>
        </w:rPr>
        <w:t>详见投标条件→资质证明文件。（本文档搜索查找即可）</w:t>
      </w:r>
    </w:p>
    <w:p>
      <w:pPr>
        <w:pStyle w:val="66"/>
        <w:ind w:firstLine="480"/>
        <w:rPr>
          <w:rFonts w:cs="宋体"/>
        </w:rPr>
      </w:pPr>
      <w:r>
        <w:rPr>
          <w:rFonts w:hint="eastAsia" w:cs="宋体"/>
        </w:rPr>
        <w:t>投标地点：重汽科技大厦8#试验室308会议室</w:t>
      </w:r>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pPr>
        <w:pStyle w:val="68"/>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技术标入围后，原则上合理最低价中标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本着公平、公正、公开的原则，在通过技术标综合评审后入围的前提下，选择合理最低价确定中标人</w:t>
      </w:r>
      <w:r>
        <w:rPr>
          <w:rFonts w:hint="eastAsia" w:ascii="宋体" w:hAnsi="宋体" w:cs="宋体"/>
          <w:b/>
          <w:color w:val="000000"/>
          <w:sz w:val="24"/>
          <w:szCs w:val="24"/>
        </w:rPr>
        <w:t>，对未中标方不做任何解释。</w:t>
      </w:r>
    </w:p>
    <w:p>
      <w:pPr>
        <w:pStyle w:val="66"/>
        <w:ind w:firstLine="482"/>
        <w:rPr>
          <w:rFonts w:cs="宋体"/>
          <w:b/>
          <w:highlight w:val="yellow"/>
        </w:rPr>
      </w:pPr>
      <w:r>
        <w:rPr>
          <w:rFonts w:hint="eastAsia" w:cs="宋体"/>
          <w:b/>
          <w:highlight w:val="yellow"/>
        </w:rPr>
        <w:t>评标流程：</w:t>
      </w:r>
    </w:p>
    <w:p>
      <w:pPr>
        <w:pStyle w:val="15"/>
        <w:ind w:firstLine="482"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5"/>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四、投标说明第7条投标文件组成资格证明文件中的1-10准备资料，上传完毕后，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6"/>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w:t>
      </w:r>
      <w:r>
        <w:rPr>
          <w:rFonts w:ascii="宋体" w:hAnsi="宋体" w:cs="宋体"/>
          <w:b/>
          <w:color w:val="000000"/>
          <w:sz w:val="24"/>
          <w:szCs w:val="24"/>
        </w:rPr>
        <w:t>3</w:t>
      </w:r>
      <w:r>
        <w:rPr>
          <w:rFonts w:hint="eastAsia" w:ascii="宋体" w:hAnsi="宋体" w:cs="宋体"/>
          <w:b/>
          <w:color w:val="000000"/>
          <w:sz w:val="24"/>
          <w:szCs w:val="24"/>
        </w:rPr>
        <w:t>）”，在重汽e采通平台投递电子标书（包含资质标、技术标、商务标），没有通过应标资质审查的单位不能进入投标环节；</w:t>
      </w:r>
    </w:p>
    <w:p>
      <w:pPr>
        <w:numPr>
          <w:ilvl w:val="0"/>
          <w:numId w:val="7"/>
        </w:numPr>
        <w:spacing w:line="420" w:lineRule="exact"/>
        <w:rPr>
          <w:rFonts w:ascii="宋体" w:hAnsi="宋体" w:cs="宋体"/>
          <w:b/>
          <w:sz w:val="24"/>
          <w:szCs w:val="24"/>
        </w:rPr>
      </w:pPr>
      <w:r>
        <w:rPr>
          <w:rFonts w:hint="eastAsia" w:ascii="宋体" w:hAnsi="宋体" w:cs="宋体"/>
          <w:b/>
          <w:sz w:val="24"/>
          <w:szCs w:val="24"/>
        </w:rPr>
        <w:t>资质标评审：资质标审核通过的单位，进入技术标评审；</w:t>
      </w:r>
    </w:p>
    <w:p>
      <w:pPr>
        <w:numPr>
          <w:ilvl w:val="0"/>
          <w:numId w:val="7"/>
        </w:numPr>
        <w:spacing w:line="420" w:lineRule="exact"/>
        <w:rPr>
          <w:rFonts w:ascii="宋体" w:hAnsi="宋体" w:cs="宋体"/>
          <w:b/>
          <w:sz w:val="24"/>
          <w:szCs w:val="24"/>
          <w:highlight w:val="yellow"/>
        </w:rPr>
      </w:pPr>
      <w:r>
        <w:rPr>
          <w:rFonts w:hint="eastAsia" w:ascii="宋体" w:hAnsi="宋体" w:cs="宋体"/>
          <w:b/>
          <w:color w:val="000000"/>
          <w:sz w:val="24"/>
          <w:szCs w:val="24"/>
        </w:rPr>
        <w:t>技术标评审</w:t>
      </w:r>
      <w:r>
        <w:rPr>
          <w:rFonts w:hint="eastAsia" w:ascii="宋体" w:hAnsi="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2" w:firstLineChars="200"/>
        <w:rPr>
          <w:rFonts w:ascii="宋体" w:hAnsi="宋体" w:cs="宋体"/>
          <w:b/>
          <w:sz w:val="24"/>
          <w:szCs w:val="24"/>
          <w:highlight w:val="yellow"/>
        </w:rPr>
      </w:pPr>
      <w:r>
        <w:rPr>
          <w:rFonts w:hint="eastAsia" w:ascii="宋体" w:hAnsi="宋体" w:cs="宋体"/>
          <w:b/>
          <w:sz w:val="24"/>
          <w:szCs w:val="24"/>
          <w:highlight w:val="yellow"/>
        </w:rPr>
        <w:t>具体</w:t>
      </w:r>
      <w:r>
        <w:rPr>
          <w:rFonts w:hint="eastAsia" w:ascii="宋体" w:hAnsi="宋体" w:cs="宋体"/>
          <w:b/>
          <w:bCs/>
          <w:color w:val="000000"/>
          <w:sz w:val="24"/>
          <w:szCs w:val="24"/>
          <w:highlight w:val="yellow"/>
        </w:rPr>
        <w:t>技术标评分标准见附件14。</w:t>
      </w:r>
    </w:p>
    <w:p>
      <w:pPr>
        <w:numPr>
          <w:ilvl w:val="0"/>
          <w:numId w:val="8"/>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2"/>
        <w:ind w:firstLine="482"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8"/>
        </w:numPr>
        <w:spacing w:line="420" w:lineRule="exact"/>
        <w:rPr>
          <w:rFonts w:ascii="宋体" w:hAnsi="宋体" w:cs="宋体"/>
          <w:b/>
          <w:sz w:val="24"/>
          <w:szCs w:val="24"/>
        </w:rPr>
      </w:pPr>
      <w:r>
        <w:rPr>
          <w:rFonts w:hint="eastAsia" w:ascii="宋体" w:hAnsi="宋体" w:cs="宋体"/>
          <w:b/>
          <w:sz w:val="24"/>
          <w:szCs w:val="24"/>
        </w:rPr>
        <w:t>中标人确定：技术入围后，原则上合理最低价中标。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66"/>
        <w:ind w:firstLine="480"/>
        <w:rPr>
          <w:rFonts w:cs="宋体"/>
        </w:rPr>
      </w:pPr>
      <w:r>
        <w:rPr>
          <w:rFonts w:hint="eastAsia" w:cs="宋体"/>
        </w:rPr>
        <w:t>2、中标</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相关的一切损失均由该中标人承担。</w:t>
      </w:r>
    </w:p>
    <w:p>
      <w:pPr>
        <w:pStyle w:val="68"/>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66"/>
        <w:ind w:firstLine="480"/>
        <w:rPr>
          <w:rFonts w:cs="宋体"/>
        </w:rPr>
      </w:pPr>
      <w:r>
        <w:rPr>
          <w:rFonts w:hint="eastAsia"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2"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66"/>
        <w:ind w:firstLine="480"/>
        <w:rPr>
          <w:rFonts w:cs="宋体"/>
        </w:rPr>
      </w:pPr>
      <w:r>
        <w:rPr>
          <w:rFonts w:hint="eastAsia"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66"/>
        <w:ind w:firstLine="480"/>
        <w:rPr>
          <w:rFonts w:cs="宋体"/>
        </w:rPr>
      </w:pPr>
      <w:r>
        <w:rPr>
          <w:rFonts w:hint="eastAsia"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pPr>
        <w:pStyle w:val="15"/>
        <w:spacing w:line="360" w:lineRule="auto"/>
        <w:ind w:firstLine="480" w:firstLineChars="200"/>
        <w:rPr>
          <w:rFonts w:hint="default" w:hAnsi="宋体" w:eastAsia="宋体" w:cs="宋体"/>
          <w:bCs/>
          <w:sz w:val="24"/>
          <w:szCs w:val="24"/>
          <w:lang w:val="en-US" w:eastAsia="zh-CN"/>
        </w:rPr>
      </w:pPr>
      <w:r>
        <w:rPr>
          <w:rFonts w:hint="eastAsia" w:hAnsi="宋体" w:cs="宋体"/>
          <w:bCs/>
          <w:sz w:val="24"/>
          <w:szCs w:val="24"/>
          <w:lang w:val="en-US" w:eastAsia="zh-CN"/>
        </w:rPr>
        <w:t>7.合同以双方最终签署的版本为准</w:t>
      </w:r>
    </w:p>
    <w:p>
      <w:pPr>
        <w:pStyle w:val="68"/>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40" w:firstLineChars="224"/>
        <w:rPr>
          <w:rFonts w:hAnsi="宋体" w:cs="宋体"/>
          <w:bCs/>
        </w:rPr>
      </w:pPr>
      <w:bookmarkStart w:id="4"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4"/>
    </w:p>
    <w:p>
      <w:pPr>
        <w:pStyle w:val="66"/>
        <w:ind w:firstLine="482"/>
        <w:rPr>
          <w:rFonts w:cs="宋体"/>
          <w:b/>
        </w:rPr>
      </w:pPr>
    </w:p>
    <w:bookmarkEnd w:id="1"/>
    <w:p>
      <w:pPr>
        <w:rPr>
          <w:rFonts w:ascii="宋体" w:hAnsi="宋体" w:cs="宋体"/>
          <w:b/>
        </w:rPr>
      </w:pPr>
      <w:r>
        <w:rPr>
          <w:rFonts w:hint="eastAsia" w:ascii="宋体" w:hAnsi="宋体" w:cs="宋体"/>
          <w:b/>
        </w:rPr>
        <w:br w:type="page"/>
      </w:r>
    </w:p>
    <w:p>
      <w:pPr>
        <w:pStyle w:val="72"/>
        <w:rPr>
          <w:rFonts w:ascii="宋体" w:hAnsi="宋体" w:cs="宋体"/>
        </w:rPr>
      </w:pPr>
      <w:r>
        <w:rPr>
          <w:rFonts w:hint="eastAsia" w:ascii="宋体" w:hAnsi="宋体" w:cs="宋体"/>
        </w:rPr>
        <w:t>附件1</w:t>
      </w:r>
      <w:bookmarkStart w:id="5" w:name="_Toc25811"/>
      <w:bookmarkStart w:id="6" w:name="_Toc353881012"/>
      <w:bookmarkStart w:id="7" w:name="_Toc639004"/>
      <w:bookmarkStart w:id="8" w:name="_Toc212369550"/>
      <w:r>
        <w:rPr>
          <w:rFonts w:hint="eastAsia" w:ascii="宋体" w:hAnsi="宋体" w:cs="宋体"/>
        </w:rPr>
        <w:t xml:space="preserve"> 投标函</w:t>
      </w:r>
      <w:bookmarkEnd w:id="5"/>
      <w:bookmarkEnd w:id="6"/>
      <w:bookmarkEnd w:id="7"/>
      <w:bookmarkEnd w:id="8"/>
    </w:p>
    <w:p>
      <w:pPr>
        <w:pStyle w:val="66"/>
        <w:ind w:firstLine="480"/>
        <w:rPr>
          <w:rFonts w:cs="宋体"/>
        </w:rPr>
      </w:pPr>
      <w:r>
        <w:rPr>
          <w:rFonts w:hint="eastAsia" w:cs="宋体"/>
        </w:rPr>
        <w:t>致：中国重汽集团济南动力有限公司：</w:t>
      </w:r>
    </w:p>
    <w:p>
      <w:pPr>
        <w:pStyle w:val="66"/>
        <w:ind w:firstLine="480"/>
        <w:rPr>
          <w:rFonts w:cs="宋体"/>
        </w:rPr>
      </w:pPr>
      <w:r>
        <w:rPr>
          <w:rFonts w:hint="eastAsia" w:cs="宋体"/>
        </w:rPr>
        <w:t>根据贵方_</w:t>
      </w:r>
      <w:r>
        <w:rPr>
          <w:rFonts w:hint="eastAsia" w:cs="宋体"/>
          <w:b/>
          <w:bCs/>
          <w:snapToGrid w:val="0"/>
          <w:kern w:val="0"/>
          <w:u w:val="single"/>
        </w:rPr>
        <w:t xml:space="preserve">        某项目招标公告   </w:t>
      </w:r>
      <w:r>
        <w:rPr>
          <w:rFonts w:hint="eastAsia" w:cs="宋体"/>
        </w:rPr>
        <w:t>，</w:t>
      </w:r>
      <w:r>
        <w:rPr>
          <w:rFonts w:hint="eastAsia" w:cs="宋体"/>
          <w:u w:val="single"/>
        </w:rPr>
        <w:t xml:space="preserve">    </w:t>
      </w:r>
      <w:r>
        <w:rPr>
          <w:rFonts w:hint="eastAsia" w:cs="宋体"/>
          <w:b/>
          <w:u w:val="single"/>
        </w:rPr>
        <w:t xml:space="preserve">某投标公司名称 </w:t>
      </w:r>
      <w:r>
        <w:rPr>
          <w:rFonts w:hint="eastAsia" w:cs="宋体"/>
          <w:u w:val="single"/>
        </w:rPr>
        <w:t xml:space="preserve">  </w:t>
      </w:r>
      <w:r>
        <w:rPr>
          <w:rFonts w:hint="eastAsia" w:cs="宋体"/>
        </w:rPr>
        <w:t>， 法人代表人</w:t>
      </w:r>
      <w:r>
        <w:rPr>
          <w:rFonts w:hint="eastAsia" w:cs="宋体"/>
          <w:u w:val="single"/>
        </w:rPr>
        <w:t>为      法人名字</w:t>
      </w:r>
      <w:r>
        <w:rPr>
          <w:rFonts w:hint="eastAsia" w:cs="宋体"/>
        </w:rPr>
        <w:t>，正式授权</w:t>
      </w:r>
      <w:r>
        <w:rPr>
          <w:rFonts w:hint="eastAsia" w:cs="宋体"/>
          <w:u w:val="single"/>
        </w:rPr>
        <w:t xml:space="preserve">   被授权人名字     </w:t>
      </w:r>
      <w:r>
        <w:rPr>
          <w:rFonts w:hint="eastAsia" w:cs="宋体"/>
        </w:rPr>
        <w:t>提交</w:t>
      </w:r>
      <w:r>
        <w:rPr>
          <w:rFonts w:hint="eastAsia" w:cs="宋体"/>
          <w:b/>
          <w:highlight w:val="yellow"/>
        </w:rPr>
        <w:t>纸质投标文件：商务和技术文件正本</w:t>
      </w:r>
      <w:r>
        <w:rPr>
          <w:rFonts w:hint="eastAsia" w:cs="宋体"/>
          <w:b/>
          <w:highlight w:val="yellow"/>
          <w:u w:val="single"/>
        </w:rPr>
        <w:t xml:space="preserve">    </w:t>
      </w:r>
      <w:r>
        <w:rPr>
          <w:rFonts w:hint="eastAsia" w:cs="宋体"/>
          <w:b/>
          <w:highlight w:val="yellow"/>
        </w:rPr>
        <w:t>份、副本</w:t>
      </w:r>
      <w:r>
        <w:rPr>
          <w:rFonts w:hint="eastAsia" w:cs="宋体"/>
          <w:b/>
          <w:highlight w:val="yellow"/>
          <w:u w:val="single"/>
        </w:rPr>
        <w:t xml:space="preserve">    </w:t>
      </w:r>
      <w:r>
        <w:rPr>
          <w:rFonts w:hint="eastAsia" w:cs="宋体"/>
          <w:b/>
          <w:highlight w:val="yellow"/>
        </w:rPr>
        <w:t>份；资质证明文件</w:t>
      </w:r>
      <w:r>
        <w:rPr>
          <w:rFonts w:hint="eastAsia" w:cs="宋体"/>
          <w:b/>
          <w:highlight w:val="yellow"/>
          <w:u w:val="single"/>
        </w:rPr>
        <w:t xml:space="preserve">   </w:t>
      </w:r>
      <w:r>
        <w:rPr>
          <w:rFonts w:hint="eastAsia" w:cs="宋体"/>
          <w:b/>
          <w:highlight w:val="yellow"/>
        </w:rPr>
        <w:t>份。电子版投标文件1份。</w:t>
      </w:r>
    </w:p>
    <w:p>
      <w:pPr>
        <w:pStyle w:val="66"/>
        <w:ind w:firstLine="480"/>
        <w:rPr>
          <w:rFonts w:cs="宋体"/>
        </w:rPr>
      </w:pPr>
      <w:r>
        <w:rPr>
          <w:rFonts w:hint="eastAsia" w:cs="宋体"/>
        </w:rPr>
        <w:t>据此函，签字代表宣布同意如下：</w:t>
      </w:r>
    </w:p>
    <w:p>
      <w:pPr>
        <w:pStyle w:val="66"/>
        <w:ind w:firstLine="480"/>
        <w:rPr>
          <w:rFonts w:cs="宋体"/>
        </w:rPr>
      </w:pPr>
      <w:r>
        <w:rPr>
          <w:rFonts w:hint="eastAsia"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66"/>
        <w:ind w:firstLine="480"/>
        <w:rPr>
          <w:rFonts w:cs="宋体"/>
        </w:rPr>
      </w:pPr>
      <w:r>
        <w:rPr>
          <w:rFonts w:hint="eastAsia" w:cs="宋体"/>
        </w:rPr>
        <w:t>2、投标人在投标之前已经与贵方进行了充分的沟通，完全理解并接受招标文件的各项规定和要求，对招标文件的合理性、合法性不再有异议。</w:t>
      </w:r>
    </w:p>
    <w:p>
      <w:pPr>
        <w:pStyle w:val="66"/>
        <w:ind w:firstLine="480"/>
        <w:rPr>
          <w:rFonts w:cs="宋体"/>
          <w:highlight w:val="yellow"/>
        </w:rPr>
      </w:pPr>
      <w:r>
        <w:rPr>
          <w:rFonts w:hint="eastAsia" w:cs="宋体"/>
          <w:highlight w:val="yellow"/>
        </w:rPr>
        <w:t>3、本投标有效期自开标日起</w:t>
      </w:r>
      <w:r>
        <w:rPr>
          <w:rFonts w:hint="eastAsia" w:cs="宋体"/>
          <w:bCs/>
          <w:highlight w:val="yellow"/>
          <w:u w:val="single"/>
        </w:rPr>
        <w:t xml:space="preserve"> 30</w:t>
      </w:r>
      <w:r>
        <w:rPr>
          <w:rFonts w:hint="eastAsia" w:cs="宋体"/>
          <w:highlight w:val="yellow"/>
        </w:rPr>
        <w:t>个日历日。</w:t>
      </w:r>
    </w:p>
    <w:p>
      <w:pPr>
        <w:pStyle w:val="66"/>
        <w:ind w:firstLine="480"/>
        <w:rPr>
          <w:rFonts w:cs="宋体"/>
        </w:rPr>
      </w:pPr>
      <w:r>
        <w:rPr>
          <w:rFonts w:hint="eastAsia" w:cs="宋体"/>
        </w:rPr>
        <w:t>4、如中标，本投标文件至本项目合同履行完毕止均保持有效，本投标人将按“招标文件”及政府采购法律、法规的规定履行合同责任和义务。</w:t>
      </w:r>
    </w:p>
    <w:p>
      <w:pPr>
        <w:pStyle w:val="66"/>
        <w:ind w:firstLine="480"/>
        <w:rPr>
          <w:rFonts w:cs="宋体"/>
        </w:rPr>
      </w:pPr>
      <w:r>
        <w:rPr>
          <w:rFonts w:hint="eastAsia" w:cs="宋体"/>
        </w:rPr>
        <w:t>5、投标人同意按照贵方要求提供与投标有关的一切数据或资料。</w:t>
      </w:r>
    </w:p>
    <w:p>
      <w:pPr>
        <w:pStyle w:val="66"/>
        <w:ind w:firstLine="480"/>
        <w:rPr>
          <w:rFonts w:cs="宋体"/>
        </w:rPr>
      </w:pPr>
      <w:r>
        <w:rPr>
          <w:rFonts w:hint="eastAsia" w:cs="宋体"/>
        </w:rPr>
        <w:t>6、与本投标有关的一切正式往来信函请寄：</w:t>
      </w:r>
    </w:p>
    <w:p>
      <w:pPr>
        <w:pStyle w:val="66"/>
        <w:ind w:firstLine="480"/>
        <w:rPr>
          <w:rFonts w:cs="宋体"/>
        </w:rPr>
      </w:pPr>
      <w:r>
        <w:rPr>
          <w:rFonts w:hint="eastAsia" w:cs="宋体"/>
        </w:rPr>
        <w:t xml:space="preserve">地址：                             </w:t>
      </w:r>
    </w:p>
    <w:p>
      <w:pPr>
        <w:pStyle w:val="66"/>
        <w:ind w:firstLine="480"/>
        <w:rPr>
          <w:rFonts w:cs="宋体"/>
        </w:rPr>
      </w:pPr>
      <w:r>
        <w:rPr>
          <w:rFonts w:hint="eastAsia" w:cs="宋体"/>
        </w:rPr>
        <w:t xml:space="preserve">邮编：        </w:t>
      </w:r>
    </w:p>
    <w:p>
      <w:pPr>
        <w:pStyle w:val="66"/>
        <w:ind w:firstLine="480"/>
        <w:rPr>
          <w:rFonts w:cs="宋体"/>
        </w:rPr>
      </w:pPr>
      <w:r>
        <w:rPr>
          <w:rFonts w:hint="eastAsia" w:cs="宋体"/>
        </w:rPr>
        <w:t xml:space="preserve">电话：        传真：                   </w:t>
      </w:r>
    </w:p>
    <w:p>
      <w:pPr>
        <w:pStyle w:val="66"/>
        <w:ind w:firstLine="480"/>
        <w:rPr>
          <w:rFonts w:cs="宋体"/>
        </w:rPr>
      </w:pPr>
      <w:r>
        <w:rPr>
          <w:rFonts w:hint="eastAsia" w:cs="宋体"/>
        </w:rPr>
        <w:t xml:space="preserve">投标人代表姓名：__   _____职务：          </w:t>
      </w:r>
    </w:p>
    <w:p>
      <w:pPr>
        <w:pStyle w:val="66"/>
        <w:ind w:firstLine="480"/>
        <w:rPr>
          <w:rFonts w:cs="宋体"/>
        </w:rPr>
      </w:pPr>
      <w:r>
        <w:rPr>
          <w:rFonts w:hint="eastAsia" w:cs="宋体"/>
        </w:rPr>
        <w:t xml:space="preserve">开户银行：                   </w:t>
      </w:r>
    </w:p>
    <w:p>
      <w:pPr>
        <w:pStyle w:val="66"/>
        <w:ind w:firstLine="480"/>
        <w:rPr>
          <w:rFonts w:cs="宋体"/>
        </w:rPr>
      </w:pPr>
      <w:r>
        <w:rPr>
          <w:rFonts w:hint="eastAsia" w:cs="宋体"/>
        </w:rPr>
        <w:t>银行帐号：</w:t>
      </w:r>
    </w:p>
    <w:p>
      <w:pPr>
        <w:pStyle w:val="66"/>
        <w:ind w:firstLine="480"/>
        <w:rPr>
          <w:rFonts w:cs="宋体"/>
        </w:rPr>
      </w:pPr>
      <w:r>
        <w:rPr>
          <w:rFonts w:hint="eastAsia" w:cs="宋体"/>
        </w:rPr>
        <w:t>投标人名称（</w:t>
      </w:r>
      <w:r>
        <w:rPr>
          <w:rFonts w:hint="eastAsia" w:cs="宋体"/>
          <w:bCs/>
        </w:rPr>
        <w:t>盖章）</w:t>
      </w:r>
      <w:r>
        <w:rPr>
          <w:rFonts w:hint="eastAsia" w:cs="宋体"/>
        </w:rPr>
        <w:t xml:space="preserve">: </w:t>
      </w:r>
    </w:p>
    <w:p>
      <w:pPr>
        <w:pStyle w:val="66"/>
        <w:ind w:firstLine="480"/>
        <w:rPr>
          <w:rFonts w:cs="宋体"/>
        </w:rPr>
      </w:pPr>
      <w:r>
        <w:rPr>
          <w:rFonts w:hint="eastAsia" w:cs="宋体"/>
        </w:rPr>
        <w:t>授权代表签字</w:t>
      </w:r>
      <w:r>
        <w:rPr>
          <w:rFonts w:hint="eastAsia" w:cs="宋体"/>
          <w:bCs/>
        </w:rPr>
        <w:t>：</w:t>
      </w:r>
    </w:p>
    <w:p>
      <w:pPr>
        <w:pStyle w:val="66"/>
        <w:ind w:firstLine="480"/>
        <w:rPr>
          <w:rFonts w:cs="宋体"/>
        </w:rPr>
      </w:pPr>
      <w:r>
        <w:rPr>
          <w:rFonts w:hint="eastAsia" w:cs="宋体"/>
        </w:rPr>
        <w:t>日期：     年      月      日</w:t>
      </w:r>
    </w:p>
    <w:p>
      <w:pPr>
        <w:rPr>
          <w:rFonts w:ascii="宋体" w:hAnsi="宋体" w:cs="宋体"/>
          <w:color w:val="000000"/>
          <w:sz w:val="24"/>
          <w:szCs w:val="24"/>
        </w:rPr>
      </w:pPr>
    </w:p>
    <w:p>
      <w:pPr>
        <w:rPr>
          <w:rFonts w:ascii="宋体" w:hAnsi="宋体" w:cs="宋体"/>
          <w:color w:val="000000"/>
          <w:sz w:val="24"/>
          <w:szCs w:val="24"/>
        </w:rPr>
      </w:pPr>
    </w:p>
    <w:p>
      <w:pPr>
        <w:rPr>
          <w:rFonts w:ascii="宋体" w:hAnsi="宋体" w:cs="宋体"/>
          <w:color w:val="000000"/>
          <w:sz w:val="24"/>
          <w:szCs w:val="24"/>
        </w:rPr>
      </w:pPr>
    </w:p>
    <w:p>
      <w:pPr>
        <w:rPr>
          <w:rFonts w:ascii="宋体" w:hAnsi="宋体" w:cs="宋体"/>
          <w:color w:val="000000"/>
          <w:sz w:val="24"/>
          <w:szCs w:val="24"/>
        </w:rPr>
      </w:pPr>
    </w:p>
    <w:p>
      <w:pPr>
        <w:rPr>
          <w:rFonts w:ascii="宋体" w:hAnsi="宋体" w:cs="宋体"/>
          <w:color w:val="000000"/>
          <w:sz w:val="24"/>
          <w:szCs w:val="24"/>
        </w:rPr>
      </w:pPr>
    </w:p>
    <w:p>
      <w:pPr>
        <w:rPr>
          <w:rFonts w:ascii="宋体" w:hAnsi="宋体" w:cs="宋体"/>
          <w:color w:val="000000"/>
          <w:sz w:val="24"/>
          <w:szCs w:val="24"/>
        </w:rPr>
      </w:pPr>
    </w:p>
    <w:p>
      <w:pPr>
        <w:rPr>
          <w:rFonts w:ascii="宋体" w:hAnsi="宋体" w:cs="宋体"/>
          <w:color w:val="000000"/>
          <w:sz w:val="24"/>
          <w:szCs w:val="24"/>
        </w:rPr>
      </w:pPr>
    </w:p>
    <w:p>
      <w:pPr>
        <w:pStyle w:val="72"/>
        <w:outlineLvl w:val="9"/>
        <w:rPr>
          <w:rFonts w:ascii="宋体" w:hAnsi="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cols w:space="720" w:num="1"/>
          <w:titlePg/>
          <w:docGrid w:type="lines" w:linePitch="312" w:charSpace="0"/>
        </w:sectPr>
      </w:pPr>
    </w:p>
    <w:p>
      <w:pPr>
        <w:pStyle w:val="72"/>
        <w:rPr>
          <w:rFonts w:ascii="宋体" w:hAnsi="宋体" w:cs="宋体"/>
        </w:rPr>
      </w:pPr>
      <w:r>
        <w:rPr>
          <w:rFonts w:hint="eastAsia" w:ascii="宋体" w:hAnsi="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66"/>
        <w:ind w:firstLine="480"/>
        <w:rPr>
          <w:rFonts w:cs="宋体"/>
        </w:rPr>
      </w:pPr>
      <w:r>
        <w:rPr>
          <w:rFonts w:hint="eastAsia"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66"/>
        <w:ind w:firstLine="480"/>
        <w:rPr>
          <w:rFonts w:cs="宋体"/>
        </w:rPr>
      </w:pPr>
      <w:r>
        <w:rPr>
          <w:rFonts w:hint="eastAsia"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66"/>
        <w:ind w:firstLine="480"/>
        <w:rPr>
          <w:rFonts w:cs="宋体"/>
        </w:rPr>
      </w:pPr>
      <w:r>
        <w:rPr>
          <w:rFonts w:hint="eastAsia" w:cs="宋体"/>
        </w:rPr>
        <w:t>全权代表姓名：            性别：          年龄：</w:t>
      </w:r>
    </w:p>
    <w:p>
      <w:pPr>
        <w:pStyle w:val="66"/>
        <w:ind w:firstLine="480"/>
        <w:rPr>
          <w:rFonts w:cs="宋体"/>
        </w:rPr>
      </w:pPr>
      <w:r>
        <w:rPr>
          <w:rFonts w:hint="eastAsia" w:cs="宋体"/>
        </w:rPr>
        <w:t>单位：                    部门：          职务：</w:t>
      </w:r>
    </w:p>
    <w:p>
      <w:pPr>
        <w:pStyle w:val="66"/>
        <w:ind w:firstLine="480"/>
        <w:rPr>
          <w:rFonts w:cs="宋体"/>
        </w:rPr>
      </w:pPr>
      <w:r>
        <w:rPr>
          <w:rFonts w:hint="eastAsia" w:cs="宋体"/>
        </w:rPr>
        <w:t xml:space="preserve">法定代表人签字或盖章                          </w:t>
      </w:r>
    </w:p>
    <w:p>
      <w:pPr>
        <w:pStyle w:val="66"/>
        <w:ind w:firstLine="480"/>
        <w:rPr>
          <w:rFonts w:cs="宋体"/>
        </w:rPr>
      </w:pPr>
      <w:r>
        <w:rPr>
          <w:rFonts w:hint="eastAsia" w:cs="宋体"/>
        </w:rPr>
        <w:t xml:space="preserve">被授权人签字  </w:t>
      </w:r>
    </w:p>
    <w:p>
      <w:pPr>
        <w:pStyle w:val="66"/>
        <w:ind w:firstLine="480"/>
        <w:rPr>
          <w:rFonts w:cs="宋体"/>
        </w:rPr>
      </w:pPr>
      <w:r>
        <w:rPr>
          <w:rFonts w:hint="eastAsia" w:cs="宋体"/>
        </w:rPr>
        <w:t xml:space="preserve">被授权人电话：                          </w:t>
      </w:r>
    </w:p>
    <w:p>
      <w:pPr>
        <w:pStyle w:val="66"/>
        <w:ind w:firstLine="480"/>
        <w:rPr>
          <w:rFonts w:cs="宋体"/>
        </w:rPr>
      </w:pPr>
      <w:r>
        <w:rPr>
          <w:rFonts w:hint="eastAsia"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72"/>
        <w:rPr>
          <w:rFonts w:ascii="宋体" w:hAnsi="宋体" w:cs="宋体"/>
        </w:rPr>
      </w:pPr>
      <w:r>
        <w:rPr>
          <w:rFonts w:hint="eastAsia" w:ascii="宋体" w:hAnsi="宋体" w:cs="宋体"/>
        </w:rPr>
        <w:t>附件4 技术规格偏离表</w:t>
      </w:r>
    </w:p>
    <w:p>
      <w:pPr>
        <w:pStyle w:val="66"/>
        <w:ind w:firstLine="480"/>
        <w:rPr>
          <w:rFonts w:cs="宋体"/>
        </w:rPr>
      </w:pPr>
      <w:r>
        <w:rPr>
          <w:rFonts w:hint="eastAsia"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3535"/>
        <w:gridCol w:w="2476"/>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70"/>
              <w:rPr>
                <w:rFonts w:ascii="宋体" w:hAnsi="宋体" w:cs="宋体"/>
              </w:rPr>
            </w:pPr>
            <w:r>
              <w:rPr>
                <w:rFonts w:hint="eastAsia" w:ascii="宋体" w:hAnsi="宋体" w:cs="宋体"/>
              </w:rPr>
              <w:t>序号</w:t>
            </w:r>
          </w:p>
        </w:tc>
        <w:tc>
          <w:tcPr>
            <w:tcW w:w="1905" w:type="pct"/>
            <w:vAlign w:val="center"/>
          </w:tcPr>
          <w:p>
            <w:pPr>
              <w:pStyle w:val="70"/>
              <w:rPr>
                <w:rFonts w:ascii="宋体" w:hAnsi="宋体" w:cs="宋体"/>
              </w:rPr>
            </w:pPr>
            <w:r>
              <w:rPr>
                <w:rFonts w:hint="eastAsia" w:ascii="宋体" w:hAnsi="宋体" w:cs="宋体"/>
              </w:rPr>
              <w:t>招标要求</w:t>
            </w:r>
          </w:p>
        </w:tc>
        <w:tc>
          <w:tcPr>
            <w:tcW w:w="1334" w:type="pct"/>
            <w:vAlign w:val="center"/>
          </w:tcPr>
          <w:p>
            <w:pPr>
              <w:pStyle w:val="70"/>
              <w:rPr>
                <w:rFonts w:ascii="宋体" w:hAnsi="宋体" w:cs="宋体"/>
              </w:rPr>
            </w:pPr>
            <w:r>
              <w:rPr>
                <w:rFonts w:hint="eastAsia" w:ascii="宋体" w:hAnsi="宋体" w:cs="宋体"/>
              </w:rPr>
              <w:t>响应规格</w:t>
            </w:r>
          </w:p>
        </w:tc>
        <w:tc>
          <w:tcPr>
            <w:tcW w:w="887" w:type="pct"/>
            <w:vAlign w:val="center"/>
          </w:tcPr>
          <w:p>
            <w:pPr>
              <w:pStyle w:val="70"/>
              <w:rPr>
                <w:rFonts w:ascii="宋体" w:hAnsi="宋体" w:cs="宋体"/>
              </w:rPr>
            </w:pPr>
            <w:r>
              <w:rPr>
                <w:rFonts w:hint="eastAsia" w:ascii="宋体" w:hAnsi="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70"/>
              <w:rPr>
                <w:rFonts w:ascii="宋体" w:hAnsi="宋体" w:cs="宋体"/>
                <w:sz w:val="24"/>
                <w:szCs w:val="24"/>
              </w:rPr>
            </w:pPr>
            <w:r>
              <w:rPr>
                <w:rFonts w:hint="eastAsia" w:ascii="宋体" w:hAnsi="宋体" w:cs="宋体"/>
                <w:sz w:val="24"/>
                <w:szCs w:val="24"/>
              </w:rPr>
              <w:t>1</w:t>
            </w:r>
          </w:p>
        </w:tc>
        <w:tc>
          <w:tcPr>
            <w:tcW w:w="1905" w:type="pct"/>
            <w:vAlign w:val="center"/>
          </w:tcPr>
          <w:p>
            <w:pPr>
              <w:widowControl/>
              <w:jc w:val="left"/>
              <w:rPr>
                <w:rFonts w:ascii="宋体" w:hAnsi="宋体" w:cs="宋体"/>
                <w:bCs/>
                <w:sz w:val="24"/>
                <w:szCs w:val="24"/>
              </w:rPr>
            </w:pPr>
            <w:r>
              <w:rPr>
                <w:rFonts w:hint="eastAsia" w:ascii="宋体" w:hAnsi="宋体" w:cs="宋体"/>
                <w:bCs/>
                <w:sz w:val="24"/>
                <w:szCs w:val="24"/>
              </w:rPr>
              <w:t>直流稳压电源</w:t>
            </w:r>
          </w:p>
          <w:p>
            <w:pPr>
              <w:widowControl/>
              <w:jc w:val="left"/>
              <w:rPr>
                <w:rFonts w:ascii="宋体" w:hAnsi="宋体" w:cs="宋体"/>
                <w:bCs/>
                <w:sz w:val="24"/>
                <w:szCs w:val="24"/>
              </w:rPr>
            </w:pPr>
            <w:r>
              <w:rPr>
                <w:rFonts w:hint="eastAsia" w:ascii="宋体" w:hAnsi="宋体" w:cs="宋体"/>
                <w:bCs/>
                <w:sz w:val="24"/>
                <w:szCs w:val="24"/>
              </w:rPr>
              <w:t>电源规格及参数要求：</w:t>
            </w:r>
          </w:p>
          <w:p>
            <w:pPr>
              <w:widowControl/>
              <w:jc w:val="left"/>
              <w:rPr>
                <w:rFonts w:ascii="宋体" w:hAnsi="宋体" w:cs="宋体"/>
                <w:bCs/>
                <w:sz w:val="24"/>
                <w:szCs w:val="24"/>
              </w:rPr>
            </w:pPr>
            <w:r>
              <w:rPr>
                <w:rFonts w:hint="eastAsia" w:ascii="宋体" w:hAnsi="宋体" w:cs="宋体"/>
                <w:bCs/>
                <w:sz w:val="24"/>
                <w:szCs w:val="24"/>
              </w:rPr>
              <w:t xml:space="preserve">电源输出额定电压≥60V </w:t>
            </w:r>
          </w:p>
          <w:p>
            <w:pPr>
              <w:pStyle w:val="70"/>
              <w:jc w:val="both"/>
              <w:rPr>
                <w:rFonts w:ascii="宋体" w:hAnsi="宋体" w:cs="宋体"/>
                <w:b w:val="0"/>
                <w:bCs/>
                <w:sz w:val="24"/>
                <w:szCs w:val="24"/>
              </w:rPr>
            </w:pPr>
            <w:r>
              <w:rPr>
                <w:rFonts w:hint="eastAsia" w:ascii="宋体" w:hAnsi="宋体" w:cs="宋体"/>
                <w:b w:val="0"/>
                <w:bCs/>
                <w:sz w:val="24"/>
                <w:szCs w:val="24"/>
              </w:rPr>
              <w:t>电源输出额定电流≥</w:t>
            </w:r>
            <w:r>
              <w:rPr>
                <w:rFonts w:ascii="宋体" w:hAnsi="宋体" w:cs="宋体"/>
                <w:b w:val="0"/>
                <w:bCs/>
                <w:sz w:val="24"/>
                <w:szCs w:val="24"/>
              </w:rPr>
              <w:t>260A</w:t>
            </w:r>
          </w:p>
          <w:p>
            <w:pPr>
              <w:pStyle w:val="70"/>
              <w:jc w:val="both"/>
              <w:rPr>
                <w:rFonts w:hint="eastAsia" w:ascii="宋体" w:hAnsi="宋体" w:cs="宋体"/>
                <w:bCs/>
                <w:sz w:val="24"/>
                <w:szCs w:val="24"/>
              </w:rPr>
            </w:pPr>
            <w:r>
              <w:rPr>
                <w:rFonts w:hint="eastAsia" w:ascii="宋体" w:hAnsi="宋体" w:cs="宋体"/>
                <w:bCs/>
                <w:sz w:val="24"/>
                <w:szCs w:val="24"/>
              </w:rPr>
              <w:t>电源供电使用3</w:t>
            </w:r>
            <w:r>
              <w:rPr>
                <w:rFonts w:ascii="宋体" w:hAnsi="宋体" w:cs="宋体"/>
                <w:bCs/>
                <w:sz w:val="24"/>
                <w:szCs w:val="24"/>
              </w:rPr>
              <w:t>80</w:t>
            </w:r>
            <w:r>
              <w:rPr>
                <w:rFonts w:hint="eastAsia" w:ascii="宋体" w:hAnsi="宋体" w:cs="宋体"/>
                <w:bCs/>
                <w:sz w:val="24"/>
                <w:szCs w:val="24"/>
              </w:rPr>
              <w:t>V交流电</w:t>
            </w:r>
          </w:p>
        </w:tc>
        <w:tc>
          <w:tcPr>
            <w:tcW w:w="1334" w:type="pct"/>
            <w:vAlign w:val="center"/>
          </w:tcPr>
          <w:p>
            <w:pPr>
              <w:pStyle w:val="70"/>
              <w:rPr>
                <w:rFonts w:ascii="宋体" w:hAnsi="宋体" w:cs="宋体"/>
                <w:sz w:val="24"/>
              </w:rPr>
            </w:pPr>
          </w:p>
        </w:tc>
        <w:tc>
          <w:tcPr>
            <w:tcW w:w="887" w:type="pct"/>
          </w:tcPr>
          <w:p>
            <w:pPr>
              <w:pStyle w:val="7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70"/>
              <w:rPr>
                <w:rFonts w:ascii="宋体" w:hAnsi="宋体" w:cs="宋体"/>
                <w:sz w:val="24"/>
                <w:szCs w:val="24"/>
              </w:rPr>
            </w:pPr>
            <w:r>
              <w:rPr>
                <w:rFonts w:hint="eastAsia" w:ascii="宋体" w:hAnsi="宋体" w:cs="宋体"/>
                <w:sz w:val="24"/>
                <w:szCs w:val="24"/>
              </w:rPr>
              <w:t>2</w:t>
            </w:r>
          </w:p>
        </w:tc>
        <w:tc>
          <w:tcPr>
            <w:tcW w:w="1905" w:type="pct"/>
            <w:vAlign w:val="center"/>
          </w:tcPr>
          <w:p>
            <w:pPr>
              <w:widowControl/>
              <w:jc w:val="left"/>
              <w:rPr>
                <w:rFonts w:ascii="宋体" w:hAnsi="宋体" w:cs="宋体"/>
                <w:bCs/>
                <w:sz w:val="24"/>
                <w:szCs w:val="24"/>
              </w:rPr>
            </w:pPr>
            <w:r>
              <w:rPr>
                <w:rFonts w:hint="eastAsia" w:ascii="宋体" w:hAnsi="宋体" w:cs="宋体"/>
                <w:bCs/>
                <w:sz w:val="24"/>
                <w:szCs w:val="24"/>
              </w:rPr>
              <w:t>MOS 管</w:t>
            </w:r>
          </w:p>
          <w:p>
            <w:pPr>
              <w:widowControl/>
              <w:jc w:val="left"/>
              <w:rPr>
                <w:rFonts w:ascii="宋体" w:hAnsi="宋体" w:cs="宋体"/>
                <w:bCs/>
                <w:sz w:val="24"/>
                <w:szCs w:val="24"/>
              </w:rPr>
            </w:pPr>
            <w:r>
              <w:rPr>
                <w:rFonts w:hint="eastAsia" w:ascii="宋体" w:hAnsi="宋体" w:cs="宋体"/>
                <w:bCs/>
                <w:sz w:val="24"/>
                <w:szCs w:val="24"/>
              </w:rPr>
              <w:t>电源规格及参数要求：</w:t>
            </w:r>
          </w:p>
          <w:p>
            <w:pPr>
              <w:widowControl/>
              <w:jc w:val="left"/>
              <w:rPr>
                <w:rFonts w:ascii="宋体" w:hAnsi="宋体" w:cs="宋体"/>
                <w:bCs/>
                <w:sz w:val="24"/>
                <w:szCs w:val="24"/>
              </w:rPr>
            </w:pPr>
            <w:r>
              <w:rPr>
                <w:rFonts w:hint="eastAsia" w:ascii="宋体" w:hAnsi="宋体" w:cs="宋体"/>
                <w:bCs/>
                <w:sz w:val="24"/>
                <w:szCs w:val="24"/>
              </w:rPr>
              <w:t xml:space="preserve">额定电压≥60V </w:t>
            </w:r>
          </w:p>
          <w:p>
            <w:pPr>
              <w:widowControl/>
              <w:jc w:val="left"/>
              <w:rPr>
                <w:rFonts w:ascii="宋体" w:hAnsi="宋体" w:cs="宋体"/>
                <w:bCs/>
                <w:sz w:val="24"/>
                <w:szCs w:val="24"/>
              </w:rPr>
            </w:pPr>
            <w:r>
              <w:rPr>
                <w:rFonts w:hint="eastAsia" w:ascii="宋体" w:hAnsi="宋体" w:cs="宋体"/>
                <w:bCs/>
                <w:sz w:val="24"/>
                <w:szCs w:val="24"/>
              </w:rPr>
              <w:t>额定电流≥</w:t>
            </w:r>
            <w:r>
              <w:rPr>
                <w:rFonts w:ascii="宋体" w:hAnsi="宋体" w:cs="宋体"/>
                <w:bCs/>
                <w:sz w:val="24"/>
                <w:szCs w:val="24"/>
              </w:rPr>
              <w:t xml:space="preserve">260A </w:t>
            </w:r>
          </w:p>
          <w:p>
            <w:pPr>
              <w:widowControl/>
              <w:jc w:val="left"/>
              <w:rPr>
                <w:rFonts w:hint="eastAsia" w:ascii="宋体" w:hAnsi="宋体" w:cs="宋体"/>
                <w:bCs/>
                <w:sz w:val="24"/>
                <w:szCs w:val="24"/>
              </w:rPr>
            </w:pPr>
            <w:r>
              <w:rPr>
                <w:rFonts w:hint="eastAsia" w:ascii="宋体" w:hAnsi="宋体" w:cs="宋体"/>
                <w:bCs/>
                <w:sz w:val="24"/>
                <w:szCs w:val="24"/>
              </w:rPr>
              <w:t>通断频率≥</w:t>
            </w:r>
            <w:r>
              <w:rPr>
                <w:rFonts w:ascii="宋体" w:hAnsi="宋体" w:cs="宋体"/>
                <w:bCs/>
                <w:sz w:val="24"/>
                <w:szCs w:val="24"/>
              </w:rPr>
              <w:t>10Hz</w:t>
            </w:r>
          </w:p>
        </w:tc>
        <w:tc>
          <w:tcPr>
            <w:tcW w:w="1334" w:type="pct"/>
            <w:vAlign w:val="center"/>
          </w:tcPr>
          <w:p>
            <w:pPr>
              <w:pStyle w:val="70"/>
              <w:rPr>
                <w:rFonts w:ascii="宋体" w:hAnsi="宋体" w:cs="宋体"/>
                <w:sz w:val="24"/>
              </w:rPr>
            </w:pPr>
          </w:p>
        </w:tc>
        <w:tc>
          <w:tcPr>
            <w:tcW w:w="887" w:type="pct"/>
          </w:tcPr>
          <w:p>
            <w:pPr>
              <w:pStyle w:val="7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70"/>
              <w:rPr>
                <w:rFonts w:ascii="宋体" w:hAnsi="宋体" w:cs="宋体"/>
                <w:sz w:val="24"/>
                <w:szCs w:val="24"/>
              </w:rPr>
            </w:pPr>
            <w:r>
              <w:rPr>
                <w:rFonts w:hint="eastAsia" w:ascii="宋体" w:hAnsi="宋体" w:cs="宋体"/>
                <w:sz w:val="24"/>
                <w:szCs w:val="24"/>
              </w:rPr>
              <w:t>3</w:t>
            </w:r>
          </w:p>
        </w:tc>
        <w:tc>
          <w:tcPr>
            <w:tcW w:w="1905" w:type="pct"/>
            <w:vAlign w:val="center"/>
          </w:tcPr>
          <w:p>
            <w:pPr>
              <w:widowControl/>
              <w:jc w:val="left"/>
              <w:rPr>
                <w:rFonts w:ascii="宋体" w:hAnsi="宋体" w:cs="宋体"/>
                <w:bCs/>
                <w:sz w:val="24"/>
                <w:szCs w:val="24"/>
              </w:rPr>
            </w:pPr>
            <w:r>
              <w:rPr>
                <w:rFonts w:hint="eastAsia" w:ascii="宋体" w:hAnsi="宋体" w:cs="宋体"/>
                <w:bCs/>
                <w:sz w:val="24"/>
                <w:szCs w:val="24"/>
              </w:rPr>
              <w:t>直流稳压电源</w:t>
            </w:r>
          </w:p>
          <w:p>
            <w:pPr>
              <w:widowControl/>
              <w:jc w:val="left"/>
              <w:rPr>
                <w:rFonts w:ascii="宋体" w:hAnsi="宋体" w:cs="宋体"/>
                <w:bCs/>
                <w:sz w:val="24"/>
                <w:szCs w:val="24"/>
              </w:rPr>
            </w:pPr>
            <w:r>
              <w:rPr>
                <w:rFonts w:hint="eastAsia" w:ascii="宋体" w:hAnsi="宋体" w:cs="宋体"/>
                <w:bCs/>
                <w:sz w:val="24"/>
                <w:szCs w:val="24"/>
              </w:rPr>
              <w:t>电源规格及参数要求：</w:t>
            </w:r>
          </w:p>
          <w:p>
            <w:pPr>
              <w:widowControl/>
              <w:jc w:val="left"/>
              <w:rPr>
                <w:rFonts w:ascii="宋体" w:hAnsi="宋体" w:cs="宋体"/>
                <w:bCs/>
                <w:sz w:val="24"/>
                <w:szCs w:val="24"/>
              </w:rPr>
            </w:pPr>
            <w:r>
              <w:rPr>
                <w:rFonts w:hint="eastAsia" w:ascii="宋体" w:hAnsi="宋体" w:cs="宋体"/>
                <w:bCs/>
                <w:sz w:val="24"/>
                <w:szCs w:val="24"/>
              </w:rPr>
              <w:t>电源输出额定电压≥</w:t>
            </w:r>
            <w:r>
              <w:rPr>
                <w:rFonts w:ascii="宋体" w:hAnsi="宋体" w:cs="宋体"/>
                <w:bCs/>
                <w:sz w:val="24"/>
                <w:szCs w:val="24"/>
              </w:rPr>
              <w:t>30</w:t>
            </w:r>
            <w:r>
              <w:rPr>
                <w:rFonts w:hint="eastAsia" w:ascii="宋体" w:hAnsi="宋体" w:cs="宋体"/>
                <w:bCs/>
                <w:sz w:val="24"/>
                <w:szCs w:val="24"/>
              </w:rPr>
              <w:t xml:space="preserve">V </w:t>
            </w:r>
          </w:p>
          <w:p>
            <w:pPr>
              <w:widowControl/>
              <w:jc w:val="left"/>
              <w:rPr>
                <w:rFonts w:ascii="宋体" w:hAnsi="宋体" w:cs="宋体"/>
                <w:bCs/>
                <w:sz w:val="24"/>
                <w:szCs w:val="24"/>
              </w:rPr>
            </w:pPr>
            <w:r>
              <w:rPr>
                <w:rFonts w:hint="eastAsia" w:ascii="宋体" w:hAnsi="宋体" w:cs="宋体"/>
                <w:bCs/>
                <w:sz w:val="24"/>
                <w:szCs w:val="24"/>
              </w:rPr>
              <w:t>电源输出额定电流≥</w:t>
            </w:r>
            <w:r>
              <w:rPr>
                <w:rFonts w:ascii="宋体" w:hAnsi="宋体" w:cs="宋体"/>
                <w:bCs/>
                <w:sz w:val="24"/>
                <w:szCs w:val="24"/>
              </w:rPr>
              <w:t>80A</w:t>
            </w:r>
          </w:p>
          <w:p>
            <w:pPr>
              <w:widowControl/>
              <w:jc w:val="left"/>
              <w:rPr>
                <w:rFonts w:hint="eastAsia"/>
                <w:b/>
                <w:highlight w:val="yellow"/>
              </w:rPr>
            </w:pPr>
            <w:r>
              <w:rPr>
                <w:rFonts w:hint="eastAsia" w:ascii="宋体" w:hAnsi="宋体" w:cs="宋体"/>
                <w:b/>
                <w:sz w:val="24"/>
                <w:szCs w:val="24"/>
              </w:rPr>
              <w:t>电源供电使用</w:t>
            </w:r>
            <w:r>
              <w:rPr>
                <w:rFonts w:ascii="宋体" w:hAnsi="宋体" w:cs="宋体"/>
                <w:b/>
                <w:sz w:val="24"/>
                <w:szCs w:val="24"/>
              </w:rPr>
              <w:t>220</w:t>
            </w:r>
            <w:r>
              <w:rPr>
                <w:rFonts w:hint="eastAsia" w:ascii="宋体" w:hAnsi="宋体" w:cs="宋体"/>
                <w:b/>
                <w:sz w:val="24"/>
                <w:szCs w:val="24"/>
              </w:rPr>
              <w:t>V交流电</w:t>
            </w:r>
          </w:p>
        </w:tc>
        <w:tc>
          <w:tcPr>
            <w:tcW w:w="1334" w:type="pct"/>
            <w:vAlign w:val="center"/>
          </w:tcPr>
          <w:p>
            <w:pPr>
              <w:pStyle w:val="70"/>
              <w:rPr>
                <w:rFonts w:ascii="宋体" w:hAnsi="宋体" w:cs="宋体"/>
                <w:sz w:val="24"/>
              </w:rPr>
            </w:pPr>
          </w:p>
        </w:tc>
        <w:tc>
          <w:tcPr>
            <w:tcW w:w="887" w:type="pct"/>
          </w:tcPr>
          <w:p>
            <w:pPr>
              <w:pStyle w:val="7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exact"/>
        </w:trPr>
        <w:tc>
          <w:tcPr>
            <w:tcW w:w="874" w:type="pct"/>
            <w:vAlign w:val="center"/>
          </w:tcPr>
          <w:p>
            <w:pPr>
              <w:pStyle w:val="70"/>
              <w:rPr>
                <w:rFonts w:ascii="宋体" w:hAnsi="宋体" w:cs="宋体"/>
                <w:sz w:val="24"/>
                <w:szCs w:val="24"/>
              </w:rPr>
            </w:pPr>
            <w:r>
              <w:rPr>
                <w:rFonts w:hint="eastAsia" w:ascii="宋体" w:hAnsi="宋体" w:cs="宋体"/>
                <w:sz w:val="24"/>
                <w:szCs w:val="24"/>
              </w:rPr>
              <w:t>4</w:t>
            </w:r>
          </w:p>
        </w:tc>
        <w:tc>
          <w:tcPr>
            <w:tcW w:w="1905" w:type="pct"/>
            <w:vAlign w:val="center"/>
          </w:tcPr>
          <w:p>
            <w:pPr>
              <w:widowControl/>
              <w:jc w:val="left"/>
              <w:rPr>
                <w:rFonts w:ascii="宋体" w:hAnsi="宋体" w:cs="宋体"/>
                <w:kern w:val="0"/>
                <w:sz w:val="24"/>
                <w:szCs w:val="24"/>
              </w:rPr>
            </w:pPr>
            <w:r>
              <w:rPr>
                <w:rFonts w:hint="eastAsia" w:ascii="宋体" w:hAnsi="宋体" w:cs="宋体"/>
                <w:kern w:val="0"/>
                <w:sz w:val="24"/>
                <w:szCs w:val="24"/>
              </w:rPr>
              <w:t>通电电缆</w:t>
            </w:r>
          </w:p>
          <w:p>
            <w:pPr>
              <w:widowControl/>
              <w:jc w:val="left"/>
              <w:rPr>
                <w:rFonts w:hint="eastAsia" w:ascii="宋体" w:hAnsi="宋体" w:cs="宋体"/>
                <w:kern w:val="0"/>
                <w:sz w:val="24"/>
                <w:szCs w:val="24"/>
              </w:rPr>
            </w:pPr>
            <w:r>
              <w:rPr>
                <w:rFonts w:hint="eastAsia" w:ascii="宋体" w:hAnsi="宋体" w:cs="宋体"/>
                <w:bCs/>
                <w:kern w:val="0"/>
                <w:sz w:val="24"/>
                <w:szCs w:val="24"/>
              </w:rPr>
              <w:t>规格及参数要求：满足</w:t>
            </w:r>
            <w:r>
              <w:rPr>
                <w:rFonts w:hint="eastAsia" w:ascii="宋体" w:hAnsi="宋体" w:cs="宋体"/>
                <w:b/>
                <w:bCs/>
                <w:kern w:val="0"/>
                <w:sz w:val="24"/>
                <w:szCs w:val="24"/>
              </w:rPr>
              <w:t>直流稳压电源（1）</w:t>
            </w:r>
            <w:r>
              <w:rPr>
                <w:rFonts w:hint="eastAsia" w:ascii="宋体" w:hAnsi="宋体" w:cs="宋体"/>
                <w:bCs/>
                <w:kern w:val="0"/>
                <w:sz w:val="24"/>
                <w:szCs w:val="24"/>
              </w:rPr>
              <w:t>使用的参数要求，长度≥5m</w:t>
            </w:r>
          </w:p>
        </w:tc>
        <w:tc>
          <w:tcPr>
            <w:tcW w:w="1334" w:type="pct"/>
            <w:vAlign w:val="center"/>
          </w:tcPr>
          <w:p>
            <w:pPr>
              <w:widowControl/>
              <w:jc w:val="center"/>
              <w:textAlignment w:val="center"/>
              <w:rPr>
                <w:rFonts w:ascii="宋体" w:hAnsi="宋体" w:cs="宋体"/>
                <w:kern w:val="0"/>
                <w:sz w:val="24"/>
                <w:szCs w:val="24"/>
              </w:rPr>
            </w:pPr>
          </w:p>
        </w:tc>
        <w:tc>
          <w:tcPr>
            <w:tcW w:w="887" w:type="pct"/>
            <w:vAlign w:val="center"/>
          </w:tcPr>
          <w:p>
            <w:pPr>
              <w:widowControl/>
              <w:jc w:val="center"/>
              <w:textAlignment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70"/>
              <w:rPr>
                <w:rFonts w:ascii="宋体" w:hAnsi="宋体" w:cs="宋体"/>
                <w:sz w:val="24"/>
              </w:rPr>
            </w:pPr>
          </w:p>
        </w:tc>
        <w:tc>
          <w:tcPr>
            <w:tcW w:w="1905" w:type="pct"/>
          </w:tcPr>
          <w:p>
            <w:pPr>
              <w:widowControl/>
              <w:jc w:val="left"/>
              <w:rPr>
                <w:rFonts w:ascii="宋体" w:hAnsi="宋体" w:cs="宋体"/>
                <w:kern w:val="0"/>
                <w:sz w:val="24"/>
                <w:szCs w:val="24"/>
              </w:rPr>
            </w:pPr>
          </w:p>
        </w:tc>
        <w:tc>
          <w:tcPr>
            <w:tcW w:w="1334" w:type="pct"/>
          </w:tcPr>
          <w:p>
            <w:pPr>
              <w:widowControl/>
              <w:jc w:val="left"/>
              <w:rPr>
                <w:rFonts w:ascii="宋体" w:hAnsi="宋体" w:cs="宋体"/>
                <w:kern w:val="0"/>
                <w:sz w:val="24"/>
                <w:szCs w:val="24"/>
              </w:rPr>
            </w:pPr>
          </w:p>
        </w:tc>
        <w:tc>
          <w:tcPr>
            <w:tcW w:w="887" w:type="pct"/>
          </w:tcPr>
          <w:p>
            <w:pPr>
              <w:pStyle w:val="7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tcPr>
          <w:p>
            <w:pPr>
              <w:pStyle w:val="70"/>
              <w:rPr>
                <w:rFonts w:ascii="宋体" w:hAnsi="宋体" w:cs="宋体"/>
                <w:sz w:val="24"/>
              </w:rPr>
            </w:pPr>
          </w:p>
        </w:tc>
        <w:tc>
          <w:tcPr>
            <w:tcW w:w="1905" w:type="pct"/>
          </w:tcPr>
          <w:p>
            <w:pPr>
              <w:pStyle w:val="70"/>
              <w:rPr>
                <w:rFonts w:ascii="宋体" w:hAnsi="宋体" w:cs="宋体"/>
                <w:sz w:val="24"/>
              </w:rPr>
            </w:pPr>
          </w:p>
        </w:tc>
        <w:tc>
          <w:tcPr>
            <w:tcW w:w="1334" w:type="pct"/>
          </w:tcPr>
          <w:p>
            <w:pPr>
              <w:pStyle w:val="70"/>
              <w:rPr>
                <w:rFonts w:ascii="宋体" w:hAnsi="宋体" w:cs="宋体"/>
                <w:sz w:val="24"/>
              </w:rPr>
            </w:pPr>
          </w:p>
        </w:tc>
        <w:tc>
          <w:tcPr>
            <w:tcW w:w="887" w:type="pct"/>
          </w:tcPr>
          <w:p>
            <w:pPr>
              <w:pStyle w:val="7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70"/>
              <w:rPr>
                <w:rFonts w:ascii="宋体" w:hAnsi="宋体" w:cs="宋体"/>
                <w:sz w:val="24"/>
              </w:rPr>
            </w:pPr>
          </w:p>
        </w:tc>
        <w:tc>
          <w:tcPr>
            <w:tcW w:w="1905" w:type="pct"/>
          </w:tcPr>
          <w:p>
            <w:pPr>
              <w:pStyle w:val="70"/>
              <w:rPr>
                <w:rFonts w:ascii="宋体" w:hAnsi="宋体" w:cs="宋体"/>
                <w:sz w:val="24"/>
              </w:rPr>
            </w:pPr>
          </w:p>
        </w:tc>
        <w:tc>
          <w:tcPr>
            <w:tcW w:w="1334" w:type="pct"/>
          </w:tcPr>
          <w:p>
            <w:pPr>
              <w:pStyle w:val="70"/>
              <w:rPr>
                <w:rFonts w:ascii="宋体" w:hAnsi="宋体" w:cs="宋体"/>
                <w:sz w:val="24"/>
              </w:rPr>
            </w:pPr>
          </w:p>
        </w:tc>
        <w:tc>
          <w:tcPr>
            <w:tcW w:w="887" w:type="pct"/>
          </w:tcPr>
          <w:p>
            <w:pPr>
              <w:pStyle w:val="7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tcPr>
          <w:p>
            <w:pPr>
              <w:pStyle w:val="70"/>
              <w:rPr>
                <w:rFonts w:ascii="宋体" w:hAnsi="宋体" w:cs="宋体"/>
                <w:sz w:val="24"/>
              </w:rPr>
            </w:pPr>
          </w:p>
        </w:tc>
        <w:tc>
          <w:tcPr>
            <w:tcW w:w="1905" w:type="pct"/>
          </w:tcPr>
          <w:p>
            <w:pPr>
              <w:pStyle w:val="70"/>
              <w:rPr>
                <w:rFonts w:ascii="宋体" w:hAnsi="宋体" w:cs="宋体"/>
                <w:sz w:val="24"/>
              </w:rPr>
            </w:pPr>
          </w:p>
        </w:tc>
        <w:tc>
          <w:tcPr>
            <w:tcW w:w="1334" w:type="pct"/>
          </w:tcPr>
          <w:p>
            <w:pPr>
              <w:pStyle w:val="70"/>
              <w:rPr>
                <w:rFonts w:ascii="宋体" w:hAnsi="宋体" w:cs="宋体"/>
                <w:sz w:val="24"/>
              </w:rPr>
            </w:pPr>
          </w:p>
        </w:tc>
        <w:tc>
          <w:tcPr>
            <w:tcW w:w="887" w:type="pct"/>
          </w:tcPr>
          <w:p>
            <w:pPr>
              <w:pStyle w:val="7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70"/>
              <w:rPr>
                <w:rFonts w:ascii="宋体" w:hAnsi="宋体" w:cs="宋体"/>
                <w:sz w:val="24"/>
              </w:rPr>
            </w:pPr>
          </w:p>
        </w:tc>
        <w:tc>
          <w:tcPr>
            <w:tcW w:w="1905" w:type="pct"/>
          </w:tcPr>
          <w:p>
            <w:pPr>
              <w:pStyle w:val="70"/>
              <w:rPr>
                <w:rFonts w:ascii="宋体" w:hAnsi="宋体" w:cs="宋体"/>
                <w:sz w:val="24"/>
              </w:rPr>
            </w:pPr>
          </w:p>
        </w:tc>
        <w:tc>
          <w:tcPr>
            <w:tcW w:w="1334" w:type="pct"/>
          </w:tcPr>
          <w:p>
            <w:pPr>
              <w:pStyle w:val="70"/>
              <w:rPr>
                <w:rFonts w:ascii="宋体" w:hAnsi="宋体" w:cs="宋体"/>
                <w:sz w:val="24"/>
              </w:rPr>
            </w:pPr>
          </w:p>
        </w:tc>
        <w:tc>
          <w:tcPr>
            <w:tcW w:w="887" w:type="pct"/>
          </w:tcPr>
          <w:p>
            <w:pPr>
              <w:pStyle w:val="7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70"/>
              <w:rPr>
                <w:rFonts w:ascii="宋体" w:hAnsi="宋体" w:cs="宋体"/>
                <w:sz w:val="24"/>
              </w:rPr>
            </w:pPr>
          </w:p>
        </w:tc>
        <w:tc>
          <w:tcPr>
            <w:tcW w:w="1905" w:type="pct"/>
          </w:tcPr>
          <w:p>
            <w:pPr>
              <w:pStyle w:val="70"/>
              <w:rPr>
                <w:rFonts w:ascii="宋体" w:hAnsi="宋体" w:cs="宋体"/>
                <w:sz w:val="24"/>
              </w:rPr>
            </w:pPr>
          </w:p>
        </w:tc>
        <w:tc>
          <w:tcPr>
            <w:tcW w:w="1334" w:type="pct"/>
          </w:tcPr>
          <w:p>
            <w:pPr>
              <w:pStyle w:val="70"/>
              <w:rPr>
                <w:rFonts w:ascii="宋体" w:hAnsi="宋体" w:cs="宋体"/>
                <w:sz w:val="24"/>
              </w:rPr>
            </w:pPr>
          </w:p>
        </w:tc>
        <w:tc>
          <w:tcPr>
            <w:tcW w:w="887" w:type="pct"/>
          </w:tcPr>
          <w:p>
            <w:pPr>
              <w:pStyle w:val="7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70"/>
              <w:rPr>
                <w:rFonts w:ascii="宋体" w:hAnsi="宋体" w:cs="宋体"/>
                <w:sz w:val="24"/>
              </w:rPr>
            </w:pPr>
          </w:p>
        </w:tc>
        <w:tc>
          <w:tcPr>
            <w:tcW w:w="1905" w:type="pct"/>
          </w:tcPr>
          <w:p>
            <w:pPr>
              <w:pStyle w:val="70"/>
              <w:rPr>
                <w:rFonts w:ascii="宋体" w:hAnsi="宋体" w:cs="宋体"/>
                <w:sz w:val="24"/>
              </w:rPr>
            </w:pPr>
          </w:p>
        </w:tc>
        <w:tc>
          <w:tcPr>
            <w:tcW w:w="1334" w:type="pct"/>
          </w:tcPr>
          <w:p>
            <w:pPr>
              <w:pStyle w:val="70"/>
              <w:rPr>
                <w:rFonts w:ascii="宋体" w:hAnsi="宋体" w:cs="宋体"/>
                <w:sz w:val="24"/>
              </w:rPr>
            </w:pPr>
          </w:p>
        </w:tc>
        <w:tc>
          <w:tcPr>
            <w:tcW w:w="887" w:type="pct"/>
          </w:tcPr>
          <w:p>
            <w:pPr>
              <w:pStyle w:val="70"/>
              <w:rPr>
                <w:rFonts w:ascii="宋体" w:hAnsi="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b/>
          <w:bCs/>
          <w:color w:val="000000"/>
          <w:sz w:val="28"/>
        </w:rPr>
      </w:pPr>
    </w:p>
    <w:p>
      <w:pPr>
        <w:rPr>
          <w:rFonts w:ascii="宋体" w:hAnsi="宋体" w:cs="宋体"/>
          <w:b/>
          <w:bCs/>
          <w:color w:val="000000"/>
          <w:sz w:val="28"/>
        </w:rPr>
        <w:sectPr>
          <w:footerReference r:id="rId10" w:type="first"/>
          <w:footerReference r:id="rId9" w:type="default"/>
          <w:pgSz w:w="11906" w:h="16838"/>
          <w:pgMar w:top="1588" w:right="1418" w:bottom="1134" w:left="1418" w:header="851" w:footer="992" w:gutter="0"/>
          <w:pgNumType w:fmt="numberInDash"/>
          <w:cols w:space="720" w:num="1"/>
          <w:titlePg/>
          <w:docGrid w:type="lines" w:linePitch="312" w:charSpace="0"/>
        </w:sectPr>
      </w:pPr>
    </w:p>
    <w:p>
      <w:pPr>
        <w:pStyle w:val="72"/>
        <w:rPr>
          <w:rFonts w:ascii="宋体" w:hAnsi="宋体" w:cs="宋体"/>
        </w:rPr>
      </w:pPr>
      <w:r>
        <w:rPr>
          <w:rFonts w:hint="eastAsia" w:ascii="宋体" w:hAnsi="宋体" w:cs="宋体"/>
        </w:rPr>
        <w:t>附件5 近三年同类项目业绩一览表</w:t>
      </w:r>
    </w:p>
    <w:p>
      <w:pPr>
        <w:pStyle w:val="66"/>
        <w:ind w:firstLine="480"/>
        <w:rPr>
          <w:rFonts w:cs="宋体"/>
        </w:rPr>
      </w:pPr>
      <w:r>
        <w:rPr>
          <w:rFonts w:hint="eastAsia"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72"/>
        <w:rPr>
          <w:rFonts w:ascii="宋体" w:hAnsi="宋体" w:cs="宋体"/>
        </w:rPr>
      </w:pPr>
      <w:r>
        <w:rPr>
          <w:rFonts w:hint="eastAsia" w:ascii="宋体" w:hAnsi="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72"/>
        <w:rPr>
          <w:rFonts w:ascii="宋体" w:hAnsi="宋体" w:cs="宋体"/>
        </w:rPr>
      </w:pPr>
      <w:r>
        <w:rPr>
          <w:rFonts w:hint="eastAsia" w:ascii="宋体" w:hAnsi="宋体" w:cs="宋体"/>
        </w:rPr>
        <w:t>附件7 开标一览表</w:t>
      </w:r>
    </w:p>
    <w:p>
      <w:pPr>
        <w:pStyle w:val="66"/>
        <w:ind w:firstLine="482"/>
        <w:rPr>
          <w:rFonts w:cs="宋体"/>
          <w:b/>
        </w:rPr>
      </w:pPr>
      <w:r>
        <w:rPr>
          <w:rFonts w:hint="eastAsia" w:cs="宋体"/>
          <w:b/>
        </w:rPr>
        <w:t>《开标一览表》单独封存，以备唱标使用</w:t>
      </w:r>
    </w:p>
    <w:p>
      <w:pPr>
        <w:pStyle w:val="66"/>
        <w:ind w:firstLine="480"/>
        <w:rPr>
          <w:rFonts w:cs="宋体"/>
        </w:rPr>
      </w:pPr>
      <w:r>
        <w:rPr>
          <w:rFonts w:hint="eastAsia" w:cs="宋体"/>
        </w:rPr>
        <w:t>项目名称：</w:t>
      </w:r>
    </w:p>
    <w:tbl>
      <w:tblPr>
        <w:tblStyle w:val="32"/>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395"/>
        <w:gridCol w:w="1055"/>
        <w:gridCol w:w="791"/>
        <w:gridCol w:w="672"/>
        <w:gridCol w:w="1205"/>
        <w:gridCol w:w="1543"/>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70"/>
              <w:rPr>
                <w:rFonts w:ascii="宋体" w:hAnsi="宋体" w:cs="宋体"/>
              </w:rPr>
            </w:pPr>
            <w:r>
              <w:rPr>
                <w:rFonts w:hint="eastAsia" w:ascii="宋体" w:hAnsi="宋体" w:cs="宋体"/>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5" w:type="pct"/>
            <w:vAlign w:val="center"/>
          </w:tcPr>
          <w:p>
            <w:pPr>
              <w:pStyle w:val="70"/>
              <w:rPr>
                <w:rFonts w:ascii="宋体" w:hAnsi="宋体" w:cs="宋体"/>
              </w:rPr>
            </w:pPr>
            <w:r>
              <w:rPr>
                <w:rFonts w:hint="eastAsia" w:ascii="宋体" w:hAnsi="宋体" w:cs="宋体"/>
              </w:rPr>
              <w:t>序号</w:t>
            </w:r>
          </w:p>
        </w:tc>
        <w:tc>
          <w:tcPr>
            <w:tcW w:w="751" w:type="pct"/>
            <w:vAlign w:val="center"/>
          </w:tcPr>
          <w:p>
            <w:pPr>
              <w:pStyle w:val="70"/>
              <w:rPr>
                <w:rFonts w:ascii="宋体" w:hAnsi="宋体" w:cs="宋体"/>
              </w:rPr>
            </w:pPr>
            <w:r>
              <w:rPr>
                <w:rFonts w:hint="eastAsia" w:ascii="宋体" w:hAnsi="宋体" w:cs="宋体"/>
              </w:rPr>
              <w:t>项目名称</w:t>
            </w:r>
          </w:p>
        </w:tc>
        <w:tc>
          <w:tcPr>
            <w:tcW w:w="568" w:type="pct"/>
            <w:vAlign w:val="center"/>
          </w:tcPr>
          <w:p>
            <w:pPr>
              <w:pStyle w:val="70"/>
              <w:rPr>
                <w:rFonts w:ascii="宋体" w:hAnsi="宋体" w:cs="宋体"/>
              </w:rPr>
            </w:pPr>
            <w:r>
              <w:rPr>
                <w:rFonts w:hint="eastAsia" w:ascii="宋体" w:hAnsi="宋体" w:cs="宋体"/>
              </w:rPr>
              <w:t>投标总价</w:t>
            </w:r>
          </w:p>
          <w:p>
            <w:pPr>
              <w:pStyle w:val="70"/>
              <w:rPr>
                <w:rFonts w:ascii="宋体" w:hAnsi="宋体" w:cs="宋体"/>
              </w:rPr>
            </w:pPr>
            <w:r>
              <w:rPr>
                <w:rFonts w:hint="eastAsia" w:ascii="宋体" w:hAnsi="宋体" w:cs="宋体"/>
              </w:rPr>
              <w:t>（元）</w:t>
            </w:r>
          </w:p>
        </w:tc>
        <w:tc>
          <w:tcPr>
            <w:tcW w:w="426" w:type="pct"/>
            <w:vAlign w:val="center"/>
          </w:tcPr>
          <w:p>
            <w:pPr>
              <w:pStyle w:val="70"/>
              <w:rPr>
                <w:rFonts w:ascii="宋体" w:hAnsi="宋体" w:cs="宋体"/>
                <w:szCs w:val="21"/>
              </w:rPr>
            </w:pPr>
            <w:r>
              <w:rPr>
                <w:rFonts w:hint="eastAsia" w:ascii="宋体" w:hAnsi="宋体" w:cs="宋体"/>
                <w:szCs w:val="21"/>
              </w:rPr>
              <w:t>不含税价</w:t>
            </w:r>
          </w:p>
        </w:tc>
        <w:tc>
          <w:tcPr>
            <w:tcW w:w="362" w:type="pct"/>
            <w:vAlign w:val="center"/>
          </w:tcPr>
          <w:p>
            <w:pPr>
              <w:pStyle w:val="70"/>
              <w:rPr>
                <w:rFonts w:ascii="宋体" w:hAnsi="宋体" w:cs="宋体"/>
                <w:szCs w:val="21"/>
              </w:rPr>
            </w:pPr>
            <w:r>
              <w:rPr>
                <w:rFonts w:hint="eastAsia" w:ascii="宋体" w:hAnsi="宋体" w:cs="宋体"/>
                <w:szCs w:val="21"/>
              </w:rPr>
              <w:t>税率</w:t>
            </w:r>
          </w:p>
        </w:tc>
        <w:tc>
          <w:tcPr>
            <w:tcW w:w="649" w:type="pct"/>
            <w:vAlign w:val="center"/>
          </w:tcPr>
          <w:p>
            <w:pPr>
              <w:pStyle w:val="70"/>
              <w:rPr>
                <w:rFonts w:ascii="宋体" w:hAnsi="宋体" w:cs="宋体"/>
              </w:rPr>
            </w:pPr>
            <w:r>
              <w:rPr>
                <w:rFonts w:hint="eastAsia" w:ascii="宋体" w:hAnsi="宋体" w:cs="宋体"/>
              </w:rPr>
              <w:t>质保期</w:t>
            </w:r>
          </w:p>
          <w:p>
            <w:pPr>
              <w:pStyle w:val="70"/>
              <w:rPr>
                <w:rFonts w:ascii="宋体" w:hAnsi="宋体" w:cs="宋体"/>
              </w:rPr>
            </w:pPr>
            <w:r>
              <w:rPr>
                <w:rFonts w:hint="eastAsia" w:ascii="宋体" w:hAnsi="宋体" w:cs="宋体"/>
              </w:rPr>
              <w:t>（若有）</w:t>
            </w:r>
          </w:p>
        </w:tc>
        <w:tc>
          <w:tcPr>
            <w:tcW w:w="831" w:type="pct"/>
            <w:vAlign w:val="center"/>
          </w:tcPr>
          <w:p>
            <w:pPr>
              <w:pStyle w:val="70"/>
              <w:rPr>
                <w:rFonts w:ascii="宋体" w:hAnsi="宋体" w:cs="宋体"/>
              </w:rPr>
            </w:pPr>
            <w:r>
              <w:rPr>
                <w:rFonts w:hint="eastAsia" w:ascii="宋体" w:hAnsi="宋体" w:cs="宋体"/>
              </w:rPr>
              <w:t>付款方式及比例如何响应</w:t>
            </w:r>
          </w:p>
        </w:tc>
        <w:tc>
          <w:tcPr>
            <w:tcW w:w="1117" w:type="pct"/>
            <w:vAlign w:val="center"/>
          </w:tcPr>
          <w:p>
            <w:pPr>
              <w:pStyle w:val="70"/>
              <w:rPr>
                <w:rFonts w:ascii="宋体" w:hAnsi="宋体" w:cs="宋体"/>
              </w:rPr>
            </w:pPr>
            <w:r>
              <w:rPr>
                <w:rFonts w:hint="eastAsia" w:ascii="宋体" w:hAnsi="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70"/>
              <w:rPr>
                <w:rFonts w:ascii="宋体" w:hAnsi="宋体" w:cs="宋体"/>
              </w:rPr>
            </w:pPr>
            <w:r>
              <w:rPr>
                <w:rFonts w:hint="eastAsia" w:ascii="宋体" w:hAnsi="宋体" w:cs="宋体"/>
              </w:rPr>
              <w:t>1</w:t>
            </w:r>
          </w:p>
        </w:tc>
        <w:tc>
          <w:tcPr>
            <w:tcW w:w="751" w:type="pct"/>
            <w:vAlign w:val="center"/>
          </w:tcPr>
          <w:p>
            <w:pPr>
              <w:widowControl/>
              <w:jc w:val="left"/>
              <w:rPr>
                <w:rFonts w:ascii="宋体" w:hAnsi="宋体" w:cs="宋体"/>
                <w:b/>
              </w:rPr>
            </w:pPr>
            <w:r>
              <w:rPr>
                <w:rFonts w:hint="eastAsia" w:ascii="宋体" w:hAnsi="宋体" w:cs="宋体"/>
                <w:b/>
              </w:rPr>
              <w:t>产品试验检测中心直流稳压电源采购招标项目</w:t>
            </w:r>
          </w:p>
        </w:tc>
        <w:tc>
          <w:tcPr>
            <w:tcW w:w="568" w:type="pct"/>
            <w:vAlign w:val="center"/>
          </w:tcPr>
          <w:p>
            <w:pPr>
              <w:pStyle w:val="70"/>
              <w:rPr>
                <w:rFonts w:ascii="宋体" w:hAnsi="宋体" w:cs="宋体"/>
              </w:rPr>
            </w:pPr>
          </w:p>
        </w:tc>
        <w:tc>
          <w:tcPr>
            <w:tcW w:w="426" w:type="pct"/>
            <w:vAlign w:val="center"/>
          </w:tcPr>
          <w:p>
            <w:pPr>
              <w:pStyle w:val="70"/>
              <w:rPr>
                <w:rFonts w:ascii="宋体" w:hAnsi="宋体" w:cs="宋体"/>
              </w:rPr>
            </w:pPr>
          </w:p>
        </w:tc>
        <w:tc>
          <w:tcPr>
            <w:tcW w:w="362" w:type="pct"/>
            <w:vAlign w:val="center"/>
          </w:tcPr>
          <w:p>
            <w:pPr>
              <w:pStyle w:val="70"/>
              <w:rPr>
                <w:rFonts w:ascii="宋体" w:hAnsi="宋体" w:cs="宋体"/>
              </w:rPr>
            </w:pPr>
          </w:p>
        </w:tc>
        <w:tc>
          <w:tcPr>
            <w:tcW w:w="649" w:type="pct"/>
            <w:vAlign w:val="center"/>
          </w:tcPr>
          <w:p>
            <w:pPr>
              <w:pStyle w:val="70"/>
              <w:rPr>
                <w:rFonts w:ascii="宋体" w:hAnsi="宋体" w:cs="宋体"/>
              </w:rPr>
            </w:pPr>
          </w:p>
        </w:tc>
        <w:tc>
          <w:tcPr>
            <w:tcW w:w="831" w:type="pct"/>
            <w:vAlign w:val="center"/>
          </w:tcPr>
          <w:p>
            <w:pPr>
              <w:pStyle w:val="70"/>
              <w:rPr>
                <w:rFonts w:ascii="宋体" w:hAnsi="宋体" w:cs="宋体"/>
              </w:rPr>
            </w:pPr>
          </w:p>
        </w:tc>
        <w:tc>
          <w:tcPr>
            <w:tcW w:w="1117" w:type="pct"/>
            <w:vAlign w:val="center"/>
          </w:tcPr>
          <w:p>
            <w:pPr>
              <w:pStyle w:val="7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70"/>
              <w:jc w:val="both"/>
              <w:rPr>
                <w:rFonts w:ascii="宋体" w:hAnsi="宋体" w:cs="宋体"/>
              </w:rPr>
            </w:pPr>
          </w:p>
        </w:tc>
        <w:tc>
          <w:tcPr>
            <w:tcW w:w="751" w:type="pct"/>
            <w:vAlign w:val="center"/>
          </w:tcPr>
          <w:p>
            <w:pPr>
              <w:widowControl/>
              <w:jc w:val="left"/>
              <w:rPr>
                <w:rFonts w:ascii="宋体" w:hAnsi="宋体" w:cs="宋体"/>
                <w:b/>
              </w:rPr>
            </w:pPr>
          </w:p>
        </w:tc>
        <w:tc>
          <w:tcPr>
            <w:tcW w:w="568" w:type="pct"/>
            <w:vAlign w:val="center"/>
          </w:tcPr>
          <w:p>
            <w:pPr>
              <w:pStyle w:val="70"/>
              <w:rPr>
                <w:rFonts w:ascii="宋体" w:hAnsi="宋体" w:cs="宋体"/>
              </w:rPr>
            </w:pPr>
          </w:p>
        </w:tc>
        <w:tc>
          <w:tcPr>
            <w:tcW w:w="426" w:type="pct"/>
            <w:vAlign w:val="center"/>
          </w:tcPr>
          <w:p>
            <w:pPr>
              <w:pStyle w:val="70"/>
              <w:rPr>
                <w:rFonts w:ascii="宋体" w:hAnsi="宋体" w:cs="宋体"/>
              </w:rPr>
            </w:pPr>
          </w:p>
        </w:tc>
        <w:tc>
          <w:tcPr>
            <w:tcW w:w="362" w:type="pct"/>
            <w:vAlign w:val="center"/>
          </w:tcPr>
          <w:p>
            <w:pPr>
              <w:pStyle w:val="70"/>
              <w:rPr>
                <w:rFonts w:ascii="宋体" w:hAnsi="宋体" w:cs="宋体"/>
              </w:rPr>
            </w:pPr>
          </w:p>
        </w:tc>
        <w:tc>
          <w:tcPr>
            <w:tcW w:w="649" w:type="pct"/>
            <w:vAlign w:val="center"/>
          </w:tcPr>
          <w:p>
            <w:pPr>
              <w:pStyle w:val="70"/>
              <w:rPr>
                <w:rFonts w:ascii="宋体" w:hAnsi="宋体" w:cs="宋体"/>
              </w:rPr>
            </w:pPr>
          </w:p>
        </w:tc>
        <w:tc>
          <w:tcPr>
            <w:tcW w:w="831" w:type="pct"/>
            <w:vAlign w:val="center"/>
          </w:tcPr>
          <w:p>
            <w:pPr>
              <w:pStyle w:val="70"/>
              <w:rPr>
                <w:rFonts w:ascii="宋体" w:hAnsi="宋体" w:cs="宋体"/>
              </w:rPr>
            </w:pPr>
          </w:p>
        </w:tc>
        <w:tc>
          <w:tcPr>
            <w:tcW w:w="1117" w:type="pct"/>
            <w:vAlign w:val="center"/>
          </w:tcPr>
          <w:p>
            <w:pPr>
              <w:pStyle w:val="7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5" w:type="pct"/>
            <w:vAlign w:val="center"/>
          </w:tcPr>
          <w:p>
            <w:pPr>
              <w:pStyle w:val="70"/>
              <w:rPr>
                <w:rFonts w:ascii="宋体" w:hAnsi="宋体" w:cs="宋体"/>
              </w:rPr>
            </w:pPr>
            <w:r>
              <w:rPr>
                <w:rFonts w:hint="eastAsia" w:ascii="宋体" w:hAnsi="宋体" w:cs="宋体"/>
              </w:rPr>
              <w:t>2</w:t>
            </w:r>
          </w:p>
        </w:tc>
        <w:tc>
          <w:tcPr>
            <w:tcW w:w="751" w:type="pct"/>
            <w:vAlign w:val="center"/>
          </w:tcPr>
          <w:p>
            <w:pPr>
              <w:pStyle w:val="70"/>
              <w:rPr>
                <w:rFonts w:ascii="宋体" w:hAnsi="宋体" w:cs="宋体"/>
              </w:rPr>
            </w:pPr>
            <w:r>
              <w:rPr>
                <w:rFonts w:hint="eastAsia" w:ascii="宋体" w:hAnsi="宋体" w:cs="宋体"/>
              </w:rPr>
              <w:t>合计</w:t>
            </w:r>
          </w:p>
        </w:tc>
        <w:tc>
          <w:tcPr>
            <w:tcW w:w="3953" w:type="pct"/>
            <w:gridSpan w:val="6"/>
            <w:vAlign w:val="center"/>
          </w:tcPr>
          <w:p>
            <w:pPr>
              <w:pStyle w:val="70"/>
              <w:rPr>
                <w:rFonts w:ascii="宋体" w:hAnsi="宋体" w:cs="宋体"/>
              </w:rPr>
            </w:pPr>
          </w:p>
        </w:tc>
      </w:tr>
    </w:tbl>
    <w:p>
      <w:pPr>
        <w:pStyle w:val="66"/>
        <w:ind w:firstLine="0" w:firstLineChars="0"/>
        <w:rPr>
          <w:rFonts w:cs="宋体"/>
          <w:szCs w:val="21"/>
        </w:rPr>
      </w:pPr>
      <w:r>
        <w:rPr>
          <w:rFonts w:hint="eastAsia"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cols w:space="720" w:num="1"/>
          <w:titlePg/>
          <w:docGrid w:type="lines" w:linePitch="312" w:charSpace="0"/>
        </w:sectPr>
      </w:pPr>
    </w:p>
    <w:p>
      <w:pPr>
        <w:pStyle w:val="72"/>
        <w:rPr>
          <w:rFonts w:ascii="宋体" w:hAnsi="宋体" w:cs="宋体"/>
        </w:rPr>
      </w:pPr>
      <w:bookmarkStart w:id="9" w:name="_Toc639008"/>
      <w:bookmarkStart w:id="10" w:name="_Toc353881017"/>
      <w:bookmarkStart w:id="11" w:name="_Toc26556"/>
      <w:r>
        <w:rPr>
          <w:rFonts w:hint="eastAsia" w:ascii="宋体" w:hAnsi="宋体" w:cs="宋体"/>
        </w:rPr>
        <w:t>附件8 投标报价明细表</w:t>
      </w:r>
      <w:bookmarkEnd w:id="9"/>
      <w:bookmarkEnd w:id="10"/>
      <w:bookmarkEnd w:id="11"/>
    </w:p>
    <w:p>
      <w:pPr>
        <w:pStyle w:val="66"/>
        <w:ind w:firstLine="480"/>
        <w:rPr>
          <w:rFonts w:cs="宋体"/>
        </w:rPr>
      </w:pPr>
      <w:r>
        <w:rPr>
          <w:rFonts w:hint="eastAsia" w:cs="宋体"/>
        </w:rPr>
        <w:t>项目名称：</w:t>
      </w:r>
    </w:p>
    <w:tbl>
      <w:tblPr>
        <w:tblStyle w:val="32"/>
        <w:tblW w:w="9493" w:type="dxa"/>
        <w:tblInd w:w="0" w:type="dxa"/>
        <w:tblLayout w:type="fixed"/>
        <w:tblCellMar>
          <w:top w:w="0" w:type="dxa"/>
          <w:left w:w="108" w:type="dxa"/>
          <w:bottom w:w="0" w:type="dxa"/>
          <w:right w:w="108" w:type="dxa"/>
        </w:tblCellMar>
      </w:tblPr>
      <w:tblGrid>
        <w:gridCol w:w="636"/>
        <w:gridCol w:w="1627"/>
        <w:gridCol w:w="3119"/>
        <w:gridCol w:w="709"/>
        <w:gridCol w:w="1134"/>
        <w:gridCol w:w="1134"/>
        <w:gridCol w:w="1134"/>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设备名称</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bCs/>
                <w:sz w:val="18"/>
                <w:szCs w:val="18"/>
              </w:rPr>
            </w:pPr>
            <w:r>
              <w:rPr>
                <w:rFonts w:hint="eastAsia" w:ascii="宋体" w:hAnsi="宋体" w:cs="宋体"/>
                <w:bCs/>
                <w:sz w:val="18"/>
                <w:szCs w:val="18"/>
              </w:rPr>
              <w:t>直流稳压电源</w:t>
            </w:r>
          </w:p>
        </w:tc>
        <w:tc>
          <w:tcPr>
            <w:tcW w:w="3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cs="宋体"/>
                <w:bCs/>
                <w:sz w:val="18"/>
                <w:szCs w:val="18"/>
              </w:rPr>
            </w:pPr>
            <w:r>
              <w:rPr>
                <w:rFonts w:hint="eastAsia" w:ascii="宋体" w:hAnsi="宋体" w:cs="宋体"/>
                <w:bCs/>
                <w:sz w:val="18"/>
                <w:szCs w:val="18"/>
              </w:rPr>
              <w:t>电源规格及参数要求：</w:t>
            </w:r>
          </w:p>
          <w:p>
            <w:pPr>
              <w:widowControl/>
              <w:jc w:val="left"/>
              <w:rPr>
                <w:rFonts w:ascii="宋体" w:hAnsi="宋体" w:cs="宋体"/>
                <w:bCs/>
                <w:sz w:val="18"/>
                <w:szCs w:val="18"/>
              </w:rPr>
            </w:pPr>
            <w:r>
              <w:rPr>
                <w:rFonts w:hint="eastAsia" w:ascii="宋体" w:hAnsi="宋体" w:cs="宋体"/>
                <w:bCs/>
                <w:sz w:val="18"/>
                <w:szCs w:val="18"/>
              </w:rPr>
              <w:t xml:space="preserve">电源输出额定电压≥60V </w:t>
            </w:r>
          </w:p>
          <w:p>
            <w:pPr>
              <w:pStyle w:val="70"/>
              <w:jc w:val="both"/>
              <w:rPr>
                <w:rFonts w:ascii="宋体" w:hAnsi="宋体" w:cs="宋体"/>
                <w:b w:val="0"/>
                <w:bCs/>
                <w:sz w:val="18"/>
                <w:szCs w:val="18"/>
              </w:rPr>
            </w:pPr>
            <w:r>
              <w:rPr>
                <w:rFonts w:hint="eastAsia" w:ascii="宋体" w:hAnsi="宋体" w:cs="宋体"/>
                <w:b w:val="0"/>
                <w:bCs/>
                <w:sz w:val="18"/>
                <w:szCs w:val="18"/>
              </w:rPr>
              <w:t>电源输出额定电流≥</w:t>
            </w:r>
            <w:r>
              <w:rPr>
                <w:rFonts w:ascii="宋体" w:hAnsi="宋体" w:cs="宋体"/>
                <w:b w:val="0"/>
                <w:bCs/>
                <w:sz w:val="18"/>
                <w:szCs w:val="18"/>
              </w:rPr>
              <w:t>260A</w:t>
            </w:r>
          </w:p>
          <w:p>
            <w:pPr>
              <w:pStyle w:val="70"/>
              <w:jc w:val="left"/>
              <w:rPr>
                <w:rFonts w:ascii="宋体" w:hAnsi="宋体" w:cs="宋体"/>
                <w:b w:val="0"/>
                <w:bCs/>
                <w:sz w:val="18"/>
                <w:szCs w:val="18"/>
              </w:rPr>
            </w:pPr>
            <w:r>
              <w:rPr>
                <w:rFonts w:hint="eastAsia" w:ascii="宋体" w:hAnsi="宋体" w:cs="宋体"/>
                <w:sz w:val="18"/>
                <w:szCs w:val="18"/>
              </w:rPr>
              <w:t>电源供电使用3</w:t>
            </w:r>
            <w:r>
              <w:rPr>
                <w:rFonts w:ascii="宋体" w:hAnsi="宋体" w:cs="宋体"/>
                <w:sz w:val="18"/>
                <w:szCs w:val="18"/>
              </w:rPr>
              <w:t>80</w:t>
            </w:r>
            <w:r>
              <w:rPr>
                <w:rFonts w:hint="eastAsia" w:ascii="宋体" w:hAnsi="宋体" w:cs="宋体"/>
                <w:sz w:val="18"/>
                <w:szCs w:val="18"/>
              </w:rPr>
              <w:t>V交流电</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2</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bCs/>
                <w:sz w:val="18"/>
                <w:szCs w:val="18"/>
              </w:rPr>
            </w:pPr>
            <w:r>
              <w:rPr>
                <w:rFonts w:hint="eastAsia" w:ascii="宋体" w:hAnsi="宋体" w:cs="宋体"/>
                <w:bCs/>
                <w:sz w:val="18"/>
                <w:szCs w:val="18"/>
              </w:rPr>
              <w:t>MOS 管</w:t>
            </w:r>
          </w:p>
        </w:tc>
        <w:tc>
          <w:tcPr>
            <w:tcW w:w="3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cs="宋体"/>
                <w:bCs/>
                <w:sz w:val="18"/>
                <w:szCs w:val="18"/>
              </w:rPr>
            </w:pPr>
            <w:r>
              <w:rPr>
                <w:rFonts w:hint="eastAsia" w:ascii="宋体" w:hAnsi="宋体" w:cs="宋体"/>
                <w:bCs/>
                <w:sz w:val="18"/>
                <w:szCs w:val="18"/>
              </w:rPr>
              <w:t>电源规格及参数要求：</w:t>
            </w:r>
          </w:p>
          <w:p>
            <w:pPr>
              <w:widowControl/>
              <w:jc w:val="left"/>
              <w:rPr>
                <w:rFonts w:ascii="宋体" w:hAnsi="宋体" w:cs="宋体"/>
                <w:bCs/>
                <w:sz w:val="18"/>
                <w:szCs w:val="18"/>
              </w:rPr>
            </w:pPr>
            <w:r>
              <w:rPr>
                <w:rFonts w:hint="eastAsia" w:ascii="宋体" w:hAnsi="宋体" w:cs="宋体"/>
                <w:bCs/>
                <w:sz w:val="18"/>
                <w:szCs w:val="18"/>
              </w:rPr>
              <w:t xml:space="preserve">额定电压≥60V </w:t>
            </w:r>
          </w:p>
          <w:p>
            <w:pPr>
              <w:widowControl/>
              <w:jc w:val="left"/>
              <w:rPr>
                <w:rFonts w:ascii="宋体" w:hAnsi="宋体" w:cs="宋体"/>
                <w:bCs/>
                <w:sz w:val="18"/>
                <w:szCs w:val="18"/>
              </w:rPr>
            </w:pPr>
            <w:r>
              <w:rPr>
                <w:rFonts w:hint="eastAsia" w:ascii="宋体" w:hAnsi="宋体" w:cs="宋体"/>
                <w:bCs/>
                <w:sz w:val="18"/>
                <w:szCs w:val="18"/>
              </w:rPr>
              <w:t>额定电流≥</w:t>
            </w:r>
            <w:r>
              <w:rPr>
                <w:rFonts w:ascii="宋体" w:hAnsi="宋体" w:cs="宋体"/>
                <w:bCs/>
                <w:sz w:val="18"/>
                <w:szCs w:val="18"/>
              </w:rPr>
              <w:t xml:space="preserve">260A </w:t>
            </w:r>
          </w:p>
          <w:p>
            <w:pPr>
              <w:pStyle w:val="70"/>
              <w:jc w:val="left"/>
              <w:rPr>
                <w:rFonts w:ascii="宋体" w:hAnsi="宋体" w:cs="宋体"/>
                <w:b w:val="0"/>
                <w:bCs/>
                <w:sz w:val="18"/>
                <w:szCs w:val="18"/>
              </w:rPr>
            </w:pPr>
            <w:r>
              <w:rPr>
                <w:rFonts w:hint="eastAsia" w:ascii="宋体" w:hAnsi="宋体" w:cs="宋体"/>
                <w:b w:val="0"/>
                <w:bCs/>
                <w:sz w:val="18"/>
                <w:szCs w:val="18"/>
              </w:rPr>
              <w:t>通断频率≥</w:t>
            </w:r>
            <w:r>
              <w:rPr>
                <w:rFonts w:ascii="宋体" w:hAnsi="宋体" w:cs="宋体"/>
                <w:b w:val="0"/>
                <w:bCs/>
                <w:sz w:val="18"/>
                <w:szCs w:val="18"/>
              </w:rPr>
              <w:t>10Hz</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3</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bCs/>
                <w:sz w:val="18"/>
                <w:szCs w:val="18"/>
              </w:rPr>
            </w:pPr>
            <w:r>
              <w:rPr>
                <w:rFonts w:hint="eastAsia" w:ascii="宋体" w:hAnsi="宋体" w:cs="宋体"/>
                <w:bCs/>
                <w:sz w:val="18"/>
                <w:szCs w:val="18"/>
              </w:rPr>
              <w:t>直流稳压电源</w:t>
            </w:r>
          </w:p>
        </w:tc>
        <w:tc>
          <w:tcPr>
            <w:tcW w:w="3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cs="宋体"/>
                <w:bCs/>
                <w:sz w:val="18"/>
                <w:szCs w:val="18"/>
              </w:rPr>
            </w:pPr>
            <w:r>
              <w:rPr>
                <w:rFonts w:hint="eastAsia" w:ascii="宋体" w:hAnsi="宋体" w:cs="宋体"/>
                <w:bCs/>
                <w:sz w:val="18"/>
                <w:szCs w:val="18"/>
              </w:rPr>
              <w:t>电源规格及参数要求：</w:t>
            </w:r>
          </w:p>
          <w:p>
            <w:pPr>
              <w:widowControl/>
              <w:jc w:val="left"/>
              <w:rPr>
                <w:rFonts w:ascii="宋体" w:hAnsi="宋体" w:cs="宋体"/>
                <w:bCs/>
                <w:sz w:val="18"/>
                <w:szCs w:val="18"/>
              </w:rPr>
            </w:pPr>
            <w:r>
              <w:rPr>
                <w:rFonts w:hint="eastAsia" w:ascii="宋体" w:hAnsi="宋体" w:cs="宋体"/>
                <w:bCs/>
                <w:sz w:val="18"/>
                <w:szCs w:val="18"/>
              </w:rPr>
              <w:t>电源输出额定电压≥</w:t>
            </w:r>
            <w:r>
              <w:rPr>
                <w:rFonts w:ascii="宋体" w:hAnsi="宋体" w:cs="宋体"/>
                <w:bCs/>
                <w:sz w:val="18"/>
                <w:szCs w:val="18"/>
              </w:rPr>
              <w:t>30</w:t>
            </w:r>
            <w:r>
              <w:rPr>
                <w:rFonts w:hint="eastAsia" w:ascii="宋体" w:hAnsi="宋体" w:cs="宋体"/>
                <w:bCs/>
                <w:sz w:val="18"/>
                <w:szCs w:val="18"/>
              </w:rPr>
              <w:t xml:space="preserve">V </w:t>
            </w:r>
          </w:p>
          <w:p>
            <w:pPr>
              <w:pStyle w:val="70"/>
              <w:jc w:val="both"/>
              <w:rPr>
                <w:rFonts w:ascii="宋体" w:hAnsi="宋体" w:cs="宋体"/>
                <w:b w:val="0"/>
                <w:bCs/>
                <w:sz w:val="18"/>
                <w:szCs w:val="18"/>
              </w:rPr>
            </w:pPr>
            <w:r>
              <w:rPr>
                <w:rFonts w:hint="eastAsia" w:ascii="宋体" w:hAnsi="宋体" w:cs="宋体"/>
                <w:b w:val="0"/>
                <w:bCs/>
                <w:sz w:val="18"/>
                <w:szCs w:val="18"/>
              </w:rPr>
              <w:t>电源输出额定电流≥</w:t>
            </w:r>
            <w:r>
              <w:rPr>
                <w:rFonts w:ascii="宋体" w:hAnsi="宋体" w:cs="宋体"/>
                <w:b w:val="0"/>
                <w:bCs/>
                <w:sz w:val="18"/>
                <w:szCs w:val="18"/>
              </w:rPr>
              <w:t>80A</w:t>
            </w:r>
          </w:p>
          <w:p>
            <w:pPr>
              <w:pStyle w:val="70"/>
              <w:jc w:val="left"/>
              <w:rPr>
                <w:rFonts w:ascii="宋体" w:hAnsi="宋体" w:cs="宋体"/>
                <w:sz w:val="18"/>
                <w:szCs w:val="18"/>
              </w:rPr>
            </w:pPr>
            <w:r>
              <w:rPr>
                <w:rFonts w:hint="eastAsia" w:ascii="宋体" w:hAnsi="宋体" w:cs="宋体"/>
                <w:sz w:val="18"/>
                <w:szCs w:val="18"/>
              </w:rPr>
              <w:t>电源供电使用</w:t>
            </w:r>
            <w:r>
              <w:rPr>
                <w:rFonts w:ascii="宋体" w:hAnsi="宋体" w:cs="宋体"/>
                <w:sz w:val="18"/>
                <w:szCs w:val="18"/>
              </w:rPr>
              <w:t>220</w:t>
            </w:r>
            <w:r>
              <w:rPr>
                <w:rFonts w:hint="eastAsia" w:ascii="宋体" w:hAnsi="宋体" w:cs="宋体"/>
                <w:sz w:val="18"/>
                <w:szCs w:val="18"/>
              </w:rPr>
              <w:t>V交流电</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通电电缆</w:t>
            </w:r>
          </w:p>
        </w:tc>
        <w:tc>
          <w:tcPr>
            <w:tcW w:w="3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cs="宋体"/>
                <w:bCs/>
                <w:sz w:val="18"/>
                <w:szCs w:val="18"/>
              </w:rPr>
            </w:pPr>
            <w:r>
              <w:rPr>
                <w:rFonts w:hint="eastAsia" w:ascii="宋体" w:hAnsi="宋体" w:cs="宋体"/>
                <w:bCs/>
                <w:sz w:val="18"/>
                <w:szCs w:val="18"/>
              </w:rPr>
              <w:t>规格及参数要求：满足直流稳压电源（1）使用的参数要求，长度≥5m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3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3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3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66"/>
        <w:ind w:firstLine="0" w:firstLineChars="0"/>
        <w:rPr>
          <w:rFonts w:cs="宋体"/>
          <w:b/>
        </w:rPr>
      </w:pPr>
    </w:p>
    <w:p>
      <w:pPr>
        <w:pStyle w:val="66"/>
        <w:ind w:firstLine="482"/>
        <w:rPr>
          <w:rFonts w:cs="宋体"/>
          <w:b/>
        </w:rPr>
      </w:pPr>
      <w:r>
        <w:rPr>
          <w:rFonts w:hint="eastAsia" w:cs="宋体"/>
          <w:b/>
        </w:rPr>
        <w:t>注：</w:t>
      </w:r>
    </w:p>
    <w:p>
      <w:pPr>
        <w:pStyle w:val="66"/>
        <w:ind w:firstLine="482"/>
        <w:rPr>
          <w:rFonts w:cs="宋体"/>
          <w:b/>
        </w:rPr>
      </w:pPr>
      <w:r>
        <w:rPr>
          <w:rFonts w:hint="eastAsia" w:cs="宋体"/>
          <w:b/>
        </w:rPr>
        <w:t>1、选购件不包括在本报价表内，应另附纸分项单报。</w:t>
      </w:r>
    </w:p>
    <w:p>
      <w:pPr>
        <w:pStyle w:val="66"/>
        <w:ind w:firstLine="482"/>
        <w:rPr>
          <w:rFonts w:cs="宋体"/>
          <w:b/>
        </w:rPr>
      </w:pPr>
      <w:r>
        <w:rPr>
          <w:rFonts w:hint="eastAsia" w:cs="宋体"/>
          <w:b/>
        </w:rPr>
        <w:t>2、如上表中的有关费用投标人免费提供，请注明“免费”字样。</w:t>
      </w:r>
    </w:p>
    <w:p>
      <w:pPr>
        <w:pStyle w:val="66"/>
        <w:ind w:firstLine="482"/>
        <w:rPr>
          <w:rFonts w:cs="宋体"/>
          <w:b/>
        </w:rPr>
      </w:pPr>
      <w:r>
        <w:rPr>
          <w:rFonts w:hint="eastAsia" w:cs="宋体"/>
          <w:b/>
        </w:rPr>
        <w:t>3、需写明含税价、不含税价格、税率。</w:t>
      </w:r>
    </w:p>
    <w:p>
      <w:pPr>
        <w:pStyle w:val="66"/>
        <w:ind w:firstLine="482"/>
        <w:rPr>
          <w:rFonts w:cs="宋体"/>
          <w:b/>
        </w:rPr>
      </w:pPr>
      <w:r>
        <w:rPr>
          <w:rFonts w:hint="eastAsia" w:cs="宋体"/>
          <w:b/>
        </w:rPr>
        <w:t>4、此表在投递标书时请单独密封两份，否则不予唱标。</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72"/>
        <w:rPr>
          <w:rFonts w:ascii="宋体" w:hAnsi="宋体" w:cs="宋体"/>
        </w:rPr>
      </w:pPr>
      <w:r>
        <w:rPr>
          <w:rFonts w:hint="eastAsia" w:ascii="宋体" w:hAnsi="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rPr>
            </w:pPr>
            <w:r>
              <w:rPr>
                <w:rFonts w:hint="eastAsia" w:ascii="宋体" w:hAnsi="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rPr>
            </w:pPr>
            <w:r>
              <w:rPr>
                <w:rFonts w:hint="eastAsia" w:ascii="宋体" w:hAnsi="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rPr>
            </w:pPr>
            <w:r>
              <w:rPr>
                <w:rFonts w:hint="eastAsia" w:ascii="宋体" w:hAnsi="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rPr>
            </w:pPr>
            <w:r>
              <w:rPr>
                <w:rFonts w:hint="eastAsia" w:ascii="宋体" w:hAnsi="宋体" w:cs="宋体"/>
              </w:rPr>
              <w:t>是否偏离</w:t>
            </w:r>
          </w:p>
          <w:p>
            <w:pPr>
              <w:pStyle w:val="70"/>
              <w:rPr>
                <w:rFonts w:ascii="宋体" w:hAnsi="宋体" w:cs="宋体"/>
              </w:rPr>
            </w:pPr>
            <w:r>
              <w:rPr>
                <w:rFonts w:hint="eastAsia" w:ascii="宋体" w:hAnsi="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rPr>
            </w:pPr>
            <w:r>
              <w:rPr>
                <w:rFonts w:hint="eastAsia" w:ascii="宋体" w:hAnsi="宋体" w:cs="宋体"/>
              </w:rPr>
              <w:t>付款条件</w:t>
            </w:r>
          </w:p>
        </w:tc>
        <w:tc>
          <w:tcPr>
            <w:tcW w:w="1588" w:type="pct"/>
            <w:tcBorders>
              <w:top w:val="single" w:color="auto" w:sz="4" w:space="0"/>
              <w:left w:val="single" w:color="auto" w:sz="4" w:space="0"/>
              <w:bottom w:val="single" w:color="auto" w:sz="4" w:space="0"/>
              <w:right w:val="single" w:color="auto" w:sz="4" w:space="0"/>
            </w:tcBorders>
            <w:vAlign w:val="center"/>
          </w:tcPr>
          <w:p>
            <w:pPr>
              <w:pStyle w:val="70"/>
              <w:jc w:val="center"/>
              <w:rPr>
                <w:rFonts w:hint="default" w:ascii="宋体" w:hAnsi="宋体" w:eastAsia="宋体" w:cs="宋体"/>
                <w:szCs w:val="21"/>
                <w:lang w:val="en-US" w:eastAsia="zh-CN"/>
              </w:rPr>
            </w:pPr>
            <w:r>
              <w:rPr>
                <w:rFonts w:hint="eastAsia" w:ascii="宋体" w:hAnsi="宋体" w:cs="宋体"/>
                <w:szCs w:val="21"/>
                <w:lang w:val="en-US" w:eastAsia="zh-CN"/>
              </w:rPr>
              <w:t>半年期商业汇票（包括银行承兑汇票和商业承兑汇票）</w:t>
            </w:r>
          </w:p>
        </w:tc>
        <w:tc>
          <w:tcPr>
            <w:tcW w:w="1594" w:type="pct"/>
            <w:tcBorders>
              <w:top w:val="single" w:color="auto" w:sz="4" w:space="0"/>
              <w:left w:val="single" w:color="auto" w:sz="4" w:space="0"/>
              <w:bottom w:val="single" w:color="auto" w:sz="4" w:space="0"/>
              <w:right w:val="single" w:color="auto" w:sz="4" w:space="0"/>
            </w:tcBorders>
          </w:tcPr>
          <w:p>
            <w:pPr>
              <w:pStyle w:val="70"/>
              <w:rPr>
                <w:rFonts w:ascii="宋体" w:hAnsi="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rPr>
            </w:pPr>
            <w:r>
              <w:rPr>
                <w:rFonts w:hint="eastAsia" w:ascii="宋体" w:hAnsi="宋体" w:cs="宋体"/>
              </w:rPr>
              <w:t>维保服务要求</w:t>
            </w:r>
          </w:p>
        </w:tc>
        <w:tc>
          <w:tcPr>
            <w:tcW w:w="1588" w:type="pct"/>
            <w:tcBorders>
              <w:top w:val="single" w:color="auto" w:sz="4" w:space="0"/>
              <w:left w:val="single" w:color="auto" w:sz="4" w:space="0"/>
              <w:bottom w:val="single" w:color="auto" w:sz="4" w:space="0"/>
              <w:right w:val="single" w:color="auto" w:sz="4" w:space="0"/>
            </w:tcBorders>
            <w:vAlign w:val="center"/>
          </w:tcPr>
          <w:p>
            <w:pPr>
              <w:pStyle w:val="70"/>
              <w:rPr>
                <w:rFonts w:hint="default" w:ascii="宋体" w:hAnsi="宋体" w:eastAsia="宋体" w:cs="宋体"/>
                <w:szCs w:val="21"/>
                <w:lang w:val="en-US" w:eastAsia="zh-CN"/>
              </w:rPr>
            </w:pPr>
            <w:r>
              <w:rPr>
                <w:rFonts w:hint="eastAsia" w:ascii="宋体" w:hAnsi="宋体" w:cs="宋体"/>
                <w:szCs w:val="21"/>
                <w:lang w:val="en-US" w:eastAsia="zh-CN"/>
              </w:rPr>
              <w:t>质保期和质保要求售后服务</w:t>
            </w:r>
          </w:p>
        </w:tc>
        <w:tc>
          <w:tcPr>
            <w:tcW w:w="1594" w:type="pct"/>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szCs w:val="21"/>
              </w:rPr>
            </w:pPr>
          </w:p>
          <w:p>
            <w:pPr>
              <w:pStyle w:val="70"/>
              <w:rPr>
                <w:rFonts w:ascii="宋体" w:hAnsi="宋体" w:cs="宋体"/>
              </w:rPr>
            </w:pPr>
          </w:p>
        </w:tc>
      </w:tr>
    </w:tbl>
    <w:p>
      <w:pPr>
        <w:pStyle w:val="66"/>
        <w:ind w:firstLine="480"/>
        <w:rPr>
          <w:rFonts w:cs="宋体"/>
        </w:rPr>
      </w:pPr>
      <w:r>
        <w:rPr>
          <w:rFonts w:hint="eastAsia" w:cs="宋体"/>
        </w:rPr>
        <w:t>投标人名称：                   授权代表签字：            日期：</w:t>
      </w:r>
    </w:p>
    <w:p>
      <w:pPr>
        <w:pStyle w:val="66"/>
        <w:ind w:firstLine="480"/>
        <w:rPr>
          <w:rFonts w:cs="宋体"/>
        </w:rPr>
      </w:pPr>
      <w:r>
        <w:rPr>
          <w:rFonts w:hint="eastAsia"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72"/>
        <w:rPr>
          <w:rFonts w:ascii="宋体" w:hAnsi="宋体" w:cs="宋体"/>
        </w:rPr>
      </w:pPr>
      <w:bookmarkStart w:id="12" w:name="_Toc353881022"/>
      <w:bookmarkStart w:id="13" w:name="_Toc639013"/>
      <w:bookmarkStart w:id="14" w:name="_Toc9193"/>
      <w:r>
        <w:rPr>
          <w:rFonts w:hint="eastAsia" w:ascii="宋体" w:hAnsi="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66"/>
        <w:ind w:firstLine="480"/>
        <w:rPr>
          <w:rFonts w:cs="宋体"/>
        </w:rPr>
      </w:pPr>
      <w:r>
        <w:rPr>
          <w:rFonts w:hint="eastAsia" w:cs="宋体"/>
        </w:rPr>
        <w:t>投标人：（盖章）</w:t>
      </w:r>
    </w:p>
    <w:p>
      <w:pPr>
        <w:pStyle w:val="66"/>
        <w:ind w:firstLine="480"/>
        <w:rPr>
          <w:rFonts w:cs="宋体"/>
        </w:rPr>
      </w:pPr>
      <w:r>
        <w:rPr>
          <w:rFonts w:hint="eastAsia" w:cs="宋体"/>
        </w:rPr>
        <w:t>法定代表人（委托代理人）：（签字）</w:t>
      </w:r>
    </w:p>
    <w:p>
      <w:pPr>
        <w:pStyle w:val="66"/>
        <w:ind w:firstLine="480"/>
        <w:rPr>
          <w:rFonts w:cs="宋体"/>
        </w:rPr>
      </w:pPr>
      <w:r>
        <w:rPr>
          <w:rFonts w:hint="eastAsia" w:cs="宋体"/>
        </w:rPr>
        <w:t>日  期：       年    月    日</w:t>
      </w: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2"/>
    <w:bookmarkEnd w:id="13"/>
    <w:bookmarkEnd w:id="14"/>
    <w:p>
      <w:pPr>
        <w:pStyle w:val="72"/>
        <w:rPr>
          <w:rFonts w:ascii="宋体" w:hAnsi="宋体" w:cs="宋体"/>
        </w:rPr>
      </w:pPr>
      <w:r>
        <w:rPr>
          <w:rFonts w:hint="eastAsia" w:ascii="宋体" w:hAnsi="宋体" w:cs="宋体"/>
        </w:rPr>
        <w:t>附件1</w:t>
      </w:r>
      <w:bookmarkStart w:id="15" w:name="_Toc92678174"/>
      <w:bookmarkStart w:id="16" w:name="_Toc15535"/>
      <w:bookmarkStart w:id="17" w:name="_Toc639014"/>
      <w:bookmarkStart w:id="18" w:name="_Toc212369556"/>
      <w:bookmarkStart w:id="19" w:name="_Toc353881023"/>
      <w:r>
        <w:rPr>
          <w:rFonts w:hint="eastAsia" w:ascii="宋体" w:hAnsi="宋体" w:cs="宋体"/>
        </w:rPr>
        <w:t>1 投标文件封面及封口</w:t>
      </w:r>
      <w:bookmarkEnd w:id="15"/>
      <w:r>
        <w:rPr>
          <w:rFonts w:hint="eastAsia" w:ascii="宋体" w:hAnsi="宋体" w:cs="宋体"/>
        </w:rPr>
        <w:t>格式</w:t>
      </w:r>
      <w:bookmarkEnd w:id="16"/>
      <w:bookmarkEnd w:id="17"/>
      <w:bookmarkEnd w:id="18"/>
      <w:bookmarkEnd w:id="19"/>
    </w:p>
    <w:p>
      <w:pPr>
        <w:pStyle w:val="66"/>
        <w:ind w:firstLine="480"/>
        <w:rPr>
          <w:rFonts w:cs="宋体"/>
        </w:rPr>
      </w:pPr>
      <w:r>
        <w:rPr>
          <w:rFonts w:hint="eastAsia"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70"/>
              <w:rPr>
                <w:rFonts w:ascii="宋体" w:hAnsi="宋体" w:cs="宋体"/>
              </w:rPr>
            </w:pPr>
          </w:p>
          <w:p>
            <w:pPr>
              <w:pStyle w:val="70"/>
              <w:rPr>
                <w:rFonts w:ascii="宋体" w:hAnsi="宋体" w:cs="宋体"/>
                <w:sz w:val="30"/>
                <w:szCs w:val="30"/>
              </w:rPr>
            </w:pPr>
            <w:r>
              <w:rPr>
                <w:rFonts w:hint="eastAsia" w:ascii="宋体" w:hAnsi="宋体" w:cs="宋体"/>
                <w:sz w:val="30"/>
                <w:szCs w:val="30"/>
              </w:rPr>
              <w:t>投标文件</w:t>
            </w:r>
          </w:p>
          <w:p>
            <w:pPr>
              <w:pStyle w:val="70"/>
              <w:jc w:val="both"/>
              <w:rPr>
                <w:rFonts w:ascii="宋体" w:hAnsi="宋体" w:cs="宋体"/>
                <w:sz w:val="30"/>
                <w:szCs w:val="30"/>
              </w:rPr>
            </w:pPr>
          </w:p>
          <w:p>
            <w:pPr>
              <w:pStyle w:val="70"/>
              <w:rPr>
                <w:rFonts w:ascii="宋体" w:hAnsi="宋体" w:cs="宋体"/>
                <w:sz w:val="30"/>
                <w:szCs w:val="30"/>
              </w:rPr>
            </w:pPr>
            <w:r>
              <w:rPr>
                <w:rFonts w:hint="eastAsia" w:ascii="宋体" w:hAnsi="宋体" w:cs="宋体"/>
                <w:sz w:val="30"/>
                <w:szCs w:val="30"/>
              </w:rPr>
              <w:t>（1正本/</w:t>
            </w:r>
            <w:r>
              <w:rPr>
                <w:rFonts w:hint="eastAsia" w:ascii="宋体" w:hAnsi="宋体" w:cs="宋体"/>
                <w:sz w:val="30"/>
                <w:szCs w:val="30"/>
                <w:u w:val="single"/>
              </w:rPr>
              <w:t xml:space="preserve">   </w:t>
            </w:r>
            <w:r>
              <w:rPr>
                <w:rFonts w:hint="eastAsia" w:ascii="宋体" w:hAnsi="宋体" w:cs="宋体"/>
                <w:sz w:val="30"/>
                <w:szCs w:val="30"/>
              </w:rPr>
              <w:t>副本）</w:t>
            </w:r>
          </w:p>
          <w:p>
            <w:pPr>
              <w:pStyle w:val="70"/>
              <w:rPr>
                <w:rFonts w:ascii="宋体" w:hAnsi="宋体" w:cs="宋体"/>
              </w:rPr>
            </w:pPr>
          </w:p>
          <w:p>
            <w:pPr>
              <w:pStyle w:val="70"/>
              <w:rPr>
                <w:rFonts w:ascii="宋体" w:hAnsi="宋体" w:cs="宋体"/>
              </w:rPr>
            </w:pPr>
          </w:p>
          <w:p>
            <w:pPr>
              <w:pStyle w:val="70"/>
              <w:rPr>
                <w:rFonts w:ascii="宋体" w:hAnsi="宋体" w:cs="宋体"/>
              </w:rPr>
            </w:pPr>
            <w:r>
              <w:rPr>
                <w:rFonts w:hint="eastAsia" w:ascii="宋体" w:hAnsi="宋体" w:cs="宋体"/>
              </w:rPr>
              <w:t>项目名称：</w:t>
            </w:r>
          </w:p>
          <w:p>
            <w:pPr>
              <w:pStyle w:val="70"/>
              <w:rPr>
                <w:rFonts w:ascii="宋体" w:hAnsi="宋体" w:cs="宋体"/>
              </w:rPr>
            </w:pPr>
            <w:r>
              <w:rPr>
                <w:rFonts w:hint="eastAsia" w:ascii="宋体" w:hAnsi="宋体" w:cs="宋体"/>
              </w:rPr>
              <w:t>投标人名称（公章）：</w:t>
            </w:r>
          </w:p>
          <w:p>
            <w:pPr>
              <w:pStyle w:val="70"/>
              <w:rPr>
                <w:rFonts w:ascii="宋体" w:hAnsi="宋体" w:cs="宋体"/>
              </w:rPr>
            </w:pPr>
            <w:r>
              <w:rPr>
                <w:rFonts w:hint="eastAsia" w:ascii="宋体" w:hAnsi="宋体" w:cs="宋体"/>
              </w:rPr>
              <w:t>地址：</w:t>
            </w:r>
          </w:p>
          <w:p>
            <w:pPr>
              <w:pStyle w:val="70"/>
              <w:rPr>
                <w:rFonts w:ascii="宋体" w:hAnsi="宋体" w:cs="宋体"/>
              </w:rPr>
            </w:pPr>
            <w:r>
              <w:rPr>
                <w:rFonts w:hint="eastAsia" w:ascii="宋体" w:hAnsi="宋体" w:cs="宋体"/>
              </w:rPr>
              <w:t>授权代表电话：</w:t>
            </w:r>
          </w:p>
          <w:p>
            <w:pPr>
              <w:pStyle w:val="70"/>
              <w:rPr>
                <w:rFonts w:ascii="宋体" w:hAnsi="宋体" w:cs="宋体"/>
              </w:rPr>
            </w:pPr>
            <w:r>
              <w:rPr>
                <w:rFonts w:hint="eastAsia" w:ascii="宋体" w:hAnsi="宋体" w:cs="宋体"/>
              </w:rPr>
              <w:t>传真：</w:t>
            </w:r>
          </w:p>
          <w:p>
            <w:pPr>
              <w:pStyle w:val="70"/>
              <w:rPr>
                <w:rFonts w:ascii="宋体" w:hAnsi="宋体" w:cs="宋体"/>
              </w:rPr>
            </w:pPr>
          </w:p>
          <w:p>
            <w:pPr>
              <w:pStyle w:val="70"/>
              <w:rPr>
                <w:rFonts w:ascii="宋体" w:hAnsi="宋体" w:cs="宋体"/>
              </w:rPr>
            </w:pPr>
          </w:p>
        </w:tc>
      </w:tr>
    </w:tbl>
    <w:p>
      <w:pPr>
        <w:pStyle w:val="66"/>
        <w:ind w:firstLine="480"/>
        <w:rPr>
          <w:rFonts w:cs="宋体"/>
        </w:rPr>
      </w:pPr>
      <w:r>
        <w:rPr>
          <w:rFonts w:hint="eastAsia" w:cs="宋体"/>
        </w:rPr>
        <w:t>投标人名称：                   授权代表签字：                  日期：</w:t>
      </w:r>
    </w:p>
    <w:p>
      <w:pPr>
        <w:rPr>
          <w:rFonts w:cs="宋体"/>
        </w:rPr>
      </w:pPr>
      <w:r>
        <w:rPr>
          <w:rFonts w:hint="eastAsia" w:cs="宋体"/>
        </w:rPr>
        <w:br w:type="page"/>
      </w:r>
    </w:p>
    <w:p>
      <w:pPr>
        <w:pStyle w:val="15"/>
        <w:ind w:firstLine="482" w:firstLineChars="200"/>
        <w:outlineLvl w:val="2"/>
        <w:rPr>
          <w:rFonts w:hAnsi="宋体" w:cs="宋体"/>
          <w:b/>
          <w:bCs/>
          <w:color w:val="000000"/>
          <w:sz w:val="24"/>
          <w:szCs w:val="24"/>
        </w:rPr>
      </w:pPr>
      <w:r>
        <w:rPr>
          <w:rFonts w:hint="eastAsia" w:hAnsi="宋体" w:cs="宋体"/>
          <w:b/>
          <w:bCs/>
          <w:color w:val="000000"/>
          <w:sz w:val="24"/>
          <w:szCs w:val="24"/>
        </w:rPr>
        <w:t>附件12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2" w:firstLineChars="200"/>
        <w:outlineLvl w:val="2"/>
        <w:rPr>
          <w:rFonts w:hAnsi="宋体" w:cs="宋体"/>
          <w:b/>
          <w:color w:val="000000"/>
          <w:sz w:val="24"/>
          <w:szCs w:val="24"/>
        </w:rPr>
      </w:pPr>
      <w:r>
        <w:rPr>
          <w:rFonts w:hint="eastAsia" w:hAnsi="宋体" w:cs="宋体"/>
          <w:b/>
          <w:bCs/>
          <w:color w:val="000000"/>
          <w:sz w:val="24"/>
          <w:szCs w:val="24"/>
        </w:rPr>
        <w:t xml:space="preserve">附件13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pPr>
      <w:r>
        <w:rPr>
          <w:rFonts w:hint="eastAsia" w:ascii="宋体" w:hAnsi="宋体" w:cs="宋体"/>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Ansi="宋体" w:cs="宋体"/>
          <w:b/>
          <w:color w:val="000000"/>
          <w:sz w:val="24"/>
          <w:szCs w:val="24"/>
        </w:rPr>
      </w:pPr>
    </w:p>
    <w:p>
      <w:pPr>
        <w:pStyle w:val="49"/>
        <w:rPr>
          <w:rFonts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ascii="宋体" w:hAnsi="宋体" w:cs="宋体"/>
          <w:b/>
          <w:bCs/>
          <w:color w:val="000000"/>
          <w:sz w:val="24"/>
          <w:szCs w:val="24"/>
        </w:rPr>
      </w:pPr>
      <w:r>
        <w:rPr>
          <w:rFonts w:hint="eastAsia" w:ascii="宋体" w:hAnsi="宋体" w:cs="宋体"/>
          <w:b/>
          <w:bCs/>
          <w:color w:val="000000"/>
          <w:sz w:val="24"/>
          <w:szCs w:val="24"/>
        </w:rPr>
        <w:t>附件14技术标评分标准</w:t>
      </w:r>
    </w:p>
    <w:p>
      <w:pPr>
        <w:pStyle w:val="2"/>
        <w:jc w:val="center"/>
        <w:rPr>
          <w:rFonts w:ascii="宋体" w:hAnsi="宋体" w:eastAsia="宋体" w:cs="宋体"/>
          <w:szCs w:val="24"/>
        </w:rPr>
      </w:pPr>
      <w:r>
        <w:rPr>
          <w:rFonts w:hint="eastAsia" w:ascii="宋体" w:hAnsi="宋体" w:eastAsia="宋体" w:cs="宋体"/>
          <w:szCs w:val="24"/>
        </w:rPr>
        <w:t>技术标评审表（</w:t>
      </w:r>
      <w:r>
        <w:rPr>
          <w:rFonts w:ascii="宋体" w:hAnsi="宋体" w:eastAsia="宋体" w:cs="宋体"/>
          <w:szCs w:val="24"/>
        </w:rPr>
        <w:t>100</w:t>
      </w:r>
      <w:r>
        <w:rPr>
          <w:rFonts w:hint="eastAsia" w:ascii="宋体" w:hAnsi="宋体" w:eastAsia="宋体" w:cs="宋体"/>
          <w:szCs w:val="24"/>
        </w:rPr>
        <w:t>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50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60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8" w:hRule="atLeast"/>
          <w:jc w:val="center"/>
        </w:trPr>
        <w:tc>
          <w:tcPr>
            <w:tcW w:w="825" w:type="dxa"/>
            <w:vMerge w:val="restart"/>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技术</w:t>
            </w:r>
          </w:p>
          <w:p>
            <w:pPr>
              <w:tabs>
                <w:tab w:val="left" w:pos="13965"/>
              </w:tabs>
              <w:spacing w:line="360" w:lineRule="auto"/>
              <w:ind w:right="-6"/>
              <w:jc w:val="center"/>
              <w:rPr>
                <w:rFonts w:ascii="宋体" w:hAnsi="宋体" w:cs="宋体"/>
                <w:szCs w:val="21"/>
              </w:rPr>
            </w:pPr>
            <w:r>
              <w:rPr>
                <w:rFonts w:ascii="宋体" w:hAnsi="宋体" w:cs="宋体"/>
                <w:szCs w:val="21"/>
              </w:rPr>
              <w:t>100</w:t>
            </w:r>
            <w:r>
              <w:rPr>
                <w:rFonts w:hint="eastAsia" w:ascii="宋体" w:hAnsi="宋体" w:cs="宋体"/>
                <w:szCs w:val="21"/>
              </w:rPr>
              <w:t>分</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1</w:t>
            </w:r>
          </w:p>
        </w:tc>
        <w:tc>
          <w:tcPr>
            <w:tcW w:w="1500" w:type="dxa"/>
            <w:vAlign w:val="center"/>
          </w:tcPr>
          <w:p>
            <w:pPr>
              <w:spacing w:line="360" w:lineRule="auto"/>
              <w:jc w:val="center"/>
              <w:rPr>
                <w:rFonts w:ascii="宋体" w:hAnsi="宋体" w:cs="宋体"/>
                <w:szCs w:val="21"/>
              </w:rPr>
            </w:pPr>
            <w:r>
              <w:rPr>
                <w:rFonts w:hint="eastAsia" w:ascii="宋体" w:hAnsi="宋体" w:cs="宋体"/>
                <w:color w:val="000000"/>
                <w:szCs w:val="21"/>
              </w:rPr>
              <w:t>产品技术</w:t>
            </w:r>
          </w:p>
        </w:tc>
        <w:tc>
          <w:tcPr>
            <w:tcW w:w="875" w:type="dxa"/>
            <w:vAlign w:val="center"/>
          </w:tcPr>
          <w:p>
            <w:pPr>
              <w:tabs>
                <w:tab w:val="left" w:pos="13965"/>
              </w:tabs>
              <w:spacing w:line="360" w:lineRule="auto"/>
              <w:ind w:right="-6"/>
              <w:jc w:val="center"/>
              <w:rPr>
                <w:rFonts w:ascii="宋体" w:hAnsi="宋体" w:cs="宋体"/>
                <w:szCs w:val="21"/>
              </w:rPr>
            </w:pPr>
            <w:r>
              <w:rPr>
                <w:rFonts w:ascii="宋体" w:hAnsi="宋体" w:cs="宋体"/>
                <w:szCs w:val="21"/>
              </w:rPr>
              <w:t>2</w:t>
            </w:r>
            <w:r>
              <w:rPr>
                <w:rFonts w:hint="eastAsia" w:ascii="宋体" w:hAnsi="宋体" w:cs="宋体"/>
                <w:szCs w:val="21"/>
              </w:rPr>
              <w:t>0</w:t>
            </w:r>
          </w:p>
        </w:tc>
        <w:tc>
          <w:tcPr>
            <w:tcW w:w="5604" w:type="dxa"/>
            <w:vAlign w:val="center"/>
          </w:tcPr>
          <w:p>
            <w:pPr>
              <w:spacing w:line="360" w:lineRule="auto"/>
              <w:rPr>
                <w:rFonts w:ascii="宋体" w:hAnsi="宋体" w:cs="宋体"/>
                <w:szCs w:val="21"/>
              </w:rPr>
            </w:pPr>
            <w:r>
              <w:rPr>
                <w:rFonts w:hint="eastAsia" w:ascii="宋体" w:hAnsi="宋体" w:cs="宋体"/>
                <w:szCs w:val="21"/>
              </w:rPr>
              <w:t>投标文件中技术参数符合招标文件的要求赋</w:t>
            </w:r>
            <w:r>
              <w:rPr>
                <w:rFonts w:ascii="宋体" w:hAnsi="宋体" w:cs="宋体"/>
                <w:szCs w:val="21"/>
              </w:rPr>
              <w:t>15</w:t>
            </w:r>
            <w:r>
              <w:rPr>
                <w:rFonts w:hint="eastAsia" w:ascii="宋体" w:hAnsi="宋体" w:cs="宋体"/>
                <w:szCs w:val="21"/>
              </w:rPr>
              <w:t>分，再详细考察其功能与项目需求的吻合性,有一处负偏离，扣1分，以此类推；有正偏离，且对项目存在实际改进作用，则加1分，最高可以加到</w:t>
            </w:r>
            <w:r>
              <w:rPr>
                <w:rFonts w:ascii="宋体" w:hAnsi="宋体" w:cs="宋体"/>
                <w:szCs w:val="21"/>
              </w:rPr>
              <w:t>5</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500" w:type="dxa"/>
            <w:vAlign w:val="center"/>
          </w:tcPr>
          <w:p>
            <w:pPr>
              <w:spacing w:line="360" w:lineRule="auto"/>
              <w:jc w:val="center"/>
              <w:rPr>
                <w:rFonts w:ascii="宋体" w:hAnsi="宋体" w:cs="宋体"/>
                <w:szCs w:val="21"/>
              </w:rPr>
            </w:pPr>
            <w:r>
              <w:rPr>
                <w:rFonts w:hint="eastAsia"/>
              </w:rPr>
              <w:t>设备制造商同类型项目业绩</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5</w:t>
            </w:r>
          </w:p>
        </w:tc>
        <w:tc>
          <w:tcPr>
            <w:tcW w:w="5604" w:type="dxa"/>
            <w:vAlign w:val="center"/>
          </w:tcPr>
          <w:p>
            <w:pPr>
              <w:spacing w:line="360" w:lineRule="auto"/>
              <w:rPr>
                <w:rFonts w:ascii="宋体" w:hAnsi="宋体" w:cs="宋体"/>
                <w:bCs/>
                <w:szCs w:val="21"/>
              </w:rPr>
            </w:pPr>
            <w:r>
              <w:rPr>
                <w:rFonts w:hint="eastAsia" w:ascii="宋体" w:hAnsi="宋体" w:cs="宋体"/>
                <w:bCs/>
                <w:szCs w:val="21"/>
              </w:rPr>
              <w:t>提供2019年1月1日至投标截止日止在中国境内汽车主机厂或汽车热管理零部件供应商或汽车的第三方检测机构，已中标的同类货物（同类货物指具有相同或近似功能的直流稳压电源）的业绩合同（以合同签订时间为准），投标单位提供合同（内容、签订时间、签订双方名称）、技术标书及终验收认定书等资料，并加盖投标单位公章等的证明材料。由评标委员会成员独立进行客观、公正的评价，按照合同金额大小进行打分，其中</w:t>
            </w:r>
            <w:r>
              <w:rPr>
                <w:rFonts w:ascii="宋体" w:hAnsi="宋体" w:cs="宋体"/>
                <w:bCs/>
                <w:szCs w:val="21"/>
              </w:rPr>
              <w:t>1</w:t>
            </w:r>
            <w:r>
              <w:rPr>
                <w:rFonts w:hint="eastAsia" w:ascii="宋体" w:hAnsi="宋体" w:cs="宋体"/>
                <w:bCs/>
                <w:szCs w:val="21"/>
              </w:rPr>
              <w:t>万以下项目不得分；</w:t>
            </w:r>
            <w:r>
              <w:rPr>
                <w:rFonts w:ascii="宋体" w:hAnsi="宋体" w:cs="宋体"/>
                <w:bCs/>
                <w:szCs w:val="21"/>
              </w:rPr>
              <w:t>1</w:t>
            </w:r>
            <w:r>
              <w:rPr>
                <w:rFonts w:hint="eastAsia" w:ascii="宋体" w:hAnsi="宋体" w:cs="宋体"/>
                <w:bCs/>
                <w:szCs w:val="21"/>
              </w:rPr>
              <w:t>万-</w:t>
            </w:r>
            <w:r>
              <w:rPr>
                <w:rFonts w:ascii="宋体" w:hAnsi="宋体" w:cs="宋体"/>
                <w:bCs/>
                <w:szCs w:val="21"/>
              </w:rPr>
              <w:t>3</w:t>
            </w:r>
            <w:r>
              <w:rPr>
                <w:rFonts w:hint="eastAsia" w:ascii="宋体" w:hAnsi="宋体" w:cs="宋体"/>
                <w:bCs/>
                <w:szCs w:val="21"/>
              </w:rPr>
              <w:t>万的，每一个合同得分0.5分，最高3分；</w:t>
            </w:r>
            <w:r>
              <w:rPr>
                <w:rFonts w:ascii="宋体" w:hAnsi="宋体" w:cs="宋体"/>
                <w:bCs/>
                <w:szCs w:val="21"/>
              </w:rPr>
              <w:t>3</w:t>
            </w:r>
            <w:r>
              <w:rPr>
                <w:rFonts w:hint="eastAsia" w:ascii="宋体" w:hAnsi="宋体" w:cs="宋体"/>
                <w:bCs/>
                <w:szCs w:val="21"/>
              </w:rPr>
              <w:t>万以上的，每一合同得分1分，最高5分。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4"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500" w:type="dxa"/>
            <w:vAlign w:val="center"/>
          </w:tcPr>
          <w:p>
            <w:pPr>
              <w:tabs>
                <w:tab w:val="left" w:pos="7854"/>
              </w:tabs>
              <w:spacing w:line="360" w:lineRule="auto"/>
              <w:jc w:val="center"/>
              <w:rPr>
                <w:rFonts w:ascii="宋体" w:hAnsi="宋体" w:cs="宋体"/>
                <w:szCs w:val="21"/>
              </w:rPr>
            </w:pPr>
            <w:r>
              <w:rPr>
                <w:rFonts w:hint="eastAsia" w:ascii="宋体" w:hAnsi="宋体" w:cs="宋体"/>
                <w:szCs w:val="21"/>
              </w:rPr>
              <w:t>售后服务</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5</w:t>
            </w:r>
          </w:p>
        </w:tc>
        <w:tc>
          <w:tcPr>
            <w:tcW w:w="5604" w:type="dxa"/>
            <w:vAlign w:val="center"/>
          </w:tcPr>
          <w:p>
            <w:pPr>
              <w:spacing w:line="360" w:lineRule="auto"/>
              <w:rPr>
                <w:rFonts w:ascii="宋体" w:hAnsi="宋体" w:cs="宋体"/>
                <w:bCs/>
                <w:szCs w:val="21"/>
              </w:rPr>
            </w:pPr>
            <w:r>
              <w:rPr>
                <w:rFonts w:hint="eastAsia" w:ascii="宋体" w:hAnsi="宋体" w:cs="宋体"/>
                <w:bCs/>
                <w:szCs w:val="21"/>
              </w:rPr>
              <w:t>1.有完整的售后服务体系（1分）</w:t>
            </w:r>
          </w:p>
          <w:p>
            <w:pPr>
              <w:spacing w:line="360" w:lineRule="auto"/>
              <w:rPr>
                <w:rFonts w:ascii="宋体" w:hAnsi="宋体" w:cs="宋体"/>
                <w:bCs/>
                <w:szCs w:val="21"/>
              </w:rPr>
            </w:pPr>
            <w:r>
              <w:rPr>
                <w:rFonts w:hint="eastAsia" w:ascii="宋体" w:hAnsi="宋体" w:cs="宋体"/>
                <w:bCs/>
                <w:szCs w:val="21"/>
              </w:rPr>
              <w:t>2.提供完备的本地化服务支持承诺，明确承诺到现场响应时间（根据响应时间长短给予0.5-1分）</w:t>
            </w:r>
          </w:p>
          <w:p>
            <w:pPr>
              <w:spacing w:line="360" w:lineRule="auto"/>
              <w:rPr>
                <w:rFonts w:ascii="宋体" w:hAnsi="宋体" w:cs="宋体"/>
                <w:bCs/>
                <w:szCs w:val="21"/>
              </w:rPr>
            </w:pPr>
            <w:r>
              <w:rPr>
                <w:rFonts w:hint="eastAsia" w:ascii="宋体" w:hAnsi="宋体" w:cs="宋体"/>
                <w:bCs/>
                <w:szCs w:val="21"/>
              </w:rPr>
              <w:t>3.投标人提供相应完善的培训计划（2分）</w:t>
            </w:r>
          </w:p>
          <w:p>
            <w:pPr>
              <w:spacing w:line="360" w:lineRule="auto"/>
              <w:rPr>
                <w:rFonts w:ascii="宋体" w:hAnsi="宋体" w:cs="宋体"/>
                <w:bCs/>
                <w:szCs w:val="21"/>
              </w:rPr>
            </w:pPr>
            <w:r>
              <w:rPr>
                <w:rFonts w:hint="eastAsia" w:ascii="宋体" w:hAnsi="宋体" w:cs="宋体"/>
                <w:bCs/>
                <w:szCs w:val="21"/>
              </w:rPr>
              <w:t>4.可随时远程视频支持解决问题（1分）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500" w:type="dxa"/>
            <w:vAlign w:val="center"/>
          </w:tcPr>
          <w:p>
            <w:pPr>
              <w:tabs>
                <w:tab w:val="left" w:pos="7854"/>
              </w:tabs>
              <w:spacing w:line="360" w:lineRule="auto"/>
              <w:jc w:val="center"/>
              <w:rPr>
                <w:rFonts w:ascii="宋体" w:hAnsi="宋体" w:cs="宋体"/>
                <w:color w:val="000000"/>
                <w:szCs w:val="21"/>
              </w:rPr>
            </w:pPr>
            <w:r>
              <w:rPr>
                <w:rFonts w:hint="eastAsia" w:ascii="宋体" w:hAnsi="宋体" w:cs="宋体"/>
                <w:color w:val="000000"/>
                <w:szCs w:val="21"/>
              </w:rPr>
              <w:t>现场答疑</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5</w:t>
            </w:r>
          </w:p>
        </w:tc>
        <w:tc>
          <w:tcPr>
            <w:tcW w:w="1500" w:type="dxa"/>
            <w:vAlign w:val="center"/>
          </w:tcPr>
          <w:p>
            <w:pPr>
              <w:spacing w:line="360" w:lineRule="auto"/>
              <w:jc w:val="center"/>
              <w:rPr>
                <w:rFonts w:ascii="宋体" w:hAnsi="宋体" w:cs="宋体"/>
                <w:szCs w:val="21"/>
              </w:rPr>
            </w:pPr>
            <w:r>
              <w:rPr>
                <w:rFonts w:hint="eastAsia" w:ascii="宋体" w:hAnsi="宋体" w:cs="宋体"/>
                <w:szCs w:val="21"/>
              </w:rPr>
              <w:t>响应及偏离</w:t>
            </w:r>
          </w:p>
        </w:tc>
        <w:tc>
          <w:tcPr>
            <w:tcW w:w="875" w:type="dxa"/>
            <w:vAlign w:val="center"/>
          </w:tcPr>
          <w:p>
            <w:pPr>
              <w:spacing w:line="360" w:lineRule="auto"/>
              <w:jc w:val="center"/>
              <w:rPr>
                <w:rFonts w:ascii="宋体" w:hAnsi="宋体" w:cs="宋体"/>
                <w:szCs w:val="21"/>
              </w:rPr>
            </w:pPr>
            <w:r>
              <w:rPr>
                <w:rFonts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由评标委员会成员独立进行客观、公正的评价，根据各投标单位的核心产品的配置参数、技术偏离情况，在满足我司技术基本要求的前提下偏离，无偏离得满分</w:t>
            </w:r>
            <w:r>
              <w:rPr>
                <w:rFonts w:ascii="宋体" w:hAnsi="宋体" w:cs="宋体"/>
                <w:bCs/>
                <w:szCs w:val="21"/>
              </w:rPr>
              <w:t>10</w:t>
            </w:r>
            <w:r>
              <w:rPr>
                <w:rFonts w:hint="eastAsia" w:ascii="宋体" w:hAnsi="宋体" w:cs="宋体"/>
                <w:bCs/>
                <w:szCs w:val="21"/>
              </w:rPr>
              <w:t>分，较大偏离每一项扣2分，一般偏离每一项扣1分，最低0分。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6</w:t>
            </w:r>
          </w:p>
        </w:tc>
        <w:tc>
          <w:tcPr>
            <w:tcW w:w="1500" w:type="dxa"/>
            <w:vAlign w:val="center"/>
          </w:tcPr>
          <w:p>
            <w:pPr>
              <w:spacing w:line="360" w:lineRule="auto"/>
              <w:jc w:val="center"/>
              <w:rPr>
                <w:rFonts w:ascii="宋体" w:hAnsi="宋体" w:cs="宋体"/>
                <w:szCs w:val="21"/>
              </w:rPr>
            </w:pPr>
            <w:r>
              <w:rPr>
                <w:rFonts w:hint="eastAsia" w:ascii="宋体" w:hAnsi="宋体" w:cs="宋体"/>
                <w:szCs w:val="21"/>
              </w:rPr>
              <w:t>供货周期</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50</w:t>
            </w:r>
          </w:p>
        </w:tc>
        <w:tc>
          <w:tcPr>
            <w:tcW w:w="5604" w:type="dxa"/>
            <w:vAlign w:val="center"/>
          </w:tcPr>
          <w:p>
            <w:pPr>
              <w:spacing w:line="360" w:lineRule="auto"/>
              <w:rPr>
                <w:rFonts w:ascii="宋体" w:hAnsi="宋体" w:cs="宋体"/>
                <w:bCs/>
                <w:szCs w:val="21"/>
              </w:rPr>
            </w:pPr>
            <w:r>
              <w:rPr>
                <w:rFonts w:hint="eastAsia" w:ascii="宋体" w:hAnsi="宋体" w:cs="宋体"/>
                <w:bCs/>
                <w:szCs w:val="21"/>
              </w:rPr>
              <w:t>根据各投标单位的核心产品的供货周期情况，在满足我司技术基本要求的前提下，供货周期在7个公历日内得满分50分，7-14个公历日得30分，15-30个公历日得10分。</w:t>
            </w:r>
          </w:p>
        </w:tc>
      </w:tr>
    </w:tbl>
    <w:p/>
    <w:p>
      <w:pPr>
        <w:jc w:val="center"/>
        <w:rPr>
          <w:rFonts w:ascii="宋体" w:hAnsi="宋体" w:cs="宋体"/>
          <w:bCs/>
          <w:color w:val="000000"/>
          <w:kern w:val="44"/>
          <w:sz w:val="30"/>
          <w:szCs w:val="24"/>
        </w:rPr>
      </w:pPr>
      <w:r>
        <w:rPr>
          <w:rFonts w:hint="eastAsia" w:cs="宋体"/>
        </w:rPr>
        <w:br w:type="page"/>
      </w:r>
      <w:bookmarkStart w:id="20" w:name="_Toc465187638"/>
      <w:r>
        <w:rPr>
          <w:rFonts w:hint="eastAsia" w:ascii="宋体" w:hAnsi="宋体" w:cs="宋体"/>
          <w:bCs/>
          <w:color w:val="000000"/>
          <w:kern w:val="44"/>
          <w:sz w:val="30"/>
          <w:szCs w:val="24"/>
        </w:rPr>
        <w:t>第二部分  技术协议书</w:t>
      </w:r>
    </w:p>
    <w:p>
      <w:pPr>
        <w:pStyle w:val="49"/>
        <w:outlineLvl w:val="1"/>
        <w:rPr>
          <w:rFonts w:ascii="宋体" w:hAnsi="宋体" w:eastAsia="宋体" w:cs="宋体"/>
          <w:i/>
        </w:rPr>
      </w:pPr>
      <w:r>
        <w:rPr>
          <w:rFonts w:hint="eastAsia" w:ascii="宋体" w:hAnsi="宋体" w:eastAsia="宋体" w:cs="宋体"/>
          <w:i/>
        </w:rPr>
        <w:t>第一章  采购货物概况</w:t>
      </w:r>
      <w:bookmarkEnd w:id="20"/>
    </w:p>
    <w:p>
      <w:pPr>
        <w:pStyle w:val="68"/>
        <w:jc w:val="center"/>
        <w:outlineLvl w:val="2"/>
        <w:rPr>
          <w:rFonts w:eastAsia="宋体" w:cs="宋体"/>
        </w:rPr>
      </w:pPr>
      <w:bookmarkStart w:id="21" w:name="_Toc465187639"/>
      <w:r>
        <w:rPr>
          <w:rFonts w:hint="eastAsia" w:eastAsia="宋体" w:cs="宋体"/>
        </w:rPr>
        <w:t>第一节  使用环境</w:t>
      </w:r>
      <w:bookmarkEnd w:id="21"/>
    </w:p>
    <w:p>
      <w:pPr>
        <w:ind w:firstLine="480" w:firstLineChars="200"/>
        <w:rPr>
          <w:rFonts w:ascii="宋体" w:hAnsi="宋体" w:cs="宋体"/>
          <w:color w:val="000000"/>
          <w:sz w:val="24"/>
          <w:szCs w:val="24"/>
        </w:rPr>
      </w:pPr>
      <w:r>
        <w:rPr>
          <w:rFonts w:hint="eastAsia" w:ascii="宋体" w:hAnsi="宋体" w:cs="宋体"/>
          <w:color w:val="000000"/>
          <w:sz w:val="24"/>
          <w:szCs w:val="24"/>
        </w:rPr>
        <w:t>一、项目名称：</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shd w:val="pct10" w:color="auto" w:fill="FFFFFF"/>
        </w:rPr>
        <w:t xml:space="preserve"> 产品试验检测中心直流稳压电源采购招标项目    </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二、建设地点：</w:t>
      </w:r>
      <w:r>
        <w:rPr>
          <w:rFonts w:hint="eastAsia" w:ascii="宋体" w:hAnsi="宋体" w:cs="宋体"/>
          <w:color w:val="000000"/>
          <w:sz w:val="24"/>
          <w:szCs w:val="24"/>
          <w:u w:val="single"/>
        </w:rPr>
        <w:t xml:space="preserve"> </w:t>
      </w:r>
      <w:r>
        <w:rPr>
          <w:rFonts w:hint="eastAsia" w:ascii="宋体" w:hAnsi="宋体" w:cs="宋体"/>
          <w:color w:val="000000"/>
          <w:sz w:val="24"/>
          <w:szCs w:val="24"/>
          <w:highlight w:val="yellow"/>
          <w:u w:val="single"/>
          <w:shd w:val="pct10" w:color="auto" w:fill="FFFFFF"/>
        </w:rPr>
        <w:t xml:space="preserve"> 产品试验检测中心动力总成试验部章丘试验室 </w:t>
      </w:r>
      <w:r>
        <w:rPr>
          <w:rFonts w:hint="eastAsia" w:ascii="宋体" w:hAnsi="宋体" w:cs="宋体"/>
          <w:color w:val="000000"/>
          <w:sz w:val="24"/>
          <w:szCs w:val="24"/>
          <w:u w:val="single"/>
          <w:shd w:val="pct10" w:color="auto" w:fill="FFFFFF"/>
        </w:rPr>
        <w:t xml:space="preserve"> </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三、存放地点：</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shd w:val="pct10" w:color="auto" w:fill="FFFFFF"/>
        </w:rPr>
        <w:t xml:space="preserve"> 济南市章丘区世纪大道7777号中国重汽工业园区发动机试验室 </w:t>
      </w:r>
    </w:p>
    <w:p>
      <w:pPr>
        <w:spacing w:line="420" w:lineRule="exact"/>
        <w:ind w:firstLine="480" w:firstLineChars="200"/>
        <w:rPr>
          <w:rFonts w:ascii="宋体" w:hAnsi="宋体" w:cs="宋体"/>
          <w:color w:val="000000"/>
          <w:sz w:val="24"/>
          <w:szCs w:val="24"/>
          <w:highlight w:val="yellow"/>
        </w:rPr>
      </w:pPr>
      <w:r>
        <w:rPr>
          <w:rFonts w:hint="eastAsia" w:ascii="宋体" w:hAnsi="宋体" w:cs="宋体"/>
          <w:color w:val="000000"/>
          <w:sz w:val="24"/>
          <w:szCs w:val="24"/>
          <w:highlight w:val="yellow"/>
        </w:rPr>
        <w:t>四、工作制度：全年工作</w:t>
      </w:r>
      <w:r>
        <w:rPr>
          <w:rFonts w:hint="eastAsia" w:ascii="宋体" w:hAnsi="宋体" w:cs="宋体"/>
          <w:color w:val="000000"/>
          <w:sz w:val="24"/>
          <w:szCs w:val="24"/>
          <w:highlight w:val="yellow"/>
          <w:u w:val="single"/>
          <w:shd w:val="pct10" w:color="auto" w:fill="FFFFFF"/>
        </w:rPr>
        <w:t xml:space="preserve"> 350</w:t>
      </w:r>
      <w:r>
        <w:rPr>
          <w:rFonts w:hint="eastAsia" w:ascii="宋体" w:hAnsi="宋体" w:cs="宋体"/>
          <w:color w:val="000000"/>
          <w:sz w:val="24"/>
          <w:szCs w:val="24"/>
          <w:highlight w:val="yellow"/>
        </w:rPr>
        <w:t>天、</w:t>
      </w:r>
      <w:r>
        <w:rPr>
          <w:rFonts w:hint="eastAsia" w:ascii="宋体" w:hAnsi="宋体" w:cs="宋体"/>
          <w:color w:val="000000"/>
          <w:sz w:val="24"/>
          <w:szCs w:val="24"/>
          <w:highlight w:val="yellow"/>
          <w:u w:val="single"/>
          <w:shd w:val="pct10" w:color="auto" w:fill="FFFFFF"/>
        </w:rPr>
        <w:t xml:space="preserve"> 两 </w:t>
      </w:r>
      <w:r>
        <w:rPr>
          <w:rFonts w:hint="eastAsia" w:ascii="宋体" w:hAnsi="宋体" w:cs="宋体"/>
          <w:color w:val="000000"/>
          <w:sz w:val="24"/>
          <w:szCs w:val="24"/>
          <w:highlight w:val="yellow"/>
        </w:rPr>
        <w:t>班制、设备年时基数</w:t>
      </w:r>
      <w:r>
        <w:rPr>
          <w:rFonts w:hint="eastAsia" w:ascii="宋体" w:hAnsi="宋体" w:cs="宋体"/>
          <w:color w:val="000000"/>
          <w:sz w:val="24"/>
          <w:szCs w:val="24"/>
          <w:highlight w:val="yellow"/>
          <w:u w:val="single"/>
          <w:shd w:val="pct10" w:color="auto" w:fill="FFFFFF"/>
        </w:rPr>
        <w:t xml:space="preserve"> 7000 </w:t>
      </w:r>
      <w:r>
        <w:rPr>
          <w:rFonts w:hint="eastAsia" w:ascii="宋体" w:hAnsi="宋体" w:cs="宋体"/>
          <w:color w:val="000000"/>
          <w:sz w:val="24"/>
          <w:szCs w:val="24"/>
          <w:highlight w:val="yellow"/>
        </w:rPr>
        <w:t>小时。</w:t>
      </w:r>
    </w:p>
    <w:p>
      <w:pPr>
        <w:pStyle w:val="68"/>
        <w:jc w:val="center"/>
        <w:outlineLvl w:val="2"/>
        <w:rPr>
          <w:rFonts w:eastAsia="宋体" w:cs="宋体"/>
        </w:rPr>
      </w:pPr>
      <w:bookmarkStart w:id="22" w:name="_Toc465187640"/>
      <w:r>
        <w:rPr>
          <w:rFonts w:hint="eastAsia" w:eastAsia="宋体" w:cs="宋体"/>
        </w:rPr>
        <w:t>第二节  采购货物概况</w:t>
      </w:r>
      <w:bookmarkEnd w:id="22"/>
    </w:p>
    <w:p>
      <w:pPr>
        <w:widowControl/>
        <w:ind w:firstLine="482" w:firstLineChars="200"/>
        <w:jc w:val="left"/>
        <w:rPr>
          <w:rFonts w:ascii="宋体" w:hAnsi="宋体" w:cs="宋体"/>
          <w:color w:val="000000"/>
          <w:sz w:val="24"/>
          <w:szCs w:val="24"/>
        </w:rPr>
      </w:pPr>
      <w:r>
        <w:rPr>
          <w:rFonts w:hint="eastAsia" w:ascii="宋体" w:hAnsi="宋体" w:cs="宋体"/>
          <w:b/>
          <w:color w:val="000000"/>
          <w:sz w:val="24"/>
          <w:szCs w:val="24"/>
        </w:rPr>
        <w:t>一、货物名称：</w:t>
      </w:r>
      <w:r>
        <w:rPr>
          <w:rFonts w:hint="eastAsia" w:ascii="宋体" w:hAnsi="宋体" w:cs="宋体"/>
          <w:color w:val="000000"/>
          <w:kern w:val="0"/>
          <w:sz w:val="22"/>
          <w:szCs w:val="22"/>
          <w:lang w:bidi="ar"/>
        </w:rPr>
        <w:t>直流稳压电源</w:t>
      </w:r>
      <w:r>
        <w:rPr>
          <w:rFonts w:hint="eastAsia" w:ascii="宋体" w:hAnsi="宋体" w:cs="宋体"/>
          <w:b/>
          <w:color w:val="000000"/>
          <w:sz w:val="24"/>
          <w:szCs w:val="24"/>
        </w:rPr>
        <w:t>、</w:t>
      </w:r>
      <w:r>
        <w:rPr>
          <w:rFonts w:ascii="Calibri" w:hAnsi="Calibri" w:cs="Calibri"/>
          <w:color w:val="000000"/>
          <w:kern w:val="0"/>
          <w:sz w:val="22"/>
          <w:szCs w:val="22"/>
          <w:lang w:bidi="ar"/>
        </w:rPr>
        <w:t xml:space="preserve">MOS </w:t>
      </w:r>
      <w:r>
        <w:rPr>
          <w:rFonts w:hint="eastAsia" w:ascii="宋体" w:hAnsi="宋体" w:cs="宋体"/>
          <w:color w:val="000000"/>
          <w:kern w:val="0"/>
          <w:sz w:val="22"/>
          <w:szCs w:val="22"/>
          <w:lang w:bidi="ar"/>
        </w:rPr>
        <w:t>管</w:t>
      </w:r>
      <w:r>
        <w:rPr>
          <w:rFonts w:hint="eastAsia" w:ascii="Calibri" w:hAnsi="Calibri" w:cs="Calibri"/>
          <w:color w:val="000000"/>
          <w:kern w:val="0"/>
          <w:sz w:val="22"/>
          <w:szCs w:val="22"/>
          <w:lang w:bidi="ar"/>
        </w:rPr>
        <w:t>、</w:t>
      </w:r>
      <w:r>
        <w:rPr>
          <w:rFonts w:ascii="Calibri" w:hAnsi="Calibri" w:cs="Calibri"/>
          <w:color w:val="000000"/>
          <w:kern w:val="0"/>
          <w:sz w:val="22"/>
          <w:szCs w:val="22"/>
          <w:lang w:bidi="ar"/>
        </w:rPr>
        <w:t xml:space="preserve">24VDC/80A </w:t>
      </w:r>
      <w:r>
        <w:rPr>
          <w:rFonts w:hint="eastAsia" w:ascii="宋体" w:hAnsi="宋体" w:cs="宋体"/>
          <w:color w:val="000000"/>
          <w:kern w:val="0"/>
          <w:sz w:val="22"/>
          <w:szCs w:val="22"/>
          <w:lang w:bidi="ar"/>
        </w:rPr>
        <w:t>电源、通电电缆</w:t>
      </w:r>
      <w:r>
        <w:rPr>
          <w:rFonts w:hint="eastAsia" w:ascii="宋体" w:hAnsi="宋体" w:cs="宋体"/>
          <w:b/>
          <w:color w:val="000000"/>
          <w:sz w:val="24"/>
          <w:szCs w:val="24"/>
        </w:rPr>
        <w:t>。</w:t>
      </w:r>
      <w:r>
        <w:rPr>
          <w:rFonts w:hint="eastAsia" w:ascii="宋体" w:hAnsi="宋体" w:cs="宋体"/>
          <w:color w:val="000000"/>
          <w:sz w:val="24"/>
          <w:szCs w:val="24"/>
        </w:rPr>
        <w:t xml:space="preserve">      </w:t>
      </w:r>
    </w:p>
    <w:p>
      <w:pPr>
        <w:spacing w:line="420" w:lineRule="exact"/>
        <w:ind w:firstLine="482" w:firstLineChars="200"/>
        <w:rPr>
          <w:rFonts w:ascii="宋体" w:hAnsi="宋体" w:cs="宋体"/>
          <w:color w:val="000000"/>
          <w:sz w:val="24"/>
          <w:szCs w:val="24"/>
        </w:rPr>
      </w:pPr>
      <w:r>
        <w:rPr>
          <w:rFonts w:hint="eastAsia" w:ascii="宋体" w:hAnsi="宋体" w:cs="宋体"/>
          <w:b/>
          <w:color w:val="000000"/>
          <w:sz w:val="24"/>
          <w:szCs w:val="24"/>
        </w:rPr>
        <w:t>二、货物数量：</w:t>
      </w:r>
      <w:r>
        <w:rPr>
          <w:rFonts w:hint="eastAsia" w:ascii="宋体" w:hAnsi="宋体" w:cs="宋体"/>
          <w:color w:val="000000"/>
          <w:sz w:val="24"/>
          <w:szCs w:val="24"/>
          <w:u w:val="single"/>
          <w:shd w:val="pct10" w:color="auto" w:fill="FFFFFF"/>
        </w:rPr>
        <w:t xml:space="preserve"> </w:t>
      </w:r>
      <w:r>
        <w:rPr>
          <w:rFonts w:hint="eastAsia" w:ascii="宋体" w:hAnsi="宋体" w:cs="宋体"/>
          <w:b/>
          <w:bCs/>
          <w:color w:val="000000"/>
          <w:sz w:val="24"/>
          <w:szCs w:val="24"/>
          <w:u w:val="single"/>
          <w:shd w:val="pct10" w:color="auto" w:fill="FFFFFF"/>
        </w:rPr>
        <w:t>详见采购货物主要构成一览表</w:t>
      </w:r>
      <w:r>
        <w:rPr>
          <w:rFonts w:hint="eastAsia" w:ascii="宋体" w:hAnsi="宋体" w:cs="宋体"/>
          <w:b/>
          <w:color w:val="000000"/>
          <w:sz w:val="24"/>
          <w:szCs w:val="24"/>
          <w:u w:val="single"/>
          <w:shd w:val="pct10" w:color="auto" w:fill="FFFFFF"/>
        </w:rPr>
        <w:t xml:space="preserve"> </w:t>
      </w:r>
    </w:p>
    <w:p>
      <w:pPr>
        <w:spacing w:line="420" w:lineRule="exact"/>
        <w:ind w:firstLine="482" w:firstLineChars="200"/>
        <w:rPr>
          <w:rFonts w:ascii="宋体" w:hAnsi="宋体" w:cs="宋体"/>
          <w:color w:val="000000"/>
          <w:sz w:val="24"/>
          <w:szCs w:val="24"/>
          <w:u w:val="single"/>
        </w:rPr>
      </w:pPr>
      <w:r>
        <w:rPr>
          <w:rFonts w:hint="eastAsia" w:ascii="宋体" w:hAnsi="宋体" w:cs="宋体"/>
          <w:b/>
          <w:color w:val="000000"/>
          <w:sz w:val="24"/>
          <w:szCs w:val="24"/>
        </w:rPr>
        <w:t>三、分投分中：不允许。</w:t>
      </w:r>
    </w:p>
    <w:p>
      <w:pPr>
        <w:spacing w:line="420" w:lineRule="exact"/>
        <w:jc w:val="center"/>
        <w:rPr>
          <w:rFonts w:ascii="宋体" w:hAnsi="宋体" w:cs="宋体"/>
          <w:b/>
          <w:color w:val="000000"/>
          <w:sz w:val="24"/>
          <w:szCs w:val="24"/>
        </w:rPr>
      </w:pPr>
      <w:bookmarkStart w:id="23" w:name="_Hlk134194021"/>
      <w:r>
        <w:rPr>
          <w:rFonts w:hint="eastAsia" w:ascii="宋体" w:hAnsi="宋体" w:cs="宋体"/>
          <w:b/>
          <w:color w:val="000000"/>
          <w:sz w:val="24"/>
          <w:szCs w:val="24"/>
        </w:rPr>
        <w:t>采购货物主要构成一览表</w:t>
      </w:r>
    </w:p>
    <w:tbl>
      <w:tblPr>
        <w:tblStyle w:val="32"/>
        <w:tblW w:w="9286" w:type="dxa"/>
        <w:tblInd w:w="0" w:type="dxa"/>
        <w:tblLayout w:type="fixed"/>
        <w:tblCellMar>
          <w:top w:w="0" w:type="dxa"/>
          <w:left w:w="108" w:type="dxa"/>
          <w:bottom w:w="0" w:type="dxa"/>
          <w:right w:w="108" w:type="dxa"/>
        </w:tblCellMar>
      </w:tblPr>
      <w:tblGrid>
        <w:gridCol w:w="491"/>
        <w:gridCol w:w="1311"/>
        <w:gridCol w:w="2517"/>
        <w:gridCol w:w="716"/>
        <w:gridCol w:w="717"/>
        <w:gridCol w:w="3534"/>
      </w:tblGrid>
      <w:tr>
        <w:tblPrEx>
          <w:tblCellMar>
            <w:top w:w="0" w:type="dxa"/>
            <w:left w:w="108" w:type="dxa"/>
            <w:bottom w:w="0" w:type="dxa"/>
            <w:right w:w="108" w:type="dxa"/>
          </w:tblCellMar>
        </w:tblPrEx>
        <w:tc>
          <w:tcPr>
            <w:tcW w:w="49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序号</w:t>
            </w:r>
          </w:p>
        </w:tc>
        <w:tc>
          <w:tcPr>
            <w:tcW w:w="131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名称</w:t>
            </w:r>
          </w:p>
        </w:tc>
        <w:tc>
          <w:tcPr>
            <w:tcW w:w="25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规格</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数量</w:t>
            </w:r>
          </w:p>
        </w:tc>
        <w:tc>
          <w:tcPr>
            <w:tcW w:w="7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单位</w:t>
            </w:r>
          </w:p>
        </w:tc>
        <w:tc>
          <w:tcPr>
            <w:tcW w:w="353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实现功能</w:t>
            </w:r>
          </w:p>
        </w:tc>
      </w:tr>
      <w:tr>
        <w:tblPrEx>
          <w:tblCellMar>
            <w:top w:w="0" w:type="dxa"/>
            <w:left w:w="108" w:type="dxa"/>
            <w:bottom w:w="0" w:type="dxa"/>
            <w:right w:w="108" w:type="dxa"/>
          </w:tblCellMar>
        </w:tblPrEx>
        <w:tc>
          <w:tcPr>
            <w:tcW w:w="49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rPr>
              <w:t>1</w:t>
            </w:r>
          </w:p>
        </w:tc>
        <w:tc>
          <w:tcPr>
            <w:tcW w:w="131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color w:val="000000"/>
                <w:kern w:val="0"/>
                <w:sz w:val="22"/>
                <w:szCs w:val="22"/>
                <w:lang w:bidi="ar"/>
              </w:rPr>
              <w:t>直流稳压电源</w:t>
            </w:r>
          </w:p>
        </w:tc>
        <w:tc>
          <w:tcPr>
            <w:tcW w:w="25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详见招标书第二章 第三条“技术要求”</w:t>
            </w: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1</w:t>
            </w:r>
          </w:p>
        </w:tc>
        <w:tc>
          <w:tcPr>
            <w:tcW w:w="7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套</w:t>
            </w:r>
          </w:p>
        </w:tc>
        <w:tc>
          <w:tcPr>
            <w:tcW w:w="353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highlight w:val="yellow"/>
              </w:rPr>
              <w:t>对后处理加热盘供电</w:t>
            </w:r>
          </w:p>
        </w:tc>
      </w:tr>
      <w:tr>
        <w:tblPrEx>
          <w:tblCellMar>
            <w:top w:w="0" w:type="dxa"/>
            <w:left w:w="108" w:type="dxa"/>
            <w:bottom w:w="0" w:type="dxa"/>
            <w:right w:w="108" w:type="dxa"/>
          </w:tblCellMar>
        </w:tblPrEx>
        <w:tc>
          <w:tcPr>
            <w:tcW w:w="49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2</w:t>
            </w:r>
          </w:p>
        </w:tc>
        <w:tc>
          <w:tcPr>
            <w:tcW w:w="131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ascii="Calibri" w:hAnsi="Calibri" w:cs="Calibri"/>
                <w:color w:val="000000"/>
                <w:kern w:val="0"/>
                <w:sz w:val="22"/>
                <w:szCs w:val="22"/>
                <w:lang w:bidi="ar"/>
              </w:rPr>
              <w:t xml:space="preserve">MOS </w:t>
            </w:r>
            <w:r>
              <w:rPr>
                <w:rFonts w:hint="eastAsia" w:ascii="宋体" w:hAnsi="宋体" w:cs="宋体"/>
                <w:color w:val="000000"/>
                <w:kern w:val="0"/>
                <w:sz w:val="22"/>
                <w:szCs w:val="22"/>
                <w:lang w:bidi="ar"/>
              </w:rPr>
              <w:t>管</w:t>
            </w:r>
          </w:p>
        </w:tc>
        <w:tc>
          <w:tcPr>
            <w:tcW w:w="251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1</w:t>
            </w:r>
          </w:p>
        </w:tc>
        <w:tc>
          <w:tcPr>
            <w:tcW w:w="7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套</w:t>
            </w:r>
          </w:p>
        </w:tc>
        <w:tc>
          <w:tcPr>
            <w:tcW w:w="3534" w:type="dxa"/>
            <w:tcBorders>
              <w:top w:val="single" w:color="auto" w:sz="4" w:space="0"/>
              <w:left w:val="single" w:color="auto" w:sz="4" w:space="0"/>
              <w:bottom w:val="single" w:color="auto" w:sz="4" w:space="0"/>
              <w:right w:val="single" w:color="auto" w:sz="4" w:space="0"/>
            </w:tcBorders>
          </w:tcPr>
          <w:p>
            <w:pPr>
              <w:spacing w:line="360" w:lineRule="exact"/>
              <w:jc w:val="center"/>
              <w:rPr>
                <w:rFonts w:ascii="宋体" w:hAnsi="宋体" w:cs="宋体"/>
                <w:szCs w:val="21"/>
              </w:rPr>
            </w:pPr>
            <w:r>
              <w:rPr>
                <w:rFonts w:hint="eastAsia" w:ascii="宋体" w:hAnsi="宋体" w:cs="宋体"/>
                <w:szCs w:val="21"/>
              </w:rPr>
              <w:t>控制直流稳压电源（1）通断</w:t>
            </w:r>
          </w:p>
        </w:tc>
      </w:tr>
      <w:tr>
        <w:tblPrEx>
          <w:tblCellMar>
            <w:top w:w="0" w:type="dxa"/>
            <w:left w:w="108" w:type="dxa"/>
            <w:bottom w:w="0" w:type="dxa"/>
            <w:right w:w="108" w:type="dxa"/>
          </w:tblCellMar>
        </w:tblPrEx>
        <w:tc>
          <w:tcPr>
            <w:tcW w:w="49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bookmarkStart w:id="24" w:name="_Hlk73373824"/>
            <w:r>
              <w:rPr>
                <w:rFonts w:hint="eastAsia" w:ascii="宋体" w:hAnsi="宋体" w:cs="宋体"/>
                <w:szCs w:val="21"/>
              </w:rPr>
              <w:t>3</w:t>
            </w:r>
          </w:p>
        </w:tc>
        <w:tc>
          <w:tcPr>
            <w:tcW w:w="131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color w:val="000000"/>
                <w:kern w:val="0"/>
                <w:sz w:val="22"/>
                <w:szCs w:val="22"/>
                <w:lang w:bidi="ar"/>
              </w:rPr>
              <w:t>直流稳压电源</w:t>
            </w:r>
          </w:p>
        </w:tc>
        <w:tc>
          <w:tcPr>
            <w:tcW w:w="2517"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szCs w:val="21"/>
              </w:rPr>
            </w:pPr>
          </w:p>
        </w:tc>
        <w:tc>
          <w:tcPr>
            <w:tcW w:w="71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1</w:t>
            </w:r>
          </w:p>
        </w:tc>
        <w:tc>
          <w:tcPr>
            <w:tcW w:w="7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套</w:t>
            </w:r>
          </w:p>
        </w:tc>
        <w:tc>
          <w:tcPr>
            <w:tcW w:w="353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highlight w:val="yellow"/>
              </w:rPr>
              <w:t>对控制器供电</w:t>
            </w:r>
          </w:p>
        </w:tc>
      </w:tr>
      <w:tr>
        <w:tblPrEx>
          <w:tblCellMar>
            <w:top w:w="0" w:type="dxa"/>
            <w:left w:w="108" w:type="dxa"/>
            <w:bottom w:w="0" w:type="dxa"/>
            <w:right w:w="108" w:type="dxa"/>
          </w:tblCellMar>
        </w:tblPrEx>
        <w:tc>
          <w:tcPr>
            <w:tcW w:w="49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rPr>
            </w:pPr>
            <w:r>
              <w:rPr>
                <w:rFonts w:hint="eastAsia" w:ascii="宋体" w:hAnsi="宋体" w:cs="宋体"/>
                <w:szCs w:val="21"/>
              </w:rPr>
              <w:t>4</w:t>
            </w:r>
          </w:p>
        </w:tc>
        <w:tc>
          <w:tcPr>
            <w:tcW w:w="131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通电电缆</w:t>
            </w:r>
          </w:p>
        </w:tc>
        <w:tc>
          <w:tcPr>
            <w:tcW w:w="25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rPr>
            </w:pPr>
          </w:p>
        </w:tc>
        <w:tc>
          <w:tcPr>
            <w:tcW w:w="7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7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18"/>
                <w:szCs w:val="18"/>
              </w:rPr>
            </w:pPr>
            <w:r>
              <w:rPr>
                <w:rFonts w:hint="eastAsia" w:ascii="宋体" w:hAnsi="宋体" w:cs="宋体"/>
                <w:szCs w:val="21"/>
              </w:rPr>
              <w:t>套</w:t>
            </w:r>
          </w:p>
        </w:tc>
        <w:tc>
          <w:tcPr>
            <w:tcW w:w="3534" w:type="dxa"/>
            <w:tcBorders>
              <w:top w:val="single" w:color="auto" w:sz="4" w:space="0"/>
              <w:left w:val="single" w:color="auto" w:sz="4" w:space="0"/>
              <w:bottom w:val="single" w:color="auto" w:sz="4" w:space="0"/>
              <w:right w:val="single" w:color="auto" w:sz="4" w:space="0"/>
            </w:tcBorders>
          </w:tcPr>
          <w:p>
            <w:pPr>
              <w:spacing w:line="360" w:lineRule="exact"/>
              <w:jc w:val="center"/>
              <w:rPr>
                <w:rFonts w:ascii="宋体" w:hAnsi="宋体" w:cs="宋体"/>
                <w:szCs w:val="21"/>
              </w:rPr>
            </w:pPr>
            <w:r>
              <w:rPr>
                <w:rFonts w:hint="eastAsia" w:ascii="宋体" w:hAnsi="宋体" w:cs="宋体"/>
                <w:szCs w:val="21"/>
              </w:rPr>
              <w:t>连接电源与后处理加热盘</w:t>
            </w:r>
          </w:p>
        </w:tc>
      </w:tr>
      <w:bookmarkEnd w:id="24"/>
    </w:tbl>
    <w:p>
      <w:pPr>
        <w:spacing w:line="420" w:lineRule="exact"/>
        <w:ind w:firstLine="420" w:firstLineChars="200"/>
        <w:rPr>
          <w:rFonts w:ascii="宋体" w:hAnsi="宋体" w:cs="宋体"/>
          <w:color w:val="000000"/>
          <w:szCs w:val="21"/>
        </w:rPr>
      </w:pPr>
      <w:r>
        <w:rPr>
          <w:rFonts w:hint="eastAsia" w:ascii="宋体" w:hAnsi="宋体" w:cs="宋体"/>
          <w:color w:val="000000"/>
          <w:szCs w:val="21"/>
        </w:rPr>
        <w:t>备注：本表所列采购货物仅为货物的主要构成部分，应配套供货以及招标方所列其它货物（或设备）和服务，请投标方认真阅读“供货范围”。若有异议，不管是多么微小，都应在投标文件“商务偏离”章节中予以详细说明。</w:t>
      </w:r>
    </w:p>
    <w:bookmarkEnd w:id="23"/>
    <w:p>
      <w:pPr>
        <w:rPr>
          <w:rFonts w:ascii="宋体" w:hAnsi="宋体" w:cs="宋体"/>
          <w:i/>
        </w:rPr>
      </w:pPr>
      <w:bookmarkStart w:id="25" w:name="_Toc465187641"/>
      <w:r>
        <w:rPr>
          <w:rFonts w:hint="eastAsia" w:ascii="宋体" w:hAnsi="宋体" w:cs="宋体"/>
          <w:i/>
        </w:rPr>
        <w:br w:type="page"/>
      </w:r>
    </w:p>
    <w:p>
      <w:pPr>
        <w:pStyle w:val="49"/>
        <w:outlineLvl w:val="1"/>
        <w:rPr>
          <w:rFonts w:ascii="宋体" w:hAnsi="宋体" w:eastAsia="宋体" w:cs="宋体"/>
          <w:i/>
        </w:rPr>
      </w:pPr>
      <w:r>
        <w:rPr>
          <w:rFonts w:hint="eastAsia" w:ascii="宋体" w:hAnsi="宋体" w:eastAsia="宋体" w:cs="宋体"/>
          <w:i/>
        </w:rPr>
        <w:t>第二章  技术要求</w:t>
      </w:r>
    </w:p>
    <w:p>
      <w:pPr>
        <w:pStyle w:val="72"/>
        <w:rPr>
          <w:rFonts w:ascii="宋体" w:hAnsi="宋体" w:cs="宋体"/>
        </w:rPr>
      </w:pPr>
      <w:r>
        <w:rPr>
          <w:rFonts w:hint="eastAsia" w:ascii="宋体" w:hAnsi="宋体" w:cs="宋体"/>
        </w:rPr>
        <w:t>一、特别提示</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3、投标方认为所供货物必需由招标方配备、解决或提供的其它要求，如设备基础隔振和减振设施、软化水、洁净气源等，均应在投标文件“技术偏离”中予以充分说明。</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4、投标方应根据招投标货物具体要求，提出</w:t>
      </w:r>
      <w:r>
        <w:rPr>
          <w:rFonts w:hint="eastAsia" w:ascii="宋体" w:hAnsi="宋体" w:cs="宋体"/>
          <w:color w:val="000000"/>
          <w:sz w:val="24"/>
          <w:szCs w:val="24"/>
        </w:rPr>
        <w:t>对厂房、设备基础（或安装平台）、公用设施、消防、环保等超出招标文件、投标文件、答疑文件、技术交流文件、技术标书和合同等规定的、有特殊需要的解释、说明和要求。</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6、为避免投标方优势在招标评审时漏项，质保期超出本技术标书要求的，应当在投标文件“技术偏离”中特别注明。</w:t>
      </w:r>
    </w:p>
    <w:p>
      <w:pPr>
        <w:pStyle w:val="72"/>
        <w:rPr>
          <w:rFonts w:ascii="宋体" w:hAnsi="宋体" w:cs="宋体"/>
        </w:rPr>
      </w:pPr>
      <w:r>
        <w:rPr>
          <w:rFonts w:hint="eastAsia" w:ascii="宋体" w:hAnsi="宋体" w:cs="宋体"/>
        </w:rPr>
        <w:t>二、基本要求</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1、投标方所供的货物，必须符合中国最新版的法律、法规和相关标准、规范的要求，符合项目所在地政府有关特殊要求。</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2、投标方所供货物涉及的专利权技术以及知识产权保护的其它技术等，应保证招标方不因此受到任何侵权指控以及实际损失。</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3、投标方应保证所供货物的先进性、可靠性、经济性和实用性，并为全新货物（或设备）。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4、投标方应满足招标方提出的各项技术要求，必要时应当免费提供技术承诺或担保。</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6、投标方应保证所供货物的完整性和成套性，能保证货物的正常运行、使用。</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7、投标方应对招标方采购的货物所涉及的技术、产能等信息负有保密义务，招标方拥有追究投标方泄密责任的权利；招标方如有需要，投标方应无条件签署保密协议。</w:t>
      </w:r>
    </w:p>
    <w:p>
      <w:pPr>
        <w:pStyle w:val="72"/>
        <w:rPr>
          <w:rFonts w:ascii="宋体" w:hAnsi="宋体" w:cs="宋体"/>
        </w:rPr>
      </w:pPr>
      <w:bookmarkStart w:id="26" w:name="_Hlk134194011"/>
      <w:r>
        <w:rPr>
          <w:rFonts w:hint="eastAsia" w:ascii="宋体" w:hAnsi="宋体" w:cs="宋体"/>
        </w:rPr>
        <w:t>三、技术要求</w:t>
      </w:r>
    </w:p>
    <w:tbl>
      <w:tblPr>
        <w:tblStyle w:val="32"/>
        <w:tblpPr w:leftFromText="180" w:rightFromText="180" w:vertAnchor="text" w:horzAnchor="page" w:tblpXSpec="center" w:tblpY="308"/>
        <w:tblOverlap w:val="never"/>
        <w:tblW w:w="979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8"/>
        <w:gridCol w:w="2050"/>
        <w:gridCol w:w="978"/>
        <w:gridCol w:w="4033"/>
        <w:gridCol w:w="18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8"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szCs w:val="21"/>
              </w:rPr>
            </w:pPr>
            <w:r>
              <w:rPr>
                <w:rFonts w:hint="eastAsia" w:ascii="宋体" w:hAnsi="宋体" w:cs="宋体"/>
                <w:szCs w:val="21"/>
              </w:rPr>
              <w:t>序号</w:t>
            </w:r>
          </w:p>
        </w:tc>
        <w:tc>
          <w:tcPr>
            <w:tcW w:w="2050"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szCs w:val="21"/>
              </w:rPr>
            </w:pPr>
            <w:r>
              <w:rPr>
                <w:rFonts w:hint="eastAsia" w:ascii="宋体" w:hAnsi="宋体" w:cs="宋体"/>
                <w:szCs w:val="21"/>
              </w:rPr>
              <w:t>名称</w:t>
            </w:r>
          </w:p>
        </w:tc>
        <w:tc>
          <w:tcPr>
            <w:tcW w:w="978"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szCs w:val="21"/>
              </w:rPr>
            </w:pPr>
            <w:r>
              <w:rPr>
                <w:rFonts w:hint="eastAsia" w:ascii="宋体" w:hAnsi="宋体" w:cs="宋体"/>
                <w:szCs w:val="21"/>
              </w:rPr>
              <w:t>数量</w:t>
            </w:r>
          </w:p>
        </w:tc>
        <w:tc>
          <w:tcPr>
            <w:tcW w:w="4033"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szCs w:val="21"/>
              </w:rPr>
            </w:pPr>
            <w:r>
              <w:rPr>
                <w:rFonts w:hint="eastAsia" w:ascii="宋体" w:hAnsi="宋体" w:cs="宋体"/>
                <w:szCs w:val="21"/>
              </w:rPr>
              <w:t>主要技术参数</w:t>
            </w:r>
          </w:p>
        </w:tc>
        <w:tc>
          <w:tcPr>
            <w:tcW w:w="1804"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0" w:hRule="exact"/>
          <w:jc w:val="center"/>
        </w:trPr>
        <w:tc>
          <w:tcPr>
            <w:tcW w:w="92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Cs w:val="21"/>
              </w:rPr>
            </w:pPr>
            <w:r>
              <w:rPr>
                <w:rFonts w:hint="eastAsia" w:ascii="宋体" w:hAnsi="宋体" w:cs="宋体"/>
                <w:kern w:val="0"/>
                <w:szCs w:val="21"/>
              </w:rPr>
              <w:t>1</w:t>
            </w:r>
          </w:p>
        </w:tc>
        <w:tc>
          <w:tcPr>
            <w:tcW w:w="2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bCs/>
                <w:sz w:val="18"/>
                <w:szCs w:val="18"/>
              </w:rPr>
              <w:t>直流稳压电源</w:t>
            </w:r>
          </w:p>
        </w:tc>
        <w:tc>
          <w:tcPr>
            <w:tcW w:w="978"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kern w:val="0"/>
                <w:szCs w:val="21"/>
              </w:rPr>
            </w:pPr>
            <w:r>
              <w:rPr>
                <w:rFonts w:hint="eastAsia" w:ascii="宋体" w:hAnsi="宋体" w:cs="宋体"/>
                <w:kern w:val="0"/>
                <w:szCs w:val="21"/>
              </w:rPr>
              <w:t>1</w:t>
            </w:r>
          </w:p>
        </w:tc>
        <w:tc>
          <w:tcPr>
            <w:tcW w:w="403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 w:val="18"/>
                <w:szCs w:val="18"/>
              </w:rPr>
            </w:pPr>
            <w:r>
              <w:rPr>
                <w:rFonts w:hint="eastAsia" w:ascii="宋体" w:hAnsi="宋体" w:cs="宋体"/>
                <w:bCs/>
                <w:sz w:val="18"/>
                <w:szCs w:val="18"/>
              </w:rPr>
              <w:t>电源规格及参数要求：</w:t>
            </w:r>
          </w:p>
          <w:p>
            <w:pPr>
              <w:widowControl/>
              <w:jc w:val="left"/>
              <w:rPr>
                <w:rFonts w:ascii="宋体" w:hAnsi="宋体" w:cs="宋体"/>
                <w:bCs/>
                <w:sz w:val="18"/>
                <w:szCs w:val="18"/>
              </w:rPr>
            </w:pPr>
            <w:r>
              <w:rPr>
                <w:rFonts w:hint="eastAsia" w:ascii="宋体" w:hAnsi="宋体" w:cs="宋体"/>
                <w:bCs/>
                <w:sz w:val="18"/>
                <w:szCs w:val="18"/>
              </w:rPr>
              <w:t xml:space="preserve">电源输出额定电压≥60V </w:t>
            </w:r>
          </w:p>
          <w:p>
            <w:pPr>
              <w:pStyle w:val="70"/>
              <w:jc w:val="both"/>
              <w:rPr>
                <w:rFonts w:ascii="宋体" w:hAnsi="宋体" w:cs="宋体"/>
                <w:b w:val="0"/>
                <w:bCs/>
                <w:sz w:val="18"/>
                <w:szCs w:val="18"/>
              </w:rPr>
            </w:pPr>
            <w:r>
              <w:rPr>
                <w:rFonts w:hint="eastAsia" w:ascii="宋体" w:hAnsi="宋体" w:cs="宋体"/>
                <w:b w:val="0"/>
                <w:bCs/>
                <w:sz w:val="18"/>
                <w:szCs w:val="18"/>
              </w:rPr>
              <w:t>电源输出额定电流≥</w:t>
            </w:r>
            <w:r>
              <w:rPr>
                <w:rFonts w:ascii="宋体" w:hAnsi="宋体" w:cs="宋体"/>
                <w:b w:val="0"/>
                <w:bCs/>
                <w:sz w:val="18"/>
                <w:szCs w:val="18"/>
              </w:rPr>
              <w:t>260A</w:t>
            </w:r>
          </w:p>
          <w:p>
            <w:pPr>
              <w:pStyle w:val="70"/>
              <w:jc w:val="both"/>
              <w:rPr>
                <w:rFonts w:ascii="宋体" w:hAnsi="宋体" w:cs="宋体"/>
                <w:kern w:val="0"/>
                <w:szCs w:val="21"/>
              </w:rPr>
            </w:pPr>
            <w:r>
              <w:rPr>
                <w:rFonts w:hint="eastAsia" w:ascii="宋体" w:hAnsi="宋体" w:cs="宋体"/>
                <w:sz w:val="18"/>
                <w:szCs w:val="18"/>
              </w:rPr>
              <w:t>电源供电使用3</w:t>
            </w:r>
            <w:r>
              <w:rPr>
                <w:rFonts w:ascii="宋体" w:hAnsi="宋体" w:cs="宋体"/>
                <w:sz w:val="18"/>
                <w:szCs w:val="18"/>
              </w:rPr>
              <w:t>80</w:t>
            </w:r>
            <w:r>
              <w:rPr>
                <w:rFonts w:hint="eastAsia" w:ascii="宋体" w:hAnsi="宋体" w:cs="宋体"/>
                <w:sz w:val="18"/>
                <w:szCs w:val="18"/>
              </w:rPr>
              <w:t>V交流电</w:t>
            </w:r>
          </w:p>
        </w:tc>
        <w:tc>
          <w:tcPr>
            <w:tcW w:w="1804"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b w:val="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3" w:hRule="exact"/>
          <w:jc w:val="center"/>
        </w:trPr>
        <w:tc>
          <w:tcPr>
            <w:tcW w:w="92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Cs w:val="21"/>
              </w:rPr>
            </w:pPr>
            <w:r>
              <w:rPr>
                <w:rFonts w:hint="eastAsia" w:ascii="宋体" w:hAnsi="宋体" w:cs="宋体"/>
                <w:kern w:val="0"/>
                <w:szCs w:val="21"/>
              </w:rPr>
              <w:t>2</w:t>
            </w:r>
          </w:p>
        </w:tc>
        <w:tc>
          <w:tcPr>
            <w:tcW w:w="2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bCs/>
                <w:sz w:val="18"/>
                <w:szCs w:val="18"/>
              </w:rPr>
              <w:t>MOS 管</w:t>
            </w:r>
          </w:p>
        </w:tc>
        <w:tc>
          <w:tcPr>
            <w:tcW w:w="978"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kern w:val="0"/>
                <w:szCs w:val="21"/>
              </w:rPr>
            </w:pPr>
            <w:r>
              <w:rPr>
                <w:rFonts w:hint="eastAsia" w:ascii="宋体" w:hAnsi="宋体" w:cs="宋体"/>
                <w:kern w:val="0"/>
                <w:szCs w:val="21"/>
              </w:rPr>
              <w:t>1</w:t>
            </w:r>
          </w:p>
        </w:tc>
        <w:tc>
          <w:tcPr>
            <w:tcW w:w="403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 w:val="18"/>
                <w:szCs w:val="18"/>
              </w:rPr>
            </w:pPr>
            <w:r>
              <w:rPr>
                <w:rFonts w:hint="eastAsia" w:ascii="宋体" w:hAnsi="宋体" w:cs="宋体"/>
                <w:bCs/>
                <w:sz w:val="18"/>
                <w:szCs w:val="18"/>
              </w:rPr>
              <w:t>电源规格及参数要求：</w:t>
            </w:r>
          </w:p>
          <w:p>
            <w:pPr>
              <w:widowControl/>
              <w:jc w:val="left"/>
              <w:rPr>
                <w:rFonts w:ascii="宋体" w:hAnsi="宋体" w:cs="宋体"/>
                <w:bCs/>
                <w:sz w:val="18"/>
                <w:szCs w:val="18"/>
              </w:rPr>
            </w:pPr>
            <w:r>
              <w:rPr>
                <w:rFonts w:hint="eastAsia" w:ascii="宋体" w:hAnsi="宋体" w:cs="宋体"/>
                <w:bCs/>
                <w:sz w:val="18"/>
                <w:szCs w:val="18"/>
              </w:rPr>
              <w:t xml:space="preserve">额定电压≥60V </w:t>
            </w:r>
          </w:p>
          <w:p>
            <w:pPr>
              <w:widowControl/>
              <w:jc w:val="left"/>
              <w:rPr>
                <w:rFonts w:ascii="宋体" w:hAnsi="宋体" w:cs="宋体"/>
                <w:bCs/>
                <w:sz w:val="18"/>
                <w:szCs w:val="18"/>
              </w:rPr>
            </w:pPr>
            <w:r>
              <w:rPr>
                <w:rFonts w:hint="eastAsia" w:ascii="宋体" w:hAnsi="宋体" w:cs="宋体"/>
                <w:bCs/>
                <w:sz w:val="18"/>
                <w:szCs w:val="18"/>
              </w:rPr>
              <w:t>额定电流≥</w:t>
            </w:r>
            <w:r>
              <w:rPr>
                <w:rFonts w:ascii="宋体" w:hAnsi="宋体" w:cs="宋体"/>
                <w:bCs/>
                <w:sz w:val="18"/>
                <w:szCs w:val="18"/>
              </w:rPr>
              <w:t xml:space="preserve">260A </w:t>
            </w:r>
          </w:p>
          <w:p>
            <w:pPr>
              <w:pStyle w:val="70"/>
              <w:jc w:val="both"/>
              <w:rPr>
                <w:rFonts w:ascii="宋体" w:hAnsi="宋体" w:cs="宋体"/>
                <w:kern w:val="0"/>
                <w:szCs w:val="21"/>
              </w:rPr>
            </w:pPr>
            <w:r>
              <w:rPr>
                <w:rFonts w:hint="eastAsia" w:ascii="宋体" w:hAnsi="宋体" w:cs="宋体"/>
                <w:b w:val="0"/>
                <w:bCs/>
                <w:sz w:val="18"/>
                <w:szCs w:val="18"/>
              </w:rPr>
              <w:t>通断频率≥</w:t>
            </w:r>
            <w:r>
              <w:rPr>
                <w:rFonts w:ascii="宋体" w:hAnsi="宋体" w:cs="宋体"/>
                <w:b w:val="0"/>
                <w:bCs/>
                <w:sz w:val="18"/>
                <w:szCs w:val="18"/>
              </w:rPr>
              <w:t>10Hz</w:t>
            </w:r>
          </w:p>
        </w:tc>
        <w:tc>
          <w:tcPr>
            <w:tcW w:w="1804"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b w:val="0"/>
                <w:szCs w:val="21"/>
              </w:rPr>
            </w:pPr>
            <w:r>
              <w:rPr>
                <w:rFonts w:hint="eastAsia" w:ascii="宋体" w:hAnsi="宋体" w:cs="宋体"/>
                <w:b w:val="0"/>
                <w:szCs w:val="21"/>
              </w:rPr>
              <w:t>控制直流稳压电源（1）通断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92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Cs w:val="21"/>
              </w:rPr>
            </w:pPr>
            <w:r>
              <w:rPr>
                <w:rFonts w:hint="eastAsia" w:ascii="宋体" w:hAnsi="宋体" w:cs="宋体"/>
                <w:kern w:val="0"/>
                <w:szCs w:val="21"/>
              </w:rPr>
              <w:t>3</w:t>
            </w:r>
          </w:p>
        </w:tc>
        <w:tc>
          <w:tcPr>
            <w:tcW w:w="2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bCs/>
                <w:sz w:val="18"/>
                <w:szCs w:val="18"/>
              </w:rPr>
              <w:t>直流稳压电源</w:t>
            </w:r>
          </w:p>
        </w:tc>
        <w:tc>
          <w:tcPr>
            <w:tcW w:w="978"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kern w:val="0"/>
                <w:szCs w:val="21"/>
              </w:rPr>
            </w:pPr>
            <w:r>
              <w:rPr>
                <w:rFonts w:hint="eastAsia" w:ascii="宋体" w:hAnsi="宋体" w:cs="宋体"/>
                <w:kern w:val="0"/>
                <w:szCs w:val="21"/>
              </w:rPr>
              <w:t>1</w:t>
            </w:r>
          </w:p>
        </w:tc>
        <w:tc>
          <w:tcPr>
            <w:tcW w:w="403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 w:val="18"/>
                <w:szCs w:val="18"/>
              </w:rPr>
            </w:pPr>
            <w:r>
              <w:rPr>
                <w:rFonts w:hint="eastAsia" w:ascii="宋体" w:hAnsi="宋体" w:cs="宋体"/>
                <w:bCs/>
                <w:sz w:val="18"/>
                <w:szCs w:val="18"/>
              </w:rPr>
              <w:t>电源规格及参数要求：</w:t>
            </w:r>
          </w:p>
          <w:p>
            <w:pPr>
              <w:widowControl/>
              <w:jc w:val="left"/>
              <w:rPr>
                <w:rFonts w:ascii="宋体" w:hAnsi="宋体" w:cs="宋体"/>
                <w:bCs/>
                <w:sz w:val="18"/>
                <w:szCs w:val="18"/>
              </w:rPr>
            </w:pPr>
            <w:r>
              <w:rPr>
                <w:rFonts w:hint="eastAsia" w:ascii="宋体" w:hAnsi="宋体" w:cs="宋体"/>
                <w:bCs/>
                <w:sz w:val="18"/>
                <w:szCs w:val="18"/>
              </w:rPr>
              <w:t>电源输出额定电压≥</w:t>
            </w:r>
            <w:r>
              <w:rPr>
                <w:rFonts w:ascii="宋体" w:hAnsi="宋体" w:cs="宋体"/>
                <w:bCs/>
                <w:sz w:val="18"/>
                <w:szCs w:val="18"/>
              </w:rPr>
              <w:t>30</w:t>
            </w:r>
            <w:r>
              <w:rPr>
                <w:rFonts w:hint="eastAsia" w:ascii="宋体" w:hAnsi="宋体" w:cs="宋体"/>
                <w:bCs/>
                <w:sz w:val="18"/>
                <w:szCs w:val="18"/>
              </w:rPr>
              <w:t xml:space="preserve">V </w:t>
            </w:r>
          </w:p>
          <w:p>
            <w:pPr>
              <w:pStyle w:val="70"/>
              <w:jc w:val="both"/>
              <w:rPr>
                <w:rFonts w:ascii="宋体" w:hAnsi="宋体" w:cs="宋体"/>
                <w:b w:val="0"/>
                <w:bCs/>
                <w:sz w:val="18"/>
                <w:szCs w:val="18"/>
              </w:rPr>
            </w:pPr>
            <w:r>
              <w:rPr>
                <w:rFonts w:hint="eastAsia" w:ascii="宋体" w:hAnsi="宋体" w:cs="宋体"/>
                <w:b w:val="0"/>
                <w:bCs/>
                <w:sz w:val="18"/>
                <w:szCs w:val="18"/>
              </w:rPr>
              <w:t>电源输出额定电流≥</w:t>
            </w:r>
            <w:r>
              <w:rPr>
                <w:rFonts w:ascii="宋体" w:hAnsi="宋体" w:cs="宋体"/>
                <w:b w:val="0"/>
                <w:bCs/>
                <w:sz w:val="18"/>
                <w:szCs w:val="18"/>
              </w:rPr>
              <w:t>80A</w:t>
            </w:r>
          </w:p>
          <w:p>
            <w:pPr>
              <w:widowControl/>
              <w:textAlignment w:val="center"/>
              <w:rPr>
                <w:rFonts w:ascii="宋体" w:hAnsi="宋体" w:cs="宋体"/>
                <w:b/>
                <w:bCs/>
                <w:szCs w:val="21"/>
              </w:rPr>
            </w:pPr>
            <w:r>
              <w:rPr>
                <w:rFonts w:hint="eastAsia" w:ascii="宋体" w:hAnsi="宋体" w:cs="宋体"/>
                <w:b/>
                <w:bCs/>
                <w:sz w:val="18"/>
                <w:szCs w:val="18"/>
              </w:rPr>
              <w:t>电源供电使用</w:t>
            </w:r>
            <w:r>
              <w:rPr>
                <w:rFonts w:ascii="宋体" w:hAnsi="宋体" w:cs="宋体"/>
                <w:b/>
                <w:bCs/>
                <w:sz w:val="18"/>
                <w:szCs w:val="18"/>
              </w:rPr>
              <w:t>220</w:t>
            </w:r>
            <w:r>
              <w:rPr>
                <w:rFonts w:hint="eastAsia" w:ascii="宋体" w:hAnsi="宋体" w:cs="宋体"/>
                <w:b/>
                <w:bCs/>
                <w:sz w:val="18"/>
                <w:szCs w:val="18"/>
              </w:rPr>
              <w:t>V交流电</w:t>
            </w:r>
          </w:p>
        </w:tc>
        <w:tc>
          <w:tcPr>
            <w:tcW w:w="1804"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b w:val="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928"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b w:val="0"/>
                <w:szCs w:val="21"/>
              </w:rPr>
            </w:pPr>
            <w:r>
              <w:rPr>
                <w:rFonts w:hint="eastAsia" w:ascii="宋体" w:hAnsi="宋体" w:cs="宋体"/>
                <w:b w:val="0"/>
                <w:szCs w:val="21"/>
              </w:rPr>
              <w:t>4</w:t>
            </w:r>
          </w:p>
        </w:tc>
        <w:tc>
          <w:tcPr>
            <w:tcW w:w="20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kern w:val="0"/>
                <w:sz w:val="18"/>
                <w:szCs w:val="18"/>
              </w:rPr>
              <w:t>通电电缆</w:t>
            </w:r>
          </w:p>
        </w:tc>
        <w:tc>
          <w:tcPr>
            <w:tcW w:w="9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b/>
                <w:kern w:val="0"/>
                <w:szCs w:val="21"/>
              </w:rPr>
            </w:pPr>
            <w:r>
              <w:rPr>
                <w:rFonts w:hint="eastAsia" w:ascii="宋体" w:hAnsi="宋体" w:cs="宋体"/>
                <w:b/>
                <w:kern w:val="0"/>
                <w:szCs w:val="21"/>
              </w:rPr>
              <w:t>2</w:t>
            </w:r>
          </w:p>
        </w:tc>
        <w:tc>
          <w:tcPr>
            <w:tcW w:w="403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sz w:val="18"/>
                <w:szCs w:val="18"/>
              </w:rPr>
            </w:pPr>
            <w:r>
              <w:rPr>
                <w:rFonts w:hint="eastAsia" w:ascii="宋体" w:hAnsi="宋体" w:cs="宋体"/>
                <w:bCs/>
                <w:sz w:val="18"/>
                <w:szCs w:val="18"/>
              </w:rPr>
              <w:t>规格及参数要求：满足直流稳压电源（1）使用的参数要求，长度≥5m</w:t>
            </w:r>
          </w:p>
        </w:tc>
        <w:tc>
          <w:tcPr>
            <w:tcW w:w="1804" w:type="dxa"/>
            <w:tcBorders>
              <w:top w:val="single" w:color="auto" w:sz="4" w:space="0"/>
              <w:left w:val="single" w:color="auto" w:sz="4" w:space="0"/>
              <w:bottom w:val="single" w:color="auto" w:sz="4" w:space="0"/>
              <w:right w:val="single" w:color="auto" w:sz="4" w:space="0"/>
            </w:tcBorders>
            <w:vAlign w:val="center"/>
          </w:tcPr>
          <w:p>
            <w:pPr>
              <w:pStyle w:val="70"/>
              <w:rPr>
                <w:rFonts w:ascii="宋体" w:hAnsi="宋体" w:cs="宋体"/>
                <w:b w:val="0"/>
                <w:szCs w:val="21"/>
              </w:rPr>
            </w:pPr>
          </w:p>
        </w:tc>
      </w:tr>
    </w:tbl>
    <w:p>
      <w:pPr>
        <w:spacing w:line="360" w:lineRule="auto"/>
        <w:rPr>
          <w:rFonts w:ascii="宋体" w:hAnsi="宋体" w:cs="宋体"/>
          <w:color w:val="000000"/>
          <w:sz w:val="24"/>
          <w:szCs w:val="24"/>
        </w:rPr>
      </w:pPr>
    </w:p>
    <w:bookmarkEnd w:id="26"/>
    <w:p>
      <w:pPr>
        <w:pStyle w:val="72"/>
        <w:rPr>
          <w:rFonts w:ascii="宋体" w:hAnsi="宋体" w:cs="宋体"/>
          <w:highlight w:val="yellow"/>
        </w:rPr>
      </w:pPr>
      <w:r>
        <w:rPr>
          <w:rFonts w:hint="eastAsia" w:ascii="宋体" w:hAnsi="宋体" w:cs="宋体"/>
          <w:highlight w:val="yellow"/>
        </w:rPr>
        <w:t>四、执行标准</w:t>
      </w:r>
    </w:p>
    <w:p>
      <w:pPr>
        <w:spacing w:line="360" w:lineRule="auto"/>
        <w:ind w:firstLine="480" w:firstLineChars="200"/>
        <w:rPr>
          <w:rFonts w:ascii="宋体" w:hAnsi="宋体" w:cs="宋体"/>
          <w:color w:val="000000"/>
          <w:sz w:val="24"/>
          <w:szCs w:val="24"/>
          <w:highlight w:val="yellow"/>
        </w:rPr>
      </w:pPr>
      <w:r>
        <w:rPr>
          <w:rFonts w:hint="eastAsia" w:ascii="宋体" w:hAnsi="宋体" w:cs="宋体"/>
          <w:color w:val="000000"/>
          <w:sz w:val="24"/>
          <w:szCs w:val="24"/>
          <w:highlight w:val="yellow"/>
        </w:rPr>
        <w:t>1、投标方需要执行的标准，应当采用所供货物通过买方组织的最终验收之日已经开始执行的最新标准。</w:t>
      </w:r>
    </w:p>
    <w:p>
      <w:pPr>
        <w:spacing w:line="360" w:lineRule="auto"/>
        <w:ind w:firstLine="480" w:firstLineChars="200"/>
        <w:rPr>
          <w:rFonts w:ascii="宋体" w:hAnsi="宋体" w:cs="宋体"/>
          <w:color w:val="000000"/>
          <w:sz w:val="24"/>
          <w:szCs w:val="24"/>
          <w:highlight w:val="yellow"/>
        </w:rPr>
      </w:pPr>
      <w:r>
        <w:rPr>
          <w:rFonts w:hint="eastAsia" w:ascii="宋体" w:hAnsi="宋体" w:cs="宋体"/>
          <w:color w:val="000000"/>
          <w:sz w:val="24"/>
          <w:szCs w:val="24"/>
          <w:highlight w:val="yellow"/>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cs="宋体"/>
          <w:color w:val="000000"/>
          <w:sz w:val="24"/>
          <w:szCs w:val="24"/>
          <w:highlight w:val="yellow"/>
        </w:rPr>
      </w:pPr>
      <w:r>
        <w:rPr>
          <w:rFonts w:hint="eastAsia" w:ascii="宋体" w:hAnsi="宋体" w:cs="宋体"/>
          <w:color w:val="000000"/>
          <w:sz w:val="24"/>
          <w:szCs w:val="24"/>
          <w:highlight w:val="yellow"/>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cs="宋体"/>
          <w:color w:val="000000"/>
          <w:sz w:val="24"/>
          <w:szCs w:val="24"/>
          <w:highlight w:val="yellow"/>
        </w:rPr>
      </w:pPr>
      <w:r>
        <w:rPr>
          <w:rFonts w:hint="eastAsia" w:ascii="宋体" w:hAnsi="宋体" w:cs="宋体"/>
          <w:color w:val="000000"/>
          <w:sz w:val="24"/>
          <w:szCs w:val="24"/>
          <w:highlight w:val="yellow"/>
        </w:rPr>
        <w:t>5、采购货物如果采用国际标准，其执行标准由投标方提供、招标方确认。</w:t>
      </w:r>
    </w:p>
    <w:p>
      <w:pPr>
        <w:spacing w:line="360" w:lineRule="auto"/>
        <w:ind w:firstLine="480" w:firstLineChars="200"/>
        <w:rPr>
          <w:rFonts w:ascii="宋体" w:hAnsi="宋体" w:cs="宋体"/>
          <w:color w:val="000000"/>
          <w:sz w:val="24"/>
          <w:szCs w:val="24"/>
          <w:highlight w:val="yellow"/>
        </w:rPr>
      </w:pPr>
      <w:r>
        <w:rPr>
          <w:rFonts w:hint="eastAsia" w:ascii="宋体" w:hAnsi="宋体" w:cs="宋体"/>
          <w:color w:val="000000"/>
          <w:sz w:val="24"/>
          <w:szCs w:val="24"/>
          <w:highlight w:val="yellow"/>
        </w:rPr>
        <w:t>6、采购货物所涉及的标准不统一时，原则上按照最严格标准执行。</w:t>
      </w:r>
    </w:p>
    <w:bookmarkEnd w:id="25"/>
    <w:p>
      <w:pPr>
        <w:pStyle w:val="49"/>
        <w:outlineLvl w:val="1"/>
        <w:rPr>
          <w:rFonts w:ascii="宋体" w:hAnsi="宋体" w:eastAsia="宋体" w:cs="宋体"/>
          <w:i/>
        </w:rPr>
      </w:pPr>
      <w:r>
        <w:rPr>
          <w:rFonts w:hint="eastAsia" w:ascii="宋体" w:hAnsi="宋体" w:eastAsia="宋体" w:cs="宋体"/>
        </w:rPr>
        <w:br w:type="page"/>
      </w:r>
      <w:bookmarkStart w:id="27" w:name="_Toc465187642"/>
      <w:r>
        <w:rPr>
          <w:rFonts w:hint="eastAsia" w:ascii="宋体" w:hAnsi="宋体" w:eastAsia="宋体" w:cs="宋体"/>
          <w:i/>
        </w:rPr>
        <w:t>第三章  供货范围及供货方式</w:t>
      </w:r>
      <w:bookmarkEnd w:id="27"/>
    </w:p>
    <w:p>
      <w:pPr>
        <w:pStyle w:val="68"/>
        <w:jc w:val="center"/>
        <w:outlineLvl w:val="2"/>
        <w:rPr>
          <w:rFonts w:eastAsia="宋体" w:cs="宋体"/>
        </w:rPr>
      </w:pPr>
      <w:bookmarkStart w:id="28" w:name="_Toc465187643"/>
      <w:r>
        <w:rPr>
          <w:rFonts w:hint="eastAsia" w:eastAsia="宋体" w:cs="宋体"/>
        </w:rPr>
        <w:t>第一节  供货范围</w:t>
      </w:r>
      <w:bookmarkEnd w:id="28"/>
    </w:p>
    <w:p>
      <w:pPr>
        <w:pStyle w:val="72"/>
        <w:outlineLvl w:val="9"/>
        <w:rPr>
          <w:rFonts w:ascii="宋体" w:hAnsi="宋体" w:cs="宋体"/>
        </w:rPr>
      </w:pPr>
      <w:r>
        <w:rPr>
          <w:rFonts w:hint="eastAsia" w:ascii="宋体" w:hAnsi="宋体" w:cs="宋体"/>
        </w:rPr>
        <w:t>一、供货范围</w:t>
      </w:r>
    </w:p>
    <w:p>
      <w:pPr>
        <w:spacing w:line="420" w:lineRule="exact"/>
        <w:ind w:firstLine="482" w:firstLineChars="200"/>
        <w:rPr>
          <w:rFonts w:ascii="宋体" w:hAnsi="宋体" w:cs="宋体"/>
          <w:b/>
          <w:color w:val="000000"/>
          <w:sz w:val="24"/>
          <w:szCs w:val="24"/>
        </w:rPr>
      </w:pPr>
      <w:r>
        <w:rPr>
          <w:rFonts w:hint="eastAsia" w:ascii="宋体" w:hAnsi="宋体" w:cs="宋体"/>
          <w:b/>
          <w:color w:val="000000"/>
          <w:sz w:val="24"/>
          <w:szCs w:val="24"/>
        </w:rPr>
        <w:t>（一）一般界定</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1、包括本技术标书所列明的主要货物以及货物正常运行所必需的全套连线设备、材料等。</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2、包括为保证货物正常安装、调试和验收完成及以前所必需的整套配件、附件及材料等。</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如果终验收完成后，卖方有需要收回的配件、附件、材料等，应当在投标文件的技术偏离条款中，予以详细说明；否则视同包括在供货范围之内。</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3、包括货物维护维修所必需的专用工具。</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包括为保证货物自身正常运行所必需的、满足使用地点环境条件的通风、冷却、降温等必需设施。</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如投标方难以提供或无优势提供以及属于选用配置的，则应当在投标文件的技术偏离条款中，予以详细说明并注明投标报价未包含该部分的货值。</w:t>
      </w:r>
    </w:p>
    <w:p>
      <w:pPr>
        <w:spacing w:line="420" w:lineRule="exact"/>
        <w:ind w:firstLine="482" w:firstLineChars="200"/>
        <w:rPr>
          <w:rFonts w:ascii="宋体" w:hAnsi="宋体" w:cs="宋体"/>
          <w:b/>
          <w:color w:val="000000"/>
          <w:sz w:val="24"/>
          <w:szCs w:val="24"/>
        </w:rPr>
      </w:pPr>
      <w:r>
        <w:rPr>
          <w:rFonts w:hint="eastAsia" w:ascii="宋体" w:hAnsi="宋体" w:cs="宋体"/>
          <w:b/>
          <w:color w:val="000000"/>
          <w:sz w:val="24"/>
          <w:szCs w:val="24"/>
        </w:rPr>
        <w:t>（二）供货范围边界界定</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1、买方提供货物所需的建筑物（如厂房等）和构筑物（如混凝土池、砼基础等），包含正常安装施工所需的预埋件（如穿管、预埋螺栓、螺母及垫片）。</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4、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pPr>
        <w:pStyle w:val="72"/>
        <w:outlineLvl w:val="9"/>
        <w:rPr>
          <w:rFonts w:ascii="宋体" w:hAnsi="宋体" w:cs="宋体"/>
        </w:rPr>
      </w:pPr>
      <w:r>
        <w:rPr>
          <w:rFonts w:hint="eastAsia" w:ascii="宋体" w:hAnsi="宋体" w:cs="宋体"/>
        </w:rPr>
        <w:t>二、供货范围特别提示</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如果投标方认为本节所列的供货范围难以满足，则仍需要按照本要求提供，但该部分货物应当在投标报价中单独列明货物名称及品质、货值。</w:t>
      </w:r>
    </w:p>
    <w:p>
      <w:pPr>
        <w:spacing w:line="420" w:lineRule="exact"/>
        <w:ind w:firstLine="480" w:firstLineChars="200"/>
        <w:rPr>
          <w:rFonts w:ascii="宋体" w:hAnsi="宋体" w:cs="宋体"/>
          <w:color w:val="000000"/>
          <w:sz w:val="24"/>
          <w:szCs w:val="24"/>
        </w:rPr>
      </w:pPr>
    </w:p>
    <w:p>
      <w:pPr>
        <w:pStyle w:val="68"/>
        <w:jc w:val="center"/>
        <w:outlineLvl w:val="2"/>
        <w:rPr>
          <w:rFonts w:eastAsia="宋体" w:cs="宋体"/>
        </w:rPr>
      </w:pPr>
      <w:bookmarkStart w:id="29" w:name="_Toc465187644"/>
      <w:r>
        <w:rPr>
          <w:rFonts w:hint="eastAsia" w:eastAsia="宋体" w:cs="宋体"/>
        </w:rPr>
        <w:t>第二节  供货方式</w:t>
      </w:r>
      <w:bookmarkEnd w:id="29"/>
    </w:p>
    <w:p>
      <w:pPr>
        <w:pStyle w:val="72"/>
        <w:outlineLvl w:val="9"/>
        <w:rPr>
          <w:rFonts w:ascii="宋体" w:hAnsi="宋体" w:cs="宋体"/>
        </w:rPr>
      </w:pPr>
      <w:r>
        <w:rPr>
          <w:rFonts w:hint="eastAsia" w:ascii="宋体" w:hAnsi="宋体" w:cs="宋体"/>
        </w:rPr>
        <w:t>一、供货方式</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pStyle w:val="72"/>
        <w:outlineLvl w:val="9"/>
        <w:rPr>
          <w:rFonts w:ascii="宋体" w:hAnsi="宋体" w:cs="宋体"/>
          <w:b w:val="0"/>
          <w:bCs w:val="0"/>
          <w:highlight w:val="yellow"/>
        </w:rPr>
      </w:pPr>
      <w:r>
        <w:rPr>
          <w:rFonts w:hint="eastAsia" w:ascii="宋体" w:hAnsi="宋体" w:cs="宋体"/>
        </w:rPr>
        <w:t>二、供货地点：</w:t>
      </w:r>
      <w:r>
        <w:rPr>
          <w:rFonts w:hint="eastAsia" w:ascii="宋体" w:hAnsi="宋体" w:cs="宋体"/>
          <w:b w:val="0"/>
          <w:bCs w:val="0"/>
          <w:highlight w:val="yellow"/>
        </w:rPr>
        <w:t>中国重汽科技园产品试验检测中心</w:t>
      </w:r>
      <w:r>
        <w:rPr>
          <w:rFonts w:hint="eastAsia" w:ascii="宋体" w:hAnsi="宋体" w:cs="宋体"/>
          <w:highlight w:val="yellow"/>
          <w:u w:val="single"/>
          <w:shd w:val="pct10" w:color="auto" w:fill="FFFFFF"/>
        </w:rPr>
        <w:t xml:space="preserve">动力总成试验部章丘试验室 </w:t>
      </w:r>
      <w:r>
        <w:rPr>
          <w:rFonts w:hint="eastAsia" w:ascii="宋体" w:hAnsi="宋体" w:cs="宋体"/>
          <w:b w:val="0"/>
          <w:bCs w:val="0"/>
          <w:highlight w:val="yellow"/>
        </w:rPr>
        <w:t>。</w:t>
      </w:r>
    </w:p>
    <w:p>
      <w:pPr>
        <w:pStyle w:val="72"/>
        <w:outlineLvl w:val="9"/>
        <w:rPr>
          <w:rFonts w:ascii="宋体" w:hAnsi="宋体" w:cs="宋体"/>
        </w:rPr>
      </w:pPr>
      <w:r>
        <w:rPr>
          <w:rFonts w:hint="eastAsia" w:ascii="宋体" w:hAnsi="宋体" w:cs="宋体"/>
        </w:rPr>
        <w:t>三、供货时间</w:t>
      </w:r>
    </w:p>
    <w:p>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1、自合同签定生效之日起，</w:t>
      </w:r>
      <w:r>
        <w:rPr>
          <w:rFonts w:hint="eastAsia" w:ascii="宋体" w:hAnsi="宋体" w:cs="宋体"/>
          <w:color w:val="000000"/>
          <w:sz w:val="24"/>
          <w:szCs w:val="24"/>
          <w:u w:val="single"/>
          <w:shd w:val="pct10" w:color="auto" w:fill="FFFFFF"/>
        </w:rPr>
        <w:t xml:space="preserve">  30 </w:t>
      </w:r>
      <w:r>
        <w:rPr>
          <w:rFonts w:hint="eastAsia" w:ascii="宋体" w:hAnsi="宋体" w:cs="宋体"/>
          <w:color w:val="000000"/>
          <w:sz w:val="24"/>
          <w:szCs w:val="24"/>
        </w:rPr>
        <w:t>个日历日之内交货至供货地点。</w:t>
      </w:r>
    </w:p>
    <w:p>
      <w:pPr>
        <w:pStyle w:val="72"/>
        <w:outlineLvl w:val="9"/>
        <w:rPr>
          <w:rFonts w:ascii="宋体" w:hAnsi="宋体" w:cs="宋体"/>
        </w:rPr>
      </w:pPr>
      <w:r>
        <w:rPr>
          <w:rFonts w:hint="eastAsia" w:ascii="宋体" w:hAnsi="宋体" w:cs="宋体"/>
        </w:rPr>
        <w:t>四、包装</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1、所提供货物（或设备）的包装，应遵照国家标准和有关包装、包皮的技术条件，或按照最好的商业惯例进行包装。</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3、所提供货物（或设备）的包装，应能防止其一般性被窃或受外力破坏；一般不得采用有大缝隙的板条包装。</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4、应对包装件做必要的加固和固定，以防止运输可能造成的损坏。</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7、应按照不同的装运要求在包装箱上标明“小心轻放”、“箭头向上”、“防潮”、“防磁”、“不准平放”等标志，以及其它适用的国标通用标志。</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8、包装箱应连续编号，不应出现重复编号。</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9、在不受到外界破坏情况下，包装应保证自交货日起一年内货物（或设备）完好无损。</w:t>
      </w:r>
    </w:p>
    <w:p>
      <w:pPr>
        <w:pStyle w:val="72"/>
        <w:outlineLvl w:val="9"/>
        <w:rPr>
          <w:rFonts w:ascii="宋体" w:hAnsi="宋体" w:cs="宋体"/>
        </w:rPr>
      </w:pPr>
      <w:r>
        <w:rPr>
          <w:rFonts w:hint="eastAsia" w:ascii="宋体" w:hAnsi="宋体" w:cs="宋体"/>
        </w:rPr>
        <w:t>五、运输</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1、应负责将货物（或设备）运到目的地，并必须做到货物（或设备）在任何运输过程中不受损坏和遗失。</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2、同批货物（或设备）应统一包装、编号运输。</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3、一般情况下，经由铁路、公路运输的包装件尺寸和重量不应超过国家所规定的尺寸限制。特殊情况应予以说明。</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4、在每批货物（或设备）发出后，应立即通知买方；通知中应指明：合同号、货运单号、件数、重量和货物（或设备）发出日期等相关内容。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5、货物（或设备）运抵交货地点后，应负责货物（或设备）的卸货、搬运、保管等事宜；或按照合同约定。</w:t>
      </w:r>
    </w:p>
    <w:p>
      <w:pPr>
        <w:adjustRightInd w:val="0"/>
        <w:snapToGrid w:val="0"/>
        <w:spacing w:line="420" w:lineRule="exact"/>
        <w:ind w:firstLine="480" w:firstLineChars="200"/>
        <w:rPr>
          <w:rFonts w:ascii="宋体" w:hAnsi="宋体" w:cs="宋体"/>
          <w:color w:val="000000"/>
          <w:sz w:val="24"/>
          <w:szCs w:val="24"/>
        </w:rPr>
      </w:pPr>
    </w:p>
    <w:p>
      <w:pPr>
        <w:pStyle w:val="49"/>
        <w:outlineLvl w:val="1"/>
        <w:rPr>
          <w:rFonts w:ascii="宋体" w:hAnsi="宋体" w:eastAsia="宋体" w:cs="宋体"/>
          <w:i/>
        </w:rPr>
      </w:pPr>
      <w:r>
        <w:rPr>
          <w:rFonts w:hint="eastAsia" w:ascii="宋体" w:hAnsi="宋体" w:eastAsia="宋体" w:cs="宋体"/>
        </w:rPr>
        <w:br w:type="page"/>
      </w:r>
      <w:bookmarkStart w:id="30" w:name="_Toc465187645"/>
      <w:r>
        <w:rPr>
          <w:rFonts w:hint="eastAsia" w:ascii="宋体" w:hAnsi="宋体" w:eastAsia="宋体" w:cs="宋体"/>
          <w:i/>
        </w:rPr>
        <w:t>第四章  质保期及售后服务</w:t>
      </w:r>
      <w:bookmarkEnd w:id="30"/>
    </w:p>
    <w:p>
      <w:pPr>
        <w:pStyle w:val="72"/>
        <w:rPr>
          <w:rFonts w:ascii="宋体" w:hAnsi="宋体" w:cs="宋体"/>
        </w:rPr>
      </w:pPr>
      <w:r>
        <w:rPr>
          <w:rFonts w:hint="eastAsia" w:ascii="宋体" w:hAnsi="宋体" w:cs="宋体"/>
        </w:rPr>
        <w:t>一、质保期及质保要求</w:t>
      </w:r>
    </w:p>
    <w:p>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highlight w:val="yellow"/>
        </w:rPr>
        <w:t>1、全部供货范围内的设备、材料、零配件和工器具等，除合同特别约定外，其质保期均自终验收签字生效之日起</w:t>
      </w:r>
      <w:r>
        <w:rPr>
          <w:rFonts w:hint="eastAsia" w:ascii="宋体" w:hAnsi="宋体" w:cs="宋体"/>
          <w:color w:val="000000"/>
          <w:sz w:val="24"/>
          <w:szCs w:val="24"/>
          <w:highlight w:val="yellow"/>
          <w:u w:val="single"/>
          <w:shd w:val="pct10" w:color="auto" w:fill="FFFFFF"/>
        </w:rPr>
        <w:t xml:space="preserve"> 12 </w:t>
      </w:r>
      <w:r>
        <w:rPr>
          <w:rFonts w:hint="eastAsia" w:ascii="宋体" w:hAnsi="宋体" w:cs="宋体"/>
          <w:color w:val="000000"/>
          <w:sz w:val="24"/>
          <w:szCs w:val="24"/>
          <w:highlight w:val="yellow"/>
        </w:rPr>
        <w:t>个月。</w:t>
      </w:r>
    </w:p>
    <w:p>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投标货物或涉及的关键总成和零件，如果有更长时间质保期，允许更改并说明，此将有利于投标方。</w:t>
      </w:r>
    </w:p>
    <w:p>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设计使用寿命短于质保期的易损件除外，但属于易损件的，应当有明确说明。</w:t>
      </w:r>
    </w:p>
    <w:p>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3、质保期内免费提供零部件和及时有效的服务。质保期内因货物本身缺陷造成的各种故障，卖方应负责免费维修和服务。</w:t>
      </w:r>
    </w:p>
    <w:p>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4、质保期终止之日起一年内重复出现的质保期之内出现的故障，仍属质保范围而且应当免费。</w:t>
      </w:r>
    </w:p>
    <w:p>
      <w:pPr>
        <w:pStyle w:val="72"/>
        <w:rPr>
          <w:rFonts w:ascii="宋体" w:hAnsi="宋体" w:cs="宋体"/>
        </w:rPr>
      </w:pPr>
      <w:r>
        <w:rPr>
          <w:rFonts w:hint="eastAsia" w:ascii="宋体" w:hAnsi="宋体" w:cs="宋体"/>
        </w:rPr>
        <w:t>二、售后服务</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2、如发现所提供的货物存在问题，需要卖方解决或配合解决时：在质保期之内，应在接到通知后</w:t>
      </w:r>
      <w:r>
        <w:rPr>
          <w:rFonts w:hint="eastAsia" w:ascii="宋体" w:hAnsi="宋体" w:cs="宋体"/>
          <w:color w:val="000000"/>
          <w:sz w:val="24"/>
          <w:szCs w:val="24"/>
          <w:u w:val="single"/>
          <w:shd w:val="pct10" w:color="auto" w:fill="FFFFFF"/>
        </w:rPr>
        <w:t xml:space="preserve">  24   </w:t>
      </w:r>
      <w:r>
        <w:rPr>
          <w:rFonts w:hint="eastAsia" w:ascii="宋体" w:hAnsi="宋体" w:cs="宋体"/>
          <w:color w:val="000000"/>
          <w:sz w:val="24"/>
          <w:szCs w:val="24"/>
        </w:rPr>
        <w:t>小时内派有关人员到达现场；在质保期之外，应在接到通知后</w:t>
      </w:r>
      <w:r>
        <w:rPr>
          <w:rFonts w:hint="eastAsia" w:ascii="宋体" w:hAnsi="宋体" w:cs="宋体"/>
          <w:color w:val="000000"/>
          <w:sz w:val="24"/>
          <w:szCs w:val="24"/>
          <w:u w:val="single"/>
          <w:shd w:val="pct10" w:color="auto" w:fill="FFFFFF"/>
        </w:rPr>
        <w:t xml:space="preserve">  72   </w:t>
      </w:r>
      <w:r>
        <w:rPr>
          <w:rFonts w:hint="eastAsia" w:ascii="宋体" w:hAnsi="宋体" w:cs="宋体"/>
          <w:color w:val="000000"/>
          <w:sz w:val="24"/>
          <w:szCs w:val="24"/>
        </w:rPr>
        <w:t>小时内派有关人员到达现场。</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3、卖方派往买方使用现场的人员，应具有较高的业务素质；现场解决问题时，不得无故拖延或推迟，应为买方提供最佳的服务。</w:t>
      </w:r>
    </w:p>
    <w:p>
      <w:pPr>
        <w:pStyle w:val="72"/>
        <w:rPr>
          <w:rFonts w:ascii="宋体" w:hAnsi="宋体" w:cs="宋体"/>
        </w:rPr>
      </w:pPr>
      <w:r>
        <w:rPr>
          <w:rFonts w:hint="eastAsia" w:ascii="宋体" w:hAnsi="宋体" w:cs="宋体"/>
        </w:rPr>
        <w:t>三、其它服务</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1、若卖方所提供货物有需要进口的，卖方一般应自行、自费办理；必要时，买卖双方共同办理。</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2、除招标文件、投标文件、答疑文件、技术标书、合同等约定之外，卖方应免费负责必要的或强制性的货物的检验、试验、化验等直接费用。</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3、本章节条款所列“免费”，并非指定不可收费，而是指招标文件、投标文件、答疑文件、技术交流文件、技术标书和合同等范围之外，投标方不可另行收取的费用。</w:t>
      </w:r>
    </w:p>
    <w:p>
      <w:pPr>
        <w:pStyle w:val="49"/>
        <w:outlineLvl w:val="1"/>
        <w:rPr>
          <w:rFonts w:ascii="宋体" w:hAnsi="宋体" w:eastAsia="宋体" w:cs="宋体"/>
          <w:i/>
        </w:rPr>
      </w:pPr>
      <w:r>
        <w:rPr>
          <w:rFonts w:hint="eastAsia" w:ascii="宋体" w:hAnsi="宋体" w:eastAsia="宋体" w:cs="宋体"/>
        </w:rPr>
        <w:br w:type="page"/>
      </w:r>
      <w:bookmarkStart w:id="31" w:name="_Toc465187647"/>
      <w:r>
        <w:rPr>
          <w:rFonts w:hint="eastAsia" w:ascii="宋体" w:hAnsi="宋体" w:eastAsia="宋体" w:cs="宋体"/>
          <w:i/>
        </w:rPr>
        <w:t>第五章  投标技术文件一般要求</w:t>
      </w:r>
      <w:bookmarkEnd w:id="31"/>
    </w:p>
    <w:p>
      <w:pPr>
        <w:pStyle w:val="72"/>
        <w:rPr>
          <w:rFonts w:ascii="宋体" w:hAnsi="宋体" w:cs="宋体"/>
        </w:rPr>
      </w:pPr>
      <w:r>
        <w:rPr>
          <w:rFonts w:hint="eastAsia" w:ascii="宋体" w:hAnsi="宋体" w:cs="宋体"/>
        </w:rPr>
        <w:t>一、技术文件一般内容要求</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1、投标方应认真阅读招标文件和本技术标书，并按要求编写投标技术文件。</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2、投标技术文件至少应对投标货物的功能用途、技术性能、质量标准、技术参数等作出详细说明。</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3、投标技术文件至少应根据投标货物的关键设备、总成、零部件或系统作出满足或优于招标文件要求的详细说明。</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4、“开标一览表”和“明细表”仅作为投标方编制投标技术文件的一般格式。其中序号编写应当便于招标方了解分类或分项货物之间的所属关系，如1、1.1、1.2。</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5、应当尽可能将货物的配置列全、列细，这将有助于投标方胜出。</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6、单价与总价之间、总价与分类小计价之间、分类小计价与合计价之间数据应当齐全而且准确。</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7、本条款表格中的制造商，应当为全称或公认的简称。</w:t>
      </w:r>
    </w:p>
    <w:p>
      <w:pPr>
        <w:pStyle w:val="72"/>
        <w:rPr>
          <w:rFonts w:ascii="宋体" w:hAnsi="宋体" w:cs="宋体"/>
        </w:rPr>
      </w:pPr>
      <w:r>
        <w:rPr>
          <w:rFonts w:hint="eastAsia" w:ascii="宋体" w:hAnsi="宋体" w:cs="宋体"/>
        </w:rPr>
        <w:t>二、技术文件中货物报价格式要求</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2、如果投标总报价与其它价格出现错误或不一致，将有可能导致废标。</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4、备品备件、易损件和专用耗材，招标方将可能与投标方按照投标价格另行签署供货合同。</w:t>
      </w:r>
    </w:p>
    <w:p>
      <w:pPr>
        <w:spacing w:line="420" w:lineRule="exact"/>
        <w:ind w:firstLine="480" w:firstLineChars="200"/>
        <w:rPr>
          <w:rFonts w:ascii="宋体" w:hAnsi="宋体" w:cs="宋体"/>
          <w:i/>
        </w:rPr>
        <w:sectPr>
          <w:headerReference r:id="rId11" w:type="default"/>
          <w:footerReference r:id="rId12" w:type="default"/>
          <w:pgSz w:w="11906" w:h="16838"/>
          <w:pgMar w:top="1588" w:right="1418" w:bottom="1134" w:left="1418" w:header="724" w:footer="851" w:gutter="0"/>
          <w:pgNumType w:fmt="numberInDash"/>
          <w:cols w:space="720" w:num="1"/>
          <w:docGrid w:linePitch="290" w:charSpace="-3931"/>
        </w:sectPr>
      </w:pPr>
      <w:r>
        <w:rPr>
          <w:rFonts w:hint="eastAsia" w:ascii="宋体" w:hAnsi="宋体" w:cs="宋体"/>
          <w:color w:val="000000"/>
          <w:sz w:val="24"/>
          <w:szCs w:val="24"/>
        </w:rPr>
        <w:t>5、要求投标总报价、分项报价、明细报价之间应当具有相互间对应关系以及填报分项和明细报价，仅为便于评标而不妨碍投标人以最合适的形式签署合同。</w:t>
      </w:r>
      <w:bookmarkStart w:id="32" w:name="_Toc465187648"/>
    </w:p>
    <w:p>
      <w:pPr>
        <w:pStyle w:val="49"/>
        <w:outlineLvl w:val="1"/>
        <w:rPr>
          <w:rFonts w:ascii="宋体" w:hAnsi="宋体" w:eastAsia="宋体" w:cs="宋体"/>
          <w:i/>
        </w:rPr>
      </w:pPr>
      <w:r>
        <w:rPr>
          <w:rFonts w:hint="eastAsia" w:ascii="宋体" w:hAnsi="宋体" w:eastAsia="宋体" w:cs="宋体"/>
          <w:i/>
        </w:rPr>
        <w:t>第六章  其它要求及说明</w:t>
      </w:r>
      <w:bookmarkEnd w:id="32"/>
    </w:p>
    <w:p>
      <w:pPr>
        <w:pStyle w:val="72"/>
        <w:rPr>
          <w:rFonts w:ascii="宋体" w:hAnsi="宋体" w:cs="宋体"/>
        </w:rPr>
      </w:pPr>
      <w:r>
        <w:rPr>
          <w:rFonts w:hint="eastAsia" w:ascii="宋体" w:hAnsi="宋体" w:cs="宋体"/>
        </w:rPr>
        <w:t>一、要求</w:t>
      </w:r>
    </w:p>
    <w:p>
      <w:pPr>
        <w:pStyle w:val="18"/>
        <w:spacing w:line="420" w:lineRule="exact"/>
        <w:rPr>
          <w:rFonts w:ascii="宋体" w:hAnsi="宋体" w:cs="宋体"/>
          <w:color w:val="000000"/>
          <w:sz w:val="24"/>
          <w:szCs w:val="24"/>
        </w:rPr>
      </w:pPr>
      <w:r>
        <w:rPr>
          <w:rFonts w:hint="eastAsia" w:ascii="宋体" w:hAnsi="宋体" w:cs="宋体"/>
          <w:color w:val="000000"/>
          <w:sz w:val="24"/>
          <w:szCs w:val="24"/>
        </w:rPr>
        <w:t>为保证本技术标书所列采购货物的质量以及先进性、可靠性、经济性和实用性，要求投标方在投标文件中，至少应具备以下资格证明文件或资料：</w:t>
      </w:r>
    </w:p>
    <w:p>
      <w:pPr>
        <w:spacing w:line="420" w:lineRule="exact"/>
        <w:ind w:firstLine="477" w:firstLineChars="199"/>
        <w:rPr>
          <w:rFonts w:ascii="宋体" w:hAnsi="宋体" w:cs="宋体"/>
          <w:color w:val="000000"/>
          <w:sz w:val="24"/>
          <w:szCs w:val="24"/>
        </w:rPr>
      </w:pPr>
      <w:r>
        <w:rPr>
          <w:rFonts w:hint="eastAsia" w:ascii="宋体" w:hAnsi="宋体" w:cs="宋体"/>
          <w:color w:val="000000"/>
          <w:sz w:val="24"/>
          <w:szCs w:val="24"/>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ascii="宋体" w:hAnsi="宋体" w:cs="宋体"/>
          <w:color w:val="000000"/>
          <w:sz w:val="24"/>
          <w:szCs w:val="24"/>
        </w:rPr>
      </w:pPr>
      <w:r>
        <w:rPr>
          <w:rFonts w:hint="eastAsia" w:ascii="宋体" w:hAnsi="宋体" w:cs="宋体"/>
          <w:color w:val="000000"/>
          <w:sz w:val="24"/>
          <w:szCs w:val="24"/>
        </w:rPr>
        <w:t>2、投标方应当是通过有关资格认证的法人。应当在投标文件中提供有效期内的资格认证证书，如：ISO9001、VDA6.1、QS9000等。</w:t>
      </w:r>
    </w:p>
    <w:p>
      <w:pPr>
        <w:spacing w:line="420" w:lineRule="exact"/>
        <w:ind w:firstLine="477" w:firstLineChars="199"/>
        <w:rPr>
          <w:rFonts w:ascii="宋体" w:hAnsi="宋体" w:cs="宋体"/>
          <w:color w:val="000000"/>
          <w:sz w:val="24"/>
          <w:szCs w:val="24"/>
        </w:rPr>
      </w:pPr>
      <w:r>
        <w:rPr>
          <w:rFonts w:hint="eastAsia" w:ascii="宋体" w:hAnsi="宋体" w:cs="宋体"/>
          <w:color w:val="000000"/>
          <w:sz w:val="24"/>
          <w:szCs w:val="24"/>
        </w:rPr>
        <w:t>3、国产设备应附有采购货物（或设备）涉及的由“中国质量认证中心”颁发的《中国国家强制性产品认证证书》（CCC证书）。</w:t>
      </w:r>
    </w:p>
    <w:p>
      <w:pPr>
        <w:spacing w:line="420" w:lineRule="exact"/>
        <w:ind w:firstLine="477" w:firstLineChars="199"/>
        <w:rPr>
          <w:rFonts w:ascii="宋体" w:hAnsi="宋体" w:cs="宋体"/>
          <w:color w:val="000000"/>
          <w:sz w:val="24"/>
          <w:szCs w:val="24"/>
        </w:rPr>
      </w:pPr>
      <w:r>
        <w:rPr>
          <w:rFonts w:hint="eastAsia" w:ascii="宋体" w:hAnsi="宋体" w:cs="宋体"/>
          <w:color w:val="000000"/>
          <w:sz w:val="24"/>
          <w:szCs w:val="24"/>
        </w:rPr>
        <w:t>4、应附有其它与投标单位、采购货物有关的荣誉证书或资料。</w:t>
      </w:r>
    </w:p>
    <w:p>
      <w:pPr>
        <w:spacing w:line="420" w:lineRule="exact"/>
        <w:ind w:firstLine="477" w:firstLineChars="199"/>
        <w:rPr>
          <w:rFonts w:ascii="宋体" w:hAnsi="宋体" w:cs="宋体"/>
          <w:color w:val="000000"/>
          <w:sz w:val="24"/>
          <w:szCs w:val="24"/>
        </w:rPr>
      </w:pPr>
      <w:r>
        <w:rPr>
          <w:rFonts w:hint="eastAsia" w:ascii="宋体" w:hAnsi="宋体" w:cs="宋体"/>
          <w:color w:val="000000"/>
          <w:sz w:val="24"/>
          <w:szCs w:val="24"/>
        </w:rPr>
        <w:t>5、必须附有投标货物涉及产品要求的、国家或行业管理规定要求的、或者投标方认为能够体现其投标货物合法性及先进性的最高级别的证明材料（投标货物不涉及的除外）：</w:t>
      </w:r>
    </w:p>
    <w:p>
      <w:pPr>
        <w:spacing w:line="420" w:lineRule="exact"/>
        <w:ind w:firstLine="477" w:firstLineChars="199"/>
        <w:rPr>
          <w:rFonts w:ascii="宋体" w:hAnsi="宋体" w:cs="宋体"/>
          <w:color w:val="000000"/>
          <w:sz w:val="24"/>
          <w:szCs w:val="24"/>
        </w:rPr>
      </w:pPr>
      <w:r>
        <w:rPr>
          <w:rFonts w:hint="eastAsia" w:ascii="宋体" w:hAnsi="宋体" w:cs="宋体"/>
          <w:color w:val="000000"/>
          <w:sz w:val="24"/>
          <w:szCs w:val="24"/>
        </w:rPr>
        <w:t>5.1  国家相关机构颁发的有效期之内所必需的《生产许可证》。</w:t>
      </w:r>
    </w:p>
    <w:p>
      <w:pPr>
        <w:spacing w:line="420" w:lineRule="exact"/>
        <w:ind w:firstLine="477" w:firstLineChars="199"/>
        <w:rPr>
          <w:rFonts w:ascii="宋体" w:hAnsi="宋体" w:cs="宋体"/>
          <w:color w:val="000000"/>
          <w:sz w:val="24"/>
          <w:szCs w:val="24"/>
        </w:rPr>
      </w:pPr>
      <w:r>
        <w:rPr>
          <w:rFonts w:hint="eastAsia" w:ascii="宋体" w:hAnsi="宋体" w:cs="宋体"/>
          <w:color w:val="000000"/>
          <w:sz w:val="24"/>
          <w:szCs w:val="24"/>
        </w:rPr>
        <w:t>5.2  产品（或技术）鉴定报告/证书、专利证书或专利许可证书、新技术成果证书等。</w:t>
      </w:r>
    </w:p>
    <w:p>
      <w:pPr>
        <w:spacing w:line="420" w:lineRule="exact"/>
        <w:ind w:firstLine="477" w:firstLineChars="199"/>
        <w:rPr>
          <w:rFonts w:ascii="宋体" w:hAnsi="宋体" w:cs="宋体"/>
          <w:color w:val="000000"/>
          <w:sz w:val="24"/>
          <w:szCs w:val="24"/>
        </w:rPr>
      </w:pPr>
      <w:r>
        <w:rPr>
          <w:rFonts w:hint="eastAsia" w:ascii="宋体" w:hAnsi="宋体" w:cs="宋体"/>
          <w:color w:val="000000"/>
          <w:sz w:val="24"/>
          <w:szCs w:val="24"/>
        </w:rPr>
        <w:t>5.3  产品相关检验、试验报告，如：型式试验检验报告、安全试验检验报告、电弧效应试验报告、噪声检测报告等</w:t>
      </w:r>
    </w:p>
    <w:p>
      <w:pPr>
        <w:spacing w:line="420" w:lineRule="exact"/>
        <w:ind w:firstLine="477" w:firstLineChars="199"/>
        <w:rPr>
          <w:rFonts w:ascii="宋体" w:hAnsi="宋体" w:cs="宋体"/>
          <w:color w:val="000000"/>
          <w:sz w:val="24"/>
          <w:szCs w:val="24"/>
        </w:rPr>
      </w:pPr>
      <w:r>
        <w:rPr>
          <w:rFonts w:hint="eastAsia" w:ascii="宋体" w:hAnsi="宋体" w:cs="宋体"/>
          <w:color w:val="000000"/>
          <w:sz w:val="24"/>
          <w:szCs w:val="24"/>
        </w:rPr>
        <w:t>5.4  其它能够证明所供货物的质量水平、技术水平、安全性水平、节能性水平、环保性水平等相关的其它证明文件或资料、报告等。</w:t>
      </w:r>
    </w:p>
    <w:p>
      <w:pPr>
        <w:spacing w:line="420" w:lineRule="exact"/>
        <w:ind w:firstLine="477" w:firstLineChars="199"/>
        <w:rPr>
          <w:rFonts w:ascii="宋体" w:hAnsi="宋体" w:cs="宋体"/>
          <w:color w:val="000000"/>
          <w:sz w:val="24"/>
          <w:szCs w:val="24"/>
        </w:rPr>
      </w:pPr>
      <w:r>
        <w:rPr>
          <w:rFonts w:hint="eastAsia" w:ascii="宋体" w:hAnsi="宋体" w:cs="宋体"/>
          <w:color w:val="000000"/>
          <w:sz w:val="24"/>
          <w:szCs w:val="24"/>
        </w:rPr>
        <w:t>5.5  该类报告或证明材料对于投标方胜出乃至中标极为重要！</w:t>
      </w:r>
    </w:p>
    <w:p>
      <w:pPr>
        <w:spacing w:line="420" w:lineRule="exact"/>
        <w:ind w:firstLine="479" w:firstLineChars="199"/>
        <w:rPr>
          <w:rFonts w:ascii="宋体" w:hAnsi="宋体" w:cs="宋体"/>
          <w:color w:val="000000"/>
          <w:sz w:val="24"/>
          <w:szCs w:val="24"/>
        </w:rPr>
      </w:pPr>
      <w:r>
        <w:rPr>
          <w:rFonts w:hint="eastAsia" w:ascii="宋体" w:hAnsi="宋体" w:cs="宋体"/>
          <w:b/>
          <w:color w:val="000000"/>
          <w:sz w:val="24"/>
          <w:szCs w:val="24"/>
        </w:rPr>
        <w:t>6、必须附有：</w:t>
      </w:r>
      <w:r>
        <w:rPr>
          <w:rFonts w:hint="eastAsia" w:ascii="宋体" w:hAnsi="宋体" w:cs="宋体"/>
          <w:color w:val="000000"/>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pStyle w:val="72"/>
        <w:rPr>
          <w:rFonts w:ascii="宋体" w:hAnsi="宋体" w:cs="宋体"/>
        </w:rPr>
      </w:pPr>
      <w:r>
        <w:rPr>
          <w:rFonts w:hint="eastAsia" w:ascii="宋体" w:hAnsi="宋体" w:cs="宋体"/>
        </w:rPr>
        <w:t>二、说明</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4、招标文件、投标文件、答疑文件、技术交流文件、技术标书等，在采购过程全部为有效文件，如有差异，以对招标方最有利的条款为准。</w:t>
      </w:r>
    </w:p>
    <w:p>
      <w:pPr>
        <w:spacing w:line="420" w:lineRule="exact"/>
        <w:ind w:firstLine="480" w:firstLineChars="200"/>
        <w:rPr>
          <w:rFonts w:ascii="宋体" w:hAnsi="宋体" w:cs="宋体"/>
          <w:color w:val="000000"/>
          <w:sz w:val="24"/>
          <w:szCs w:val="24"/>
        </w:rPr>
        <w:sectPr>
          <w:pgSz w:w="11906" w:h="16838"/>
          <w:pgMar w:top="1588" w:right="1418" w:bottom="1134" w:left="1418" w:header="851" w:footer="992" w:gutter="0"/>
          <w:pgNumType w:fmt="numberInDash"/>
          <w:cols w:space="720" w:num="1"/>
          <w:docGrid w:linePitch="312" w:charSpace="0"/>
        </w:sectPr>
      </w:pPr>
      <w:r>
        <w:rPr>
          <w:rFonts w:hint="eastAsia" w:ascii="宋体" w:hAnsi="宋体" w:cs="宋体"/>
          <w:color w:val="000000"/>
          <w:sz w:val="24"/>
          <w:szCs w:val="24"/>
        </w:rPr>
        <w:t>5、为避免歧异，本技术标书涉及招投标环节的条款，均将潜在的卖方称为投标方、将买方称为招标方；定标后合同签署环节以及后续的合同执行环节条款，招标方称为买方、投标方中的中标方称为卖</w:t>
      </w:r>
    </w:p>
    <w:tbl>
      <w:tblPr>
        <w:tblStyle w:val="32"/>
        <w:tblpPr w:leftFromText="180" w:rightFromText="180" w:vertAnchor="page" w:horzAnchor="margin" w:tblpXSpec="center" w:tblpY="1463"/>
        <w:tblW w:w="10726" w:type="dxa"/>
        <w:tblInd w:w="0" w:type="dxa"/>
        <w:tblLayout w:type="fixed"/>
        <w:tblCellMar>
          <w:top w:w="0" w:type="dxa"/>
          <w:left w:w="108" w:type="dxa"/>
          <w:bottom w:w="0" w:type="dxa"/>
          <w:right w:w="108" w:type="dxa"/>
        </w:tblCellMar>
      </w:tblPr>
      <w:tblGrid>
        <w:gridCol w:w="554"/>
        <w:gridCol w:w="1304"/>
        <w:gridCol w:w="1380"/>
        <w:gridCol w:w="792"/>
        <w:gridCol w:w="792"/>
        <w:gridCol w:w="1164"/>
        <w:gridCol w:w="864"/>
        <w:gridCol w:w="888"/>
        <w:gridCol w:w="1212"/>
        <w:gridCol w:w="1068"/>
        <w:gridCol w:w="708"/>
      </w:tblGrid>
      <w:tr>
        <w:tblPrEx>
          <w:tblCellMar>
            <w:top w:w="0" w:type="dxa"/>
            <w:left w:w="108" w:type="dxa"/>
            <w:bottom w:w="0" w:type="dxa"/>
            <w:right w:w="108" w:type="dxa"/>
          </w:tblCellMar>
        </w:tblPrEx>
        <w:trPr>
          <w:trHeight w:val="456" w:hRule="atLeast"/>
        </w:trPr>
        <w:tc>
          <w:tcPr>
            <w:tcW w:w="10726" w:type="dxa"/>
            <w:gridSpan w:val="11"/>
            <w:tcBorders>
              <w:top w:val="nil"/>
              <w:left w:val="nil"/>
              <w:bottom w:val="nil"/>
              <w:right w:val="nil"/>
            </w:tcBorders>
            <w:shd w:val="clear" w:color="auto" w:fill="auto"/>
          </w:tcPr>
          <w:p>
            <w:pPr>
              <w:widowControl/>
              <w:jc w:val="center"/>
              <w:textAlignment w:val="top"/>
              <w:rPr>
                <w:rFonts w:ascii="方正小标宋简体" w:hAnsi="宋体" w:eastAsia="方正小标宋简体" w:cs="宋体"/>
                <w:b/>
                <w:bCs/>
                <w:color w:val="000000"/>
                <w:sz w:val="52"/>
                <w:szCs w:val="52"/>
              </w:rPr>
            </w:pPr>
            <w:r>
              <w:rPr>
                <w:rFonts w:hint="eastAsia" w:ascii="方正小标宋简体" w:hAnsi="宋体" w:eastAsia="方正小标宋简体" w:cs="宋体"/>
                <w:b/>
                <w:bCs/>
                <w:color w:val="000000"/>
                <w:kern w:val="0"/>
                <w:sz w:val="52"/>
                <w:szCs w:val="52"/>
                <w:lang w:bidi="ar"/>
              </w:rPr>
              <w:t xml:space="preserve">第七章 采购合同（以最终签订版为准）   </w:t>
            </w:r>
            <w:r>
              <w:rPr>
                <w:rStyle w:val="102"/>
                <w:rFonts w:hint="default" w:ascii="方正小标宋简体" w:eastAsia="方正小标宋简体"/>
                <w:sz w:val="52"/>
                <w:szCs w:val="52"/>
                <w:lang w:bidi="ar"/>
              </w:rPr>
              <w:t xml:space="preserve">   </w:t>
            </w:r>
          </w:p>
        </w:tc>
      </w:tr>
      <w:tr>
        <w:tblPrEx>
          <w:tblCellMar>
            <w:top w:w="0" w:type="dxa"/>
            <w:left w:w="108" w:type="dxa"/>
            <w:bottom w:w="0" w:type="dxa"/>
            <w:right w:w="108" w:type="dxa"/>
          </w:tblCellMar>
        </w:tblPrEx>
        <w:trPr>
          <w:trHeight w:val="360" w:hRule="atLeast"/>
        </w:trPr>
        <w:tc>
          <w:tcPr>
            <w:tcW w:w="10726" w:type="dxa"/>
            <w:gridSpan w:val="11"/>
            <w:tcBorders>
              <w:top w:val="nil"/>
              <w:left w:val="nil"/>
              <w:bottom w:val="nil"/>
              <w:right w:val="nil"/>
            </w:tcBorders>
            <w:shd w:val="clear" w:color="auto" w:fill="auto"/>
          </w:tcPr>
          <w:p>
            <w:pPr>
              <w:widowControl/>
              <w:spacing w:line="360" w:lineRule="auto"/>
              <w:jc w:val="left"/>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签订时间：      年   月   日                                     签订地点：</w:t>
            </w:r>
          </w:p>
        </w:tc>
      </w:tr>
      <w:tr>
        <w:tblPrEx>
          <w:tblCellMar>
            <w:top w:w="0" w:type="dxa"/>
            <w:left w:w="108" w:type="dxa"/>
            <w:bottom w:w="0" w:type="dxa"/>
            <w:right w:w="108" w:type="dxa"/>
          </w:tblCellMar>
        </w:tblPrEx>
        <w:trPr>
          <w:trHeight w:val="360" w:hRule="atLeast"/>
        </w:trPr>
        <w:tc>
          <w:tcPr>
            <w:tcW w:w="10726" w:type="dxa"/>
            <w:gridSpan w:val="11"/>
            <w:tcBorders>
              <w:top w:val="nil"/>
              <w:left w:val="nil"/>
              <w:bottom w:val="nil"/>
              <w:right w:val="nil"/>
            </w:tcBorders>
            <w:shd w:val="clear" w:color="auto" w:fill="auto"/>
            <w:vAlign w:val="bottom"/>
          </w:tcPr>
          <w:p>
            <w:pPr>
              <w:widowControl/>
              <w:spacing w:line="360" w:lineRule="auto"/>
              <w:jc w:val="left"/>
              <w:textAlignment w:val="bottom"/>
              <w:rPr>
                <w:rFonts w:ascii="仿宋_GB2312" w:hAnsi="宋体" w:eastAsia="仿宋_GB2312" w:cs="宋体"/>
                <w:color w:val="000000"/>
                <w:sz w:val="24"/>
              </w:rPr>
            </w:pPr>
            <w:r>
              <w:rPr>
                <w:rFonts w:hint="eastAsia" w:ascii="仿宋_GB2312" w:hAnsi="宋体" w:eastAsia="仿宋_GB2312" w:cs="宋体"/>
                <w:color w:val="000000"/>
                <w:kern w:val="0"/>
                <w:sz w:val="24"/>
                <w:lang w:bidi="ar"/>
              </w:rPr>
              <w:t xml:space="preserve">供方：       </w:t>
            </w:r>
          </w:p>
        </w:tc>
      </w:tr>
      <w:tr>
        <w:tblPrEx>
          <w:tblCellMar>
            <w:top w:w="0" w:type="dxa"/>
            <w:left w:w="108" w:type="dxa"/>
            <w:bottom w:w="0" w:type="dxa"/>
            <w:right w:w="108" w:type="dxa"/>
          </w:tblCellMar>
        </w:tblPrEx>
        <w:trPr>
          <w:trHeight w:val="405" w:hRule="atLeast"/>
        </w:trPr>
        <w:tc>
          <w:tcPr>
            <w:tcW w:w="10726" w:type="dxa"/>
            <w:gridSpan w:val="11"/>
            <w:tcBorders>
              <w:top w:val="nil"/>
              <w:left w:val="nil"/>
              <w:bottom w:val="nil"/>
              <w:right w:val="nil"/>
            </w:tcBorders>
            <w:shd w:val="clear" w:color="auto" w:fill="auto"/>
            <w:vAlign w:val="bottom"/>
          </w:tcPr>
          <w:p>
            <w:pPr>
              <w:widowControl/>
              <w:spacing w:line="360" w:lineRule="auto"/>
              <w:jc w:val="left"/>
              <w:textAlignment w:val="bottom"/>
              <w:rPr>
                <w:rFonts w:ascii="仿宋_GB2312" w:hAnsi="宋体" w:eastAsia="仿宋_GB2312" w:cs="宋体"/>
                <w:color w:val="000000"/>
                <w:sz w:val="24"/>
              </w:rPr>
            </w:pPr>
            <w:r>
              <w:rPr>
                <w:rFonts w:hint="eastAsia" w:ascii="仿宋_GB2312" w:hAnsi="宋体" w:eastAsia="仿宋_GB2312" w:cs="宋体"/>
                <w:color w:val="000000"/>
                <w:kern w:val="0"/>
                <w:sz w:val="24"/>
                <w:lang w:bidi="ar"/>
              </w:rPr>
              <w:t>需方：</w:t>
            </w:r>
          </w:p>
        </w:tc>
      </w:tr>
      <w:tr>
        <w:tblPrEx>
          <w:tblCellMar>
            <w:top w:w="0" w:type="dxa"/>
            <w:left w:w="108" w:type="dxa"/>
            <w:bottom w:w="0" w:type="dxa"/>
            <w:right w:w="108" w:type="dxa"/>
          </w:tblCellMar>
        </w:tblPrEx>
        <w:trPr>
          <w:trHeight w:val="345" w:hRule="atLeast"/>
        </w:trPr>
        <w:tc>
          <w:tcPr>
            <w:tcW w:w="10726" w:type="dxa"/>
            <w:gridSpan w:val="11"/>
            <w:tcBorders>
              <w:top w:val="nil"/>
              <w:left w:val="nil"/>
              <w:bottom w:val="nil"/>
              <w:right w:val="nil"/>
            </w:tcBorders>
            <w:shd w:val="clear" w:color="auto" w:fill="auto"/>
            <w:vAlign w:val="bottom"/>
          </w:tcPr>
          <w:p>
            <w:pPr>
              <w:widowControl/>
              <w:spacing w:before="120" w:beforeLines="50" w:line="360" w:lineRule="auto"/>
              <w:jc w:val="left"/>
              <w:textAlignment w:val="bottom"/>
              <w:rPr>
                <w:rFonts w:ascii="仿宋_GB2312" w:hAnsi="宋体" w:eastAsia="仿宋_GB2312" w:cs="宋体"/>
                <w:color w:val="000000"/>
                <w:sz w:val="24"/>
              </w:rPr>
            </w:pPr>
            <w:r>
              <w:rPr>
                <w:rFonts w:hint="eastAsia" w:ascii="黑体" w:hAnsi="黑体" w:eastAsia="黑体" w:cs="宋体"/>
                <w:color w:val="000000"/>
                <w:kern w:val="0"/>
                <w:sz w:val="28"/>
                <w:szCs w:val="28"/>
                <w:lang w:bidi="ar"/>
              </w:rPr>
              <w:t>第一条：</w:t>
            </w:r>
            <w:r>
              <w:rPr>
                <w:rFonts w:hint="eastAsia" w:ascii="仿宋_GB2312" w:hAnsi="宋体" w:eastAsia="仿宋_GB2312" w:cs="宋体"/>
                <w:color w:val="000000"/>
                <w:kern w:val="0"/>
                <w:sz w:val="24"/>
                <w:lang w:bidi="ar"/>
              </w:rPr>
              <w:t>供货产品名称、编号及数量</w:t>
            </w:r>
          </w:p>
        </w:tc>
      </w:tr>
      <w:tr>
        <w:tblPrEx>
          <w:tblCellMar>
            <w:top w:w="0" w:type="dxa"/>
            <w:left w:w="108" w:type="dxa"/>
            <w:bottom w:w="0" w:type="dxa"/>
            <w:right w:w="108" w:type="dxa"/>
          </w:tblCellMar>
        </w:tblPrEx>
        <w:trPr>
          <w:trHeight w:val="885"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序号</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产品名称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规格型号</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单位</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数量</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 xml:space="preserve"> 单价</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 xml:space="preserve">（不含税） </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 xml:space="preserve"> 增值税税率 </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税额</w:t>
            </w:r>
          </w:p>
        </w:tc>
        <w:tc>
          <w:tcPr>
            <w:tcW w:w="1212" w:type="dxa"/>
            <w:tcBorders>
              <w:top w:val="single" w:color="000000" w:sz="4" w:space="0"/>
              <w:left w:val="single" w:color="000000" w:sz="4" w:space="0"/>
              <w:bottom w:val="single" w:color="000000" w:sz="4" w:space="0"/>
              <w:right w:val="nil"/>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金额</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（不含税）</w:t>
            </w:r>
          </w:p>
        </w:tc>
        <w:tc>
          <w:tcPr>
            <w:tcW w:w="1068" w:type="dxa"/>
            <w:tcBorders>
              <w:top w:val="single" w:color="000000" w:sz="4" w:space="0"/>
              <w:left w:val="single" w:color="000000" w:sz="4" w:space="0"/>
              <w:bottom w:val="single" w:color="000000" w:sz="4" w:space="0"/>
              <w:right w:val="nil"/>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制造商</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备注</w:t>
            </w:r>
          </w:p>
        </w:tc>
      </w:tr>
      <w:tr>
        <w:tblPrEx>
          <w:tblCellMar>
            <w:top w:w="0" w:type="dxa"/>
            <w:left w:w="108" w:type="dxa"/>
            <w:bottom w:w="0" w:type="dxa"/>
            <w:right w:w="108" w:type="dxa"/>
          </w:tblCellMar>
        </w:tblPrEx>
        <w:trPr>
          <w:trHeight w:val="288"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1</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 xml:space="preserve"> </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 xml:space="preserve"> </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 xml:space="preserve"> </w:t>
            </w:r>
          </w:p>
        </w:tc>
        <w:tc>
          <w:tcPr>
            <w:tcW w:w="1212" w:type="dxa"/>
            <w:tcBorders>
              <w:top w:val="single" w:color="000000" w:sz="4" w:space="0"/>
              <w:left w:val="single" w:color="000000" w:sz="4" w:space="0"/>
              <w:bottom w:val="single" w:color="000000" w:sz="4" w:space="0"/>
              <w:right w:val="nil"/>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p>
        </w:tc>
        <w:tc>
          <w:tcPr>
            <w:tcW w:w="1068" w:type="dxa"/>
            <w:tcBorders>
              <w:top w:val="single" w:color="000000" w:sz="4" w:space="0"/>
              <w:left w:val="single" w:color="000000" w:sz="4" w:space="0"/>
              <w:bottom w:val="single" w:color="000000" w:sz="4" w:space="0"/>
              <w:right w:val="nil"/>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r>
      <w:tr>
        <w:tblPrEx>
          <w:tblCellMar>
            <w:top w:w="0" w:type="dxa"/>
            <w:left w:w="108" w:type="dxa"/>
            <w:bottom w:w="0" w:type="dxa"/>
            <w:right w:w="108" w:type="dxa"/>
          </w:tblCellMar>
        </w:tblPrEx>
        <w:trPr>
          <w:trHeight w:val="288"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lang w:bidi="ar"/>
              </w:rPr>
              <w:t>2</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1212" w:type="dxa"/>
            <w:tcBorders>
              <w:top w:val="single" w:color="000000" w:sz="4" w:space="0"/>
              <w:left w:val="single" w:color="000000" w:sz="4" w:space="0"/>
              <w:bottom w:val="single" w:color="000000" w:sz="4" w:space="0"/>
              <w:right w:val="nil"/>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1068" w:type="dxa"/>
            <w:tcBorders>
              <w:top w:val="single" w:color="000000" w:sz="4" w:space="0"/>
              <w:left w:val="single" w:color="000000" w:sz="4" w:space="0"/>
              <w:bottom w:val="single" w:color="000000" w:sz="4" w:space="0"/>
              <w:right w:val="nil"/>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r>
      <w:tr>
        <w:tblPrEx>
          <w:tblCellMar>
            <w:top w:w="0" w:type="dxa"/>
            <w:left w:w="108" w:type="dxa"/>
            <w:bottom w:w="0" w:type="dxa"/>
            <w:right w:w="108" w:type="dxa"/>
          </w:tblCellMar>
        </w:tblPrEx>
        <w:trPr>
          <w:trHeight w:val="330"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bottom"/>
          </w:tcPr>
          <w:p>
            <w:pPr>
              <w:spacing w:before="120" w:beforeLines="50" w:after="120" w:afterLines="50"/>
              <w:rPr>
                <w:rFonts w:ascii="仿宋_GB2312" w:hAnsi="宋体" w:eastAsia="仿宋_GB2312" w:cs="宋体"/>
                <w:color w:val="000000"/>
                <w:sz w:val="24"/>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before="120" w:beforeLines="50" w:after="120" w:afterLines="50"/>
              <w:jc w:val="left"/>
              <w:textAlignment w:val="bottom"/>
              <w:rPr>
                <w:rFonts w:ascii="仿宋_GB2312" w:hAnsi="宋体" w:eastAsia="仿宋_GB2312" w:cs="宋体"/>
                <w:color w:val="000000"/>
                <w:sz w:val="24"/>
              </w:rPr>
            </w:pPr>
            <w:r>
              <w:rPr>
                <w:rFonts w:hint="eastAsia" w:ascii="仿宋_GB2312" w:hAnsi="宋体" w:eastAsia="仿宋_GB2312" w:cs="宋体"/>
                <w:color w:val="000000"/>
                <w:kern w:val="0"/>
                <w:sz w:val="24"/>
                <w:lang w:bidi="ar"/>
              </w:rPr>
              <w:t>合计：</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before="120" w:beforeLines="50" w:after="120" w:afterLines="50"/>
              <w:jc w:val="right"/>
              <w:textAlignment w:val="bottom"/>
              <w:rPr>
                <w:rFonts w:ascii="仿宋_GB2312" w:hAnsi="宋体" w:eastAsia="仿宋_GB2312" w:cs="宋体"/>
                <w:color w:val="000000"/>
                <w:sz w:val="24"/>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bottom"/>
          </w:tcPr>
          <w:p>
            <w:pPr>
              <w:spacing w:before="120" w:beforeLines="50" w:after="120" w:afterLines="50"/>
              <w:rPr>
                <w:rFonts w:ascii="仿宋_GB2312" w:hAnsi="宋体" w:eastAsia="仿宋_GB2312" w:cs="宋体"/>
                <w:color w:val="000000"/>
                <w:sz w:val="24"/>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bottom"/>
          </w:tcPr>
          <w:p>
            <w:pPr>
              <w:spacing w:before="120" w:beforeLines="50" w:after="120" w:afterLines="50"/>
              <w:rPr>
                <w:rFonts w:ascii="仿宋_GB2312" w:hAnsi="宋体" w:eastAsia="仿宋_GB2312" w:cs="宋体"/>
                <w:color w:val="000000"/>
                <w:sz w:val="24"/>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bottom"/>
          </w:tcPr>
          <w:p>
            <w:pPr>
              <w:spacing w:before="120" w:beforeLines="50" w:after="120" w:afterLines="50"/>
              <w:rPr>
                <w:rFonts w:ascii="仿宋_GB2312" w:hAnsi="宋体" w:eastAsia="仿宋_GB2312" w:cs="宋体"/>
                <w:color w:val="000000"/>
                <w:sz w:val="24"/>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bottom"/>
          </w:tcPr>
          <w:p>
            <w:pPr>
              <w:spacing w:before="120" w:beforeLines="50" w:after="120" w:afterLines="50"/>
              <w:rPr>
                <w:rFonts w:ascii="仿宋_GB2312" w:hAnsi="宋体" w:eastAsia="仿宋_GB2312" w:cs="宋体"/>
                <w:color w:val="000000"/>
                <w:sz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1212" w:type="dxa"/>
            <w:tcBorders>
              <w:top w:val="single" w:color="000000" w:sz="4" w:space="0"/>
              <w:left w:val="single" w:color="000000" w:sz="4" w:space="0"/>
              <w:bottom w:val="single" w:color="000000" w:sz="4" w:space="0"/>
              <w:right w:val="nil"/>
            </w:tcBorders>
            <w:shd w:val="clear" w:color="auto" w:fill="auto"/>
            <w:vAlign w:val="center"/>
          </w:tcPr>
          <w:p>
            <w:pPr>
              <w:spacing w:before="120" w:beforeLines="50" w:after="120" w:afterLines="50"/>
              <w:jc w:val="center"/>
              <w:rPr>
                <w:rFonts w:ascii="仿宋_GB2312" w:hAnsi="宋体" w:eastAsia="仿宋_GB2312" w:cs="宋体"/>
                <w:color w:val="000000"/>
                <w:sz w:val="24"/>
              </w:rPr>
            </w:pPr>
          </w:p>
        </w:tc>
        <w:tc>
          <w:tcPr>
            <w:tcW w:w="1068" w:type="dxa"/>
            <w:tcBorders>
              <w:top w:val="single" w:color="000000" w:sz="4" w:space="0"/>
              <w:left w:val="single" w:color="000000" w:sz="4" w:space="0"/>
              <w:bottom w:val="single" w:color="000000" w:sz="4" w:space="0"/>
              <w:right w:val="nil"/>
            </w:tcBorders>
            <w:shd w:val="clear" w:color="auto" w:fill="auto"/>
            <w:vAlign w:val="bottom"/>
          </w:tcPr>
          <w:p>
            <w:pPr>
              <w:spacing w:before="120" w:beforeLines="50" w:after="120" w:afterLines="50"/>
              <w:rPr>
                <w:rFonts w:ascii="仿宋_GB2312" w:hAnsi="宋体" w:eastAsia="仿宋_GB2312" w:cs="宋体"/>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bottom"/>
          </w:tcPr>
          <w:p>
            <w:pPr>
              <w:spacing w:before="120" w:beforeLines="50" w:after="120" w:afterLines="50"/>
              <w:rPr>
                <w:rFonts w:ascii="仿宋_GB2312" w:hAnsi="宋体" w:eastAsia="仿宋_GB2312" w:cs="宋体"/>
                <w:color w:val="000000"/>
                <w:sz w:val="24"/>
              </w:rPr>
            </w:pPr>
          </w:p>
        </w:tc>
      </w:tr>
      <w:tr>
        <w:tblPrEx>
          <w:tblCellMar>
            <w:top w:w="0" w:type="dxa"/>
            <w:left w:w="108" w:type="dxa"/>
            <w:bottom w:w="0" w:type="dxa"/>
            <w:right w:w="108" w:type="dxa"/>
          </w:tblCellMar>
        </w:tblPrEx>
        <w:trPr>
          <w:trHeight w:val="330" w:hRule="atLeast"/>
        </w:trPr>
        <w:tc>
          <w:tcPr>
            <w:tcW w:w="10726" w:type="dxa"/>
            <w:gridSpan w:val="11"/>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spacing w:before="120" w:beforeLines="50" w:after="120" w:afterLines="50"/>
              <w:jc w:val="left"/>
              <w:textAlignment w:val="bottom"/>
              <w:rPr>
                <w:rFonts w:ascii="仿宋_GB2312" w:hAnsi="宋体" w:eastAsia="仿宋_GB2312" w:cs="宋体"/>
                <w:color w:val="000000"/>
                <w:sz w:val="24"/>
              </w:rPr>
            </w:pPr>
            <w:r>
              <w:rPr>
                <w:rFonts w:hint="eastAsia" w:ascii="仿宋_GB2312" w:hAnsi="宋体" w:eastAsia="仿宋_GB2312" w:cs="宋体"/>
                <w:color w:val="000000"/>
                <w:kern w:val="0"/>
                <w:sz w:val="24"/>
                <w:lang w:bidi="ar"/>
              </w:rPr>
              <w:t>合同含税金额人民币（大写）：</w:t>
            </w:r>
          </w:p>
        </w:tc>
      </w:tr>
      <w:tr>
        <w:tblPrEx>
          <w:tblCellMar>
            <w:top w:w="0" w:type="dxa"/>
            <w:left w:w="108" w:type="dxa"/>
            <w:bottom w:w="0" w:type="dxa"/>
            <w:right w:w="108" w:type="dxa"/>
          </w:tblCellMar>
        </w:tblPrEx>
        <w:trPr>
          <w:trHeight w:val="262"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sz w:val="24"/>
              </w:rPr>
            </w:pPr>
            <w:r>
              <w:rPr>
                <w:rFonts w:hint="eastAsia" w:ascii="黑体" w:hAnsi="黑体" w:eastAsia="黑体" w:cs="宋体"/>
                <w:color w:val="000000"/>
                <w:kern w:val="0"/>
                <w:sz w:val="28"/>
                <w:szCs w:val="28"/>
                <w:lang w:bidi="ar"/>
              </w:rPr>
              <w:t>第二条：</w:t>
            </w:r>
            <w:r>
              <w:rPr>
                <w:rFonts w:hint="eastAsia" w:ascii="仿宋_GB2312" w:hAnsi="宋体" w:eastAsia="仿宋_GB2312" w:cs="宋体"/>
                <w:color w:val="000000"/>
                <w:kern w:val="0"/>
                <w:sz w:val="24"/>
                <w:lang w:bidi="ar"/>
              </w:rPr>
              <w:t>合同金额是指产品到达需方指定地点</w:t>
            </w:r>
            <w:r>
              <w:rPr>
                <w:rFonts w:hint="eastAsia" w:ascii="仿宋_GB2312" w:hAnsi="宋体" w:eastAsia="仿宋_GB2312" w:cs="宋体"/>
                <w:kern w:val="0"/>
                <w:sz w:val="24"/>
                <w:lang w:bidi="ar"/>
              </w:rPr>
              <w:t>的</w:t>
            </w:r>
            <w:r>
              <w:rPr>
                <w:rStyle w:val="103"/>
                <w:rFonts w:hint="default" w:ascii="仿宋_GB2312" w:eastAsia="仿宋_GB2312"/>
                <w:sz w:val="24"/>
                <w:szCs w:val="24"/>
                <w:lang w:bidi="ar"/>
              </w:rPr>
              <w:t>含税</w:t>
            </w:r>
            <w:r>
              <w:rPr>
                <w:rStyle w:val="104"/>
                <w:rFonts w:hint="default" w:ascii="仿宋_GB2312" w:eastAsia="仿宋_GB2312"/>
                <w:sz w:val="24"/>
                <w:szCs w:val="24"/>
                <w:lang w:bidi="ar"/>
              </w:rPr>
              <w:t>金额,包括但不限于合同设备、外购、外协、配套件、原材料及设计、生产制造、检验、油漆、包装、随机备品备件、易损件、保险、利税、管理、运杂、安装、调试、培训、配合、图纸资料及双方约定的交货方式相关费用等全部费用。</w:t>
            </w:r>
          </w:p>
        </w:tc>
      </w:tr>
      <w:tr>
        <w:tblPrEx>
          <w:tblCellMar>
            <w:top w:w="0" w:type="dxa"/>
            <w:left w:w="108" w:type="dxa"/>
            <w:bottom w:w="0" w:type="dxa"/>
            <w:right w:w="108" w:type="dxa"/>
          </w:tblCellMar>
        </w:tblPrEx>
        <w:trPr>
          <w:trHeight w:val="405"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sz w:val="24"/>
              </w:rPr>
            </w:pPr>
            <w:r>
              <w:rPr>
                <w:rFonts w:hint="eastAsia" w:ascii="黑体" w:hAnsi="黑体" w:eastAsia="黑体" w:cs="宋体"/>
                <w:color w:val="000000"/>
                <w:kern w:val="0"/>
                <w:sz w:val="28"/>
                <w:szCs w:val="28"/>
                <w:lang w:bidi="ar"/>
              </w:rPr>
              <w:t>第三条：</w:t>
            </w:r>
            <w:r>
              <w:rPr>
                <w:rFonts w:hint="eastAsia" w:ascii="仿宋_GB2312" w:hAnsi="宋体" w:eastAsia="仿宋_GB2312" w:cs="宋体"/>
                <w:color w:val="000000"/>
                <w:kern w:val="0"/>
                <w:sz w:val="24"/>
                <w:lang w:bidi="ar"/>
              </w:rPr>
              <w:t>交货方式及日期：签订合同后</w:t>
            </w:r>
            <w:r>
              <w:rPr>
                <w:rStyle w:val="105"/>
                <w:rFonts w:hint="default" w:ascii="仿宋_GB2312" w:eastAsia="仿宋_GB2312"/>
                <w:sz w:val="24"/>
                <w:szCs w:val="24"/>
                <w:lang w:bidi="ar"/>
              </w:rPr>
              <w:t xml:space="preserve">    </w:t>
            </w:r>
            <w:r>
              <w:rPr>
                <w:rStyle w:val="104"/>
                <w:rFonts w:hint="default" w:ascii="仿宋_GB2312" w:eastAsia="仿宋_GB2312"/>
                <w:sz w:val="24"/>
                <w:szCs w:val="24"/>
                <w:lang w:bidi="ar"/>
              </w:rPr>
              <w:t>个工作日内送至需方指定地点，运费供方承担。如供方未按期到货，</w:t>
            </w:r>
            <w:r>
              <w:rPr>
                <w:rFonts w:hint="eastAsia" w:ascii="仿宋_GB2312" w:hAnsi="黑体" w:eastAsia="仿宋_GB2312" w:cstheme="minorEastAsia"/>
                <w:sz w:val="24"/>
              </w:rPr>
              <w:t xml:space="preserve">从逾期之日起供方每天按合同总价款的 </w:t>
            </w:r>
            <w:r>
              <w:rPr>
                <w:rFonts w:ascii="仿宋_GB2312" w:hAnsi="黑体" w:eastAsia="仿宋_GB2312" w:cstheme="minorEastAsia"/>
                <w:sz w:val="24"/>
              </w:rPr>
              <w:t>5</w:t>
            </w:r>
            <w:r>
              <w:rPr>
                <w:rFonts w:hint="eastAsia" w:ascii="仿宋_GB2312" w:hAnsi="黑体" w:eastAsia="仿宋_GB2312" w:cstheme="minorEastAsia"/>
                <w:sz w:val="24"/>
              </w:rPr>
              <w:t xml:space="preserve"> ‰支付给需方作违约金。</w:t>
            </w:r>
          </w:p>
        </w:tc>
      </w:tr>
      <w:tr>
        <w:tblPrEx>
          <w:tblCellMar>
            <w:top w:w="0" w:type="dxa"/>
            <w:left w:w="108" w:type="dxa"/>
            <w:bottom w:w="0" w:type="dxa"/>
            <w:right w:w="108" w:type="dxa"/>
          </w:tblCellMar>
        </w:tblPrEx>
        <w:trPr>
          <w:trHeight w:val="435"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sz w:val="24"/>
              </w:rPr>
            </w:pPr>
            <w:r>
              <w:rPr>
                <w:rFonts w:hint="eastAsia" w:ascii="黑体" w:hAnsi="黑体" w:eastAsia="黑体" w:cs="宋体"/>
                <w:color w:val="000000"/>
                <w:kern w:val="0"/>
                <w:sz w:val="28"/>
                <w:szCs w:val="28"/>
                <w:lang w:bidi="ar"/>
              </w:rPr>
              <w:t>第四条：</w:t>
            </w:r>
            <w:r>
              <w:rPr>
                <w:rFonts w:hint="eastAsia" w:ascii="仿宋_GB2312" w:hAnsi="宋体" w:eastAsia="仿宋_GB2312" w:cs="宋体"/>
                <w:color w:val="000000"/>
                <w:kern w:val="0"/>
                <w:sz w:val="24"/>
                <w:lang w:bidi="ar"/>
              </w:rPr>
              <w:t>供方承诺所供产品的质量保证期为验收合格后</w:t>
            </w:r>
            <w:r>
              <w:rPr>
                <w:rStyle w:val="105"/>
                <w:rFonts w:hint="default" w:ascii="仿宋_GB2312" w:eastAsia="仿宋_GB2312"/>
                <w:sz w:val="24"/>
                <w:szCs w:val="24"/>
                <w:lang w:bidi="ar"/>
              </w:rPr>
              <w:t xml:space="preserve">    </w:t>
            </w:r>
            <w:r>
              <w:rPr>
                <w:rStyle w:val="104"/>
                <w:rFonts w:hint="default" w:ascii="仿宋_GB2312" w:eastAsia="仿宋_GB2312"/>
                <w:sz w:val="24"/>
                <w:szCs w:val="24"/>
                <w:lang w:bidi="ar"/>
              </w:rPr>
              <w:t>年。</w:t>
            </w:r>
          </w:p>
        </w:tc>
      </w:tr>
      <w:tr>
        <w:tblPrEx>
          <w:tblCellMar>
            <w:top w:w="0" w:type="dxa"/>
            <w:left w:w="108" w:type="dxa"/>
            <w:bottom w:w="0" w:type="dxa"/>
            <w:right w:w="108" w:type="dxa"/>
          </w:tblCellMar>
        </w:tblPrEx>
        <w:trPr>
          <w:trHeight w:val="660"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sz w:val="24"/>
              </w:rPr>
            </w:pPr>
            <w:r>
              <w:rPr>
                <w:rFonts w:hint="eastAsia" w:ascii="黑体" w:hAnsi="黑体" w:eastAsia="黑体" w:cs="宋体"/>
                <w:color w:val="000000"/>
                <w:kern w:val="0"/>
                <w:sz w:val="28"/>
                <w:szCs w:val="28"/>
                <w:lang w:bidi="ar"/>
              </w:rPr>
              <w:t>第五条：</w:t>
            </w:r>
            <w:r>
              <w:rPr>
                <w:rFonts w:hint="eastAsia" w:ascii="仿宋_GB2312" w:hAnsi="宋体" w:eastAsia="仿宋_GB2312" w:cs="宋体"/>
                <w:color w:val="000000"/>
                <w:kern w:val="0"/>
                <w:sz w:val="24"/>
                <w:lang w:bidi="ar"/>
              </w:rPr>
              <w:t>货款结算及期限：货物到齐并验收合格后，供方向需方开具本合同全额增值税专用</w:t>
            </w:r>
            <w:r>
              <w:rPr>
                <w:rFonts w:hint="eastAsia" w:ascii="仿宋_GB2312" w:hAnsi="宋体" w:eastAsia="仿宋_GB2312" w:cs="宋体"/>
                <w:kern w:val="0"/>
                <w:sz w:val="24"/>
                <w:lang w:bidi="ar"/>
              </w:rPr>
              <w:t>发票，</w:t>
            </w:r>
            <w:r>
              <w:rPr>
                <w:rStyle w:val="103"/>
                <w:rFonts w:hint="default" w:ascii="仿宋_GB2312" w:eastAsia="仿宋_GB2312"/>
                <w:sz w:val="24"/>
                <w:szCs w:val="24"/>
                <w:lang w:bidi="ar"/>
              </w:rPr>
              <w:t>需方审核无误后按财务制度结算</w:t>
            </w:r>
            <w:r>
              <w:rPr>
                <w:rStyle w:val="104"/>
                <w:rFonts w:hint="default" w:ascii="仿宋_GB2312" w:eastAsia="仿宋_GB2312"/>
                <w:sz w:val="24"/>
                <w:szCs w:val="24"/>
                <w:lang w:bidi="ar"/>
              </w:rPr>
              <w:t>，付款方式为</w:t>
            </w:r>
            <w:r>
              <w:rPr>
                <w:rStyle w:val="105"/>
                <w:rFonts w:hint="default" w:ascii="仿宋_GB2312" w:eastAsia="仿宋_GB2312"/>
                <w:sz w:val="24"/>
                <w:szCs w:val="24"/>
                <w:lang w:bidi="ar"/>
              </w:rPr>
              <w:t xml:space="preserve">         </w:t>
            </w:r>
            <w:r>
              <w:rPr>
                <w:rStyle w:val="104"/>
                <w:rFonts w:hint="default" w:ascii="仿宋_GB2312" w:eastAsia="仿宋_GB2312"/>
                <w:sz w:val="24"/>
                <w:szCs w:val="24"/>
                <w:lang w:bidi="ar"/>
              </w:rPr>
              <w:t>。</w:t>
            </w:r>
            <w:r>
              <w:rPr>
                <w:rFonts w:hint="eastAsia" w:ascii="仿宋_GB2312" w:hAnsi="宋体" w:eastAsia="仿宋_GB2312" w:cs="宋体"/>
                <w:color w:val="000000"/>
                <w:kern w:val="0"/>
                <w:sz w:val="24"/>
                <w:lang w:bidi="ar"/>
              </w:rPr>
              <w:t>供方开具增值税专用发票，因发票违规给需方造成的增值税、所得税等损失，由供方承担相关责任，包括但不限于税款、滞纳金、罚款及其它相关损失。</w:t>
            </w:r>
          </w:p>
        </w:tc>
      </w:tr>
      <w:tr>
        <w:tblPrEx>
          <w:tblCellMar>
            <w:top w:w="0" w:type="dxa"/>
            <w:left w:w="108" w:type="dxa"/>
            <w:bottom w:w="0" w:type="dxa"/>
            <w:right w:w="108" w:type="dxa"/>
          </w:tblCellMar>
        </w:tblPrEx>
        <w:trPr>
          <w:trHeight w:val="600"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sz w:val="24"/>
              </w:rPr>
            </w:pPr>
            <w:r>
              <w:rPr>
                <w:rFonts w:hint="eastAsia" w:ascii="黑体" w:hAnsi="黑体" w:eastAsia="黑体" w:cs="宋体"/>
                <w:color w:val="000000"/>
                <w:kern w:val="0"/>
                <w:sz w:val="28"/>
                <w:szCs w:val="28"/>
                <w:lang w:bidi="ar"/>
              </w:rPr>
              <w:t>第六条：</w:t>
            </w:r>
            <w:r>
              <w:rPr>
                <w:rFonts w:hint="eastAsia" w:ascii="仿宋_GB2312" w:hAnsi="宋体" w:eastAsia="仿宋_GB2312" w:cs="宋体"/>
                <w:color w:val="000000"/>
                <w:kern w:val="0"/>
                <w:sz w:val="24"/>
                <w:lang w:bidi="ar"/>
              </w:rPr>
              <w:t>供方须对其所供货物的包装质量负责，须保证货物的品质在运输、装卸与仓储过程中无变化。因包装防护不当造成的货物品质变化及其它损失，全部由供方承担。</w:t>
            </w:r>
          </w:p>
        </w:tc>
      </w:tr>
      <w:tr>
        <w:tblPrEx>
          <w:tblCellMar>
            <w:top w:w="0" w:type="dxa"/>
            <w:left w:w="108" w:type="dxa"/>
            <w:bottom w:w="0" w:type="dxa"/>
            <w:right w:w="108" w:type="dxa"/>
          </w:tblCellMar>
        </w:tblPrEx>
        <w:trPr>
          <w:trHeight w:val="960"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sz w:val="24"/>
              </w:rPr>
            </w:pPr>
            <w:r>
              <w:rPr>
                <w:rFonts w:hint="eastAsia" w:ascii="黑体" w:hAnsi="黑体" w:eastAsia="黑体" w:cs="宋体"/>
                <w:color w:val="000000"/>
                <w:kern w:val="0"/>
                <w:sz w:val="28"/>
                <w:szCs w:val="28"/>
                <w:lang w:bidi="ar"/>
              </w:rPr>
              <w:t>第七条：</w:t>
            </w:r>
            <w:r>
              <w:rPr>
                <w:rFonts w:hint="eastAsia" w:ascii="仿宋_GB2312" w:hAnsi="宋体" w:eastAsia="仿宋_GB2312" w:cs="宋体"/>
                <w:color w:val="000000"/>
                <w:kern w:val="0"/>
                <w:sz w:val="24"/>
                <w:lang w:bidi="ar"/>
              </w:rPr>
              <w:t xml:space="preserve">货物验收提出异议的期限：需方应在收到货物时，及时对货物进行验收，需方在验收中如发现与本合同规定条件不符，有权提出书面异议和处理意见；供方对需方提出的异议，应在3个工作日内提出书面答复，否则，视交付产品不符合本合同规定。                                                              </w:t>
            </w:r>
          </w:p>
        </w:tc>
      </w:tr>
      <w:tr>
        <w:tblPrEx>
          <w:tblCellMar>
            <w:top w:w="0" w:type="dxa"/>
            <w:left w:w="108" w:type="dxa"/>
            <w:bottom w:w="0" w:type="dxa"/>
            <w:right w:w="108" w:type="dxa"/>
          </w:tblCellMar>
        </w:tblPrEx>
        <w:trPr>
          <w:trHeight w:val="642"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sz w:val="24"/>
              </w:rPr>
            </w:pPr>
            <w:r>
              <w:rPr>
                <w:rFonts w:hint="eastAsia" w:ascii="黑体" w:hAnsi="黑体" w:eastAsia="黑体" w:cs="宋体"/>
                <w:color w:val="000000"/>
                <w:kern w:val="0"/>
                <w:sz w:val="28"/>
                <w:szCs w:val="28"/>
                <w:lang w:bidi="ar"/>
              </w:rPr>
              <w:t>第八条：</w:t>
            </w:r>
            <w:r>
              <w:rPr>
                <w:rFonts w:hint="eastAsia" w:ascii="仿宋_GB2312" w:hAnsi="宋体" w:eastAsia="仿宋_GB2312" w:cs="宋体"/>
                <w:color w:val="000000"/>
                <w:kern w:val="0"/>
                <w:sz w:val="24"/>
                <w:lang w:bidi="ar"/>
              </w:rPr>
              <w:t>供方所供产品的质量、规格型号、技术标准、产品技术性能必须符合国家行业标准以及相关的环保、能源等方面的法律法规要求和标准及双方会签的技术文件。</w:t>
            </w:r>
          </w:p>
        </w:tc>
      </w:tr>
      <w:tr>
        <w:tblPrEx>
          <w:tblCellMar>
            <w:top w:w="0" w:type="dxa"/>
            <w:left w:w="108" w:type="dxa"/>
            <w:bottom w:w="0" w:type="dxa"/>
            <w:right w:w="108" w:type="dxa"/>
          </w:tblCellMar>
        </w:tblPrEx>
        <w:trPr>
          <w:trHeight w:val="619"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sz w:val="24"/>
              </w:rPr>
            </w:pPr>
            <w:r>
              <w:rPr>
                <w:rFonts w:hint="eastAsia" w:ascii="黑体" w:hAnsi="黑体" w:eastAsia="黑体" w:cs="宋体"/>
                <w:color w:val="000000"/>
                <w:kern w:val="0"/>
                <w:sz w:val="28"/>
                <w:szCs w:val="28"/>
                <w:lang w:bidi="ar"/>
              </w:rPr>
              <w:t>第九条:</w:t>
            </w:r>
            <w:r>
              <w:rPr>
                <w:rFonts w:hint="eastAsia" w:ascii="仿宋_GB2312" w:hAnsi="宋体" w:eastAsia="仿宋_GB2312" w:cs="宋体"/>
                <w:color w:val="000000"/>
                <w:kern w:val="0"/>
                <w:sz w:val="24"/>
                <w:lang w:bidi="ar"/>
              </w:rPr>
              <w:t>供方承诺对需方提供的技术资料等信息进行保密，并保证供应给需方的所有产品、材料侵害任何第三人的知识产权或其他权利或发生质量问题而给需方所造成的一切损失和后果责任（包括但不限于赔偿金、违约金、诉讼费、律师费等）均由供方承担。</w:t>
            </w:r>
          </w:p>
        </w:tc>
      </w:tr>
      <w:tr>
        <w:tblPrEx>
          <w:tblCellMar>
            <w:top w:w="0" w:type="dxa"/>
            <w:left w:w="108" w:type="dxa"/>
            <w:bottom w:w="0" w:type="dxa"/>
            <w:right w:w="108" w:type="dxa"/>
          </w:tblCellMar>
        </w:tblPrEx>
        <w:trPr>
          <w:trHeight w:val="428"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sz w:val="24"/>
              </w:rPr>
            </w:pPr>
            <w:r>
              <w:rPr>
                <w:rFonts w:hint="eastAsia" w:ascii="黑体" w:hAnsi="黑体" w:eastAsia="黑体" w:cs="宋体"/>
                <w:color w:val="000000"/>
                <w:kern w:val="0"/>
                <w:sz w:val="28"/>
                <w:szCs w:val="28"/>
                <w:lang w:bidi="ar"/>
              </w:rPr>
              <w:t>第十条：</w:t>
            </w:r>
            <w:r>
              <w:rPr>
                <w:rFonts w:hint="eastAsia" w:ascii="仿宋_GB2312" w:hAnsi="宋体" w:eastAsia="仿宋_GB2312" w:cs="宋体"/>
                <w:color w:val="000000"/>
                <w:kern w:val="0"/>
                <w:sz w:val="24"/>
                <w:lang w:bidi="ar"/>
              </w:rPr>
              <w:t>供方在收到需方发出的索赔费用、考核扣款等通知后15日内应给予书面的答复,否则视为同意。</w:t>
            </w:r>
          </w:p>
        </w:tc>
      </w:tr>
      <w:tr>
        <w:tblPrEx>
          <w:tblCellMar>
            <w:top w:w="0" w:type="dxa"/>
            <w:left w:w="108" w:type="dxa"/>
            <w:bottom w:w="0" w:type="dxa"/>
            <w:right w:w="108" w:type="dxa"/>
          </w:tblCellMar>
        </w:tblPrEx>
        <w:trPr>
          <w:trHeight w:val="420"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sz w:val="24"/>
              </w:rPr>
            </w:pPr>
            <w:r>
              <w:rPr>
                <w:rFonts w:hint="eastAsia" w:ascii="黑体" w:hAnsi="黑体" w:eastAsia="黑体" w:cs="宋体"/>
                <w:color w:val="000000"/>
                <w:kern w:val="0"/>
                <w:sz w:val="28"/>
                <w:szCs w:val="28"/>
                <w:lang w:bidi="ar"/>
              </w:rPr>
              <w:t>第十一条：</w:t>
            </w:r>
            <w:r>
              <w:rPr>
                <w:rFonts w:hint="eastAsia" w:ascii="仿宋_GB2312" w:hAnsi="宋体" w:eastAsia="仿宋_GB2312" w:cs="宋体"/>
                <w:color w:val="000000"/>
                <w:kern w:val="0"/>
                <w:sz w:val="24"/>
                <w:lang w:bidi="ar"/>
              </w:rPr>
              <w:t>本合同在履行过程中如发生争议，由双方当事人协商解决，协商不成时，可向需方所在地人民法院起诉。</w:t>
            </w:r>
          </w:p>
        </w:tc>
      </w:tr>
      <w:tr>
        <w:tblPrEx>
          <w:tblCellMar>
            <w:top w:w="0" w:type="dxa"/>
            <w:left w:w="108" w:type="dxa"/>
            <w:bottom w:w="0" w:type="dxa"/>
            <w:right w:w="108" w:type="dxa"/>
          </w:tblCellMar>
        </w:tblPrEx>
        <w:trPr>
          <w:trHeight w:val="450"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sz w:val="24"/>
              </w:rPr>
            </w:pPr>
            <w:r>
              <w:rPr>
                <w:rFonts w:hint="eastAsia" w:ascii="黑体" w:hAnsi="黑体" w:eastAsia="黑体" w:cs="宋体"/>
                <w:color w:val="000000"/>
                <w:kern w:val="0"/>
                <w:sz w:val="28"/>
                <w:szCs w:val="28"/>
                <w:lang w:bidi="ar"/>
              </w:rPr>
              <w:t>第十二条：</w:t>
            </w:r>
            <w:r>
              <w:rPr>
                <w:rFonts w:hint="eastAsia" w:ascii="仿宋_GB2312" w:hAnsi="宋体" w:eastAsia="仿宋_GB2312" w:cs="宋体"/>
                <w:color w:val="000000"/>
                <w:kern w:val="0"/>
                <w:sz w:val="24"/>
                <w:lang w:bidi="ar"/>
              </w:rPr>
              <w:t>本合同自签字盖章之日起生效，未尽事宜可另行约定。</w:t>
            </w:r>
          </w:p>
        </w:tc>
      </w:tr>
      <w:tr>
        <w:tblPrEx>
          <w:tblCellMar>
            <w:top w:w="0" w:type="dxa"/>
            <w:left w:w="108" w:type="dxa"/>
            <w:bottom w:w="0" w:type="dxa"/>
            <w:right w:w="108" w:type="dxa"/>
          </w:tblCellMar>
        </w:tblPrEx>
        <w:trPr>
          <w:trHeight w:val="414" w:hRule="atLeast"/>
        </w:trPr>
        <w:tc>
          <w:tcPr>
            <w:tcW w:w="10726" w:type="dxa"/>
            <w:gridSpan w:val="11"/>
            <w:tcBorders>
              <w:top w:val="nil"/>
              <w:left w:val="nil"/>
              <w:bottom w:val="nil"/>
              <w:right w:val="nil"/>
            </w:tcBorders>
            <w:shd w:val="clear" w:color="auto" w:fill="auto"/>
            <w:vAlign w:val="center"/>
          </w:tcPr>
          <w:p>
            <w:pPr>
              <w:widowControl/>
              <w:spacing w:before="120" w:beforeLines="50" w:line="360" w:lineRule="auto"/>
              <w:jc w:val="left"/>
              <w:textAlignment w:val="center"/>
              <w:rPr>
                <w:rFonts w:ascii="仿宋_GB2312" w:hAnsi="宋体" w:eastAsia="仿宋_GB2312" w:cs="宋体"/>
                <w:color w:val="000000"/>
                <w:kern w:val="0"/>
                <w:sz w:val="24"/>
                <w:lang w:bidi="ar"/>
              </w:rPr>
            </w:pPr>
            <w:r>
              <w:rPr>
                <w:rFonts w:hint="eastAsia" w:ascii="黑体" w:hAnsi="黑体" w:eastAsia="黑体" w:cs="宋体"/>
                <w:color w:val="000000"/>
                <w:kern w:val="0"/>
                <w:sz w:val="28"/>
                <w:szCs w:val="28"/>
                <w:lang w:bidi="ar"/>
              </w:rPr>
              <w:t>第十三条：</w:t>
            </w:r>
            <w:r>
              <w:rPr>
                <w:rFonts w:hint="eastAsia" w:ascii="仿宋_GB2312" w:hAnsi="宋体" w:eastAsia="仿宋_GB2312" w:cs="宋体"/>
                <w:color w:val="000000"/>
                <w:kern w:val="0"/>
                <w:sz w:val="24"/>
                <w:lang w:bidi="ar"/>
              </w:rPr>
              <w:t>本合同一式四份，双方各执两份。</w:t>
            </w:r>
          </w:p>
          <w:p>
            <w:pPr>
              <w:widowControl/>
              <w:spacing w:before="120" w:beforeLines="50" w:line="360" w:lineRule="auto"/>
              <w:jc w:val="left"/>
              <w:textAlignment w:val="center"/>
              <w:rPr>
                <w:rFonts w:ascii="仿宋_GB2312" w:hAnsi="宋体" w:eastAsia="仿宋_GB2312" w:cs="宋体"/>
                <w:color w:val="000000"/>
                <w:sz w:val="24"/>
              </w:rPr>
            </w:pPr>
          </w:p>
        </w:tc>
      </w:tr>
      <w:tr>
        <w:tblPrEx>
          <w:tblCellMar>
            <w:top w:w="0" w:type="dxa"/>
            <w:left w:w="108" w:type="dxa"/>
            <w:bottom w:w="0" w:type="dxa"/>
            <w:right w:w="108" w:type="dxa"/>
          </w:tblCellMar>
        </w:tblPrEx>
        <w:trPr>
          <w:trHeight w:val="386" w:hRule="atLeast"/>
        </w:trPr>
        <w:tc>
          <w:tcPr>
            <w:tcW w:w="48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 xml:space="preserve">供方（章）：                                                                                                                                                                                                  </w:t>
            </w:r>
          </w:p>
        </w:tc>
        <w:tc>
          <w:tcPr>
            <w:tcW w:w="590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需方（章）：</w:t>
            </w:r>
          </w:p>
        </w:tc>
      </w:tr>
      <w:tr>
        <w:tblPrEx>
          <w:tblCellMar>
            <w:top w:w="0" w:type="dxa"/>
            <w:left w:w="108" w:type="dxa"/>
            <w:bottom w:w="0" w:type="dxa"/>
            <w:right w:w="108" w:type="dxa"/>
          </w:tblCellMar>
        </w:tblPrEx>
        <w:trPr>
          <w:trHeight w:val="321" w:hRule="atLeast"/>
        </w:trPr>
        <w:tc>
          <w:tcPr>
            <w:tcW w:w="48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地址：</w:t>
            </w:r>
          </w:p>
        </w:tc>
        <w:tc>
          <w:tcPr>
            <w:tcW w:w="590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地址：</w:t>
            </w:r>
          </w:p>
        </w:tc>
      </w:tr>
      <w:tr>
        <w:tblPrEx>
          <w:tblCellMar>
            <w:top w:w="0" w:type="dxa"/>
            <w:left w:w="108" w:type="dxa"/>
            <w:bottom w:w="0" w:type="dxa"/>
            <w:right w:w="108" w:type="dxa"/>
          </w:tblCellMar>
        </w:tblPrEx>
        <w:trPr>
          <w:trHeight w:val="295" w:hRule="atLeast"/>
        </w:trPr>
        <w:tc>
          <w:tcPr>
            <w:tcW w:w="48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委托代理人：</w:t>
            </w:r>
          </w:p>
        </w:tc>
        <w:tc>
          <w:tcPr>
            <w:tcW w:w="590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委托代表人：                   　</w:t>
            </w:r>
          </w:p>
        </w:tc>
      </w:tr>
      <w:tr>
        <w:tblPrEx>
          <w:tblCellMar>
            <w:top w:w="0" w:type="dxa"/>
            <w:left w:w="108" w:type="dxa"/>
            <w:bottom w:w="0" w:type="dxa"/>
            <w:right w:w="108" w:type="dxa"/>
          </w:tblCellMar>
        </w:tblPrEx>
        <w:trPr>
          <w:trHeight w:val="330" w:hRule="atLeast"/>
        </w:trPr>
        <w:tc>
          <w:tcPr>
            <w:tcW w:w="48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开户银行：</w:t>
            </w:r>
          </w:p>
        </w:tc>
        <w:tc>
          <w:tcPr>
            <w:tcW w:w="590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开户银行：</w:t>
            </w:r>
          </w:p>
        </w:tc>
      </w:tr>
      <w:tr>
        <w:tblPrEx>
          <w:tblCellMar>
            <w:top w:w="0" w:type="dxa"/>
            <w:left w:w="108" w:type="dxa"/>
            <w:bottom w:w="0" w:type="dxa"/>
            <w:right w:w="108" w:type="dxa"/>
          </w:tblCellMar>
        </w:tblPrEx>
        <w:trPr>
          <w:trHeight w:val="330" w:hRule="atLeast"/>
        </w:trPr>
        <w:tc>
          <w:tcPr>
            <w:tcW w:w="48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帐    号：</w:t>
            </w:r>
          </w:p>
        </w:tc>
        <w:tc>
          <w:tcPr>
            <w:tcW w:w="590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账    号：</w:t>
            </w:r>
          </w:p>
        </w:tc>
      </w:tr>
      <w:tr>
        <w:tblPrEx>
          <w:tblCellMar>
            <w:top w:w="0" w:type="dxa"/>
            <w:left w:w="108" w:type="dxa"/>
            <w:bottom w:w="0" w:type="dxa"/>
            <w:right w:w="108" w:type="dxa"/>
          </w:tblCellMar>
        </w:tblPrEx>
        <w:trPr>
          <w:trHeight w:val="330" w:hRule="atLeast"/>
        </w:trPr>
        <w:tc>
          <w:tcPr>
            <w:tcW w:w="48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税    号：</w:t>
            </w:r>
          </w:p>
        </w:tc>
        <w:tc>
          <w:tcPr>
            <w:tcW w:w="590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税    号：</w:t>
            </w:r>
          </w:p>
        </w:tc>
      </w:tr>
      <w:tr>
        <w:tblPrEx>
          <w:tblCellMar>
            <w:top w:w="0" w:type="dxa"/>
            <w:left w:w="108" w:type="dxa"/>
            <w:bottom w:w="0" w:type="dxa"/>
            <w:right w:w="108" w:type="dxa"/>
          </w:tblCellMar>
        </w:tblPrEx>
        <w:trPr>
          <w:trHeight w:val="330" w:hRule="atLeast"/>
        </w:trPr>
        <w:tc>
          <w:tcPr>
            <w:tcW w:w="48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电    话：</w:t>
            </w:r>
          </w:p>
        </w:tc>
        <w:tc>
          <w:tcPr>
            <w:tcW w:w="590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120" w:beforeLines="50" w:after="120" w:afterLines="50"/>
              <w:textAlignment w:val="top"/>
              <w:rPr>
                <w:rFonts w:ascii="仿宋_GB2312" w:hAnsi="宋体" w:eastAsia="仿宋_GB2312" w:cs="宋体"/>
                <w:color w:val="000000"/>
                <w:sz w:val="24"/>
              </w:rPr>
            </w:pPr>
            <w:r>
              <w:rPr>
                <w:rFonts w:hint="eastAsia" w:ascii="仿宋_GB2312" w:hAnsi="宋体" w:eastAsia="仿宋_GB2312" w:cs="宋体"/>
                <w:color w:val="000000"/>
                <w:kern w:val="0"/>
                <w:sz w:val="24"/>
                <w:lang w:bidi="ar"/>
              </w:rPr>
              <w:t>电    话：</w:t>
            </w:r>
          </w:p>
        </w:tc>
      </w:tr>
    </w:tbl>
    <w:p>
      <w:pPr>
        <w:pStyle w:val="49"/>
        <w:jc w:val="both"/>
        <w:outlineLvl w:val="1"/>
        <w:rPr>
          <w:rFonts w:ascii="宋体" w:hAnsi="宋体" w:eastAsia="宋体" w:cs="宋体"/>
          <w:i/>
        </w:rPr>
      </w:pPr>
    </w:p>
    <w:p>
      <w:pPr>
        <w:spacing w:line="312" w:lineRule="auto"/>
        <w:rPr>
          <w:rFonts w:ascii="等线" w:hAnsi="等线" w:eastAsia="等线" w:cstheme="minorBidi"/>
          <w:sz w:val="18"/>
          <w:szCs w:val="18"/>
        </w:rPr>
      </w:pPr>
    </w:p>
    <w:sectPr>
      <w:pgSz w:w="11906" w:h="16838"/>
      <w:pgMar w:top="720" w:right="720" w:bottom="720" w:left="720" w:header="851" w:footer="992" w:gutter="0"/>
      <w:pgNumType w:fmt="numberInDash"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方正小标宋简体">
    <w:altName w:val="黑体"/>
    <w:panose1 w:val="03000509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- 44 -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- 44 -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65F38095"/>
    <w:multiLevelType w:val="singleLevel"/>
    <w:tmpl w:val="65F38095"/>
    <w:lvl w:ilvl="0" w:tentative="0">
      <w:start w:val="3"/>
      <w:numFmt w:val="decimal"/>
      <w:suff w:val="nothing"/>
      <w:lvlText w:val="（%1）"/>
      <w:lvlJc w:val="left"/>
    </w:lvl>
  </w:abstractNum>
  <w:abstractNum w:abstractNumId="7">
    <w:nsid w:val="68F561BF"/>
    <w:multiLevelType w:val="singleLevel"/>
    <w:tmpl w:val="68F561BF"/>
    <w:lvl w:ilvl="0" w:tentative="0">
      <w:start w:val="1"/>
      <w:numFmt w:val="chineseCounting"/>
      <w:suff w:val="nothing"/>
      <w:lvlText w:val="%1、"/>
      <w:lvlJc w:val="left"/>
      <w:pPr>
        <w:tabs>
          <w:tab w:val="left" w:pos="0"/>
        </w:tabs>
      </w:pPr>
      <w:rPr>
        <w:rFonts w:hint="eastAsia"/>
      </w:rPr>
    </w:lvl>
  </w:abstractNum>
  <w:num w:numId="1">
    <w:abstractNumId w:val="7"/>
  </w:num>
  <w:num w:numId="2">
    <w:abstractNumId w:val="6"/>
  </w:num>
  <w:num w:numId="3">
    <w:abstractNumId w:val="5"/>
  </w:num>
  <w:num w:numId="4">
    <w:abstractNumId w:val="2"/>
  </w:num>
  <w:num w:numId="5">
    <w:abstractNumId w:val="1"/>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172A27"/>
    <w:rsid w:val="000006FD"/>
    <w:rsid w:val="00000BCD"/>
    <w:rsid w:val="000014D3"/>
    <w:rsid w:val="00001DCB"/>
    <w:rsid w:val="000026B8"/>
    <w:rsid w:val="000029D6"/>
    <w:rsid w:val="0000455F"/>
    <w:rsid w:val="000056AD"/>
    <w:rsid w:val="00005AF4"/>
    <w:rsid w:val="000062BC"/>
    <w:rsid w:val="00006391"/>
    <w:rsid w:val="00007869"/>
    <w:rsid w:val="00007986"/>
    <w:rsid w:val="00010983"/>
    <w:rsid w:val="00010BB4"/>
    <w:rsid w:val="00010FB5"/>
    <w:rsid w:val="0001108A"/>
    <w:rsid w:val="000116CE"/>
    <w:rsid w:val="00012018"/>
    <w:rsid w:val="000126A7"/>
    <w:rsid w:val="00013B94"/>
    <w:rsid w:val="000140D2"/>
    <w:rsid w:val="000142C2"/>
    <w:rsid w:val="0001436E"/>
    <w:rsid w:val="00014869"/>
    <w:rsid w:val="00016CB2"/>
    <w:rsid w:val="000177D4"/>
    <w:rsid w:val="00017FBA"/>
    <w:rsid w:val="0002055A"/>
    <w:rsid w:val="00022BFC"/>
    <w:rsid w:val="00023513"/>
    <w:rsid w:val="000246CB"/>
    <w:rsid w:val="00024DE6"/>
    <w:rsid w:val="00025E3D"/>
    <w:rsid w:val="00025E68"/>
    <w:rsid w:val="000263CB"/>
    <w:rsid w:val="000304EA"/>
    <w:rsid w:val="00030803"/>
    <w:rsid w:val="00031713"/>
    <w:rsid w:val="00031CBE"/>
    <w:rsid w:val="00031D57"/>
    <w:rsid w:val="00032F3A"/>
    <w:rsid w:val="00033243"/>
    <w:rsid w:val="000340A9"/>
    <w:rsid w:val="0003453C"/>
    <w:rsid w:val="0003492F"/>
    <w:rsid w:val="00034B80"/>
    <w:rsid w:val="00035188"/>
    <w:rsid w:val="00035800"/>
    <w:rsid w:val="0003593F"/>
    <w:rsid w:val="000364EF"/>
    <w:rsid w:val="0003662F"/>
    <w:rsid w:val="000366FE"/>
    <w:rsid w:val="00036AAA"/>
    <w:rsid w:val="00036E78"/>
    <w:rsid w:val="000370BC"/>
    <w:rsid w:val="000378BF"/>
    <w:rsid w:val="00037F4D"/>
    <w:rsid w:val="0004101D"/>
    <w:rsid w:val="0004174D"/>
    <w:rsid w:val="000426B5"/>
    <w:rsid w:val="00042F1B"/>
    <w:rsid w:val="00043761"/>
    <w:rsid w:val="000437B4"/>
    <w:rsid w:val="00043921"/>
    <w:rsid w:val="00043B31"/>
    <w:rsid w:val="00043E7D"/>
    <w:rsid w:val="0004503B"/>
    <w:rsid w:val="00046AC0"/>
    <w:rsid w:val="00047AD5"/>
    <w:rsid w:val="0005002B"/>
    <w:rsid w:val="00050602"/>
    <w:rsid w:val="000516CC"/>
    <w:rsid w:val="000521BB"/>
    <w:rsid w:val="0005298D"/>
    <w:rsid w:val="00052B83"/>
    <w:rsid w:val="00052E85"/>
    <w:rsid w:val="000547D0"/>
    <w:rsid w:val="000562E1"/>
    <w:rsid w:val="00056529"/>
    <w:rsid w:val="00056C7E"/>
    <w:rsid w:val="0005771E"/>
    <w:rsid w:val="0005774D"/>
    <w:rsid w:val="00060239"/>
    <w:rsid w:val="000602EB"/>
    <w:rsid w:val="0006053F"/>
    <w:rsid w:val="000608C3"/>
    <w:rsid w:val="00060FC1"/>
    <w:rsid w:val="000617E9"/>
    <w:rsid w:val="000626B3"/>
    <w:rsid w:val="00063568"/>
    <w:rsid w:val="0006371F"/>
    <w:rsid w:val="00064578"/>
    <w:rsid w:val="00066685"/>
    <w:rsid w:val="00067867"/>
    <w:rsid w:val="00067A60"/>
    <w:rsid w:val="0007042D"/>
    <w:rsid w:val="00070CEF"/>
    <w:rsid w:val="00071741"/>
    <w:rsid w:val="00071B86"/>
    <w:rsid w:val="00074924"/>
    <w:rsid w:val="00074AC3"/>
    <w:rsid w:val="0007526C"/>
    <w:rsid w:val="000769A0"/>
    <w:rsid w:val="00077374"/>
    <w:rsid w:val="0008080E"/>
    <w:rsid w:val="00081380"/>
    <w:rsid w:val="0008164E"/>
    <w:rsid w:val="000816D9"/>
    <w:rsid w:val="00081F41"/>
    <w:rsid w:val="00082043"/>
    <w:rsid w:val="00082151"/>
    <w:rsid w:val="000825CD"/>
    <w:rsid w:val="00083710"/>
    <w:rsid w:val="00083C90"/>
    <w:rsid w:val="0008446D"/>
    <w:rsid w:val="0008454C"/>
    <w:rsid w:val="00086313"/>
    <w:rsid w:val="00090124"/>
    <w:rsid w:val="0009108A"/>
    <w:rsid w:val="000940E3"/>
    <w:rsid w:val="000940FA"/>
    <w:rsid w:val="00094B43"/>
    <w:rsid w:val="00094EC9"/>
    <w:rsid w:val="00096725"/>
    <w:rsid w:val="000978EF"/>
    <w:rsid w:val="000A0240"/>
    <w:rsid w:val="000A0AAB"/>
    <w:rsid w:val="000A0E04"/>
    <w:rsid w:val="000A0EDD"/>
    <w:rsid w:val="000A16CC"/>
    <w:rsid w:val="000A1BD7"/>
    <w:rsid w:val="000A202D"/>
    <w:rsid w:val="000A2BA0"/>
    <w:rsid w:val="000A41E1"/>
    <w:rsid w:val="000A467C"/>
    <w:rsid w:val="000A498B"/>
    <w:rsid w:val="000A5015"/>
    <w:rsid w:val="000A5072"/>
    <w:rsid w:val="000A569C"/>
    <w:rsid w:val="000A5CB4"/>
    <w:rsid w:val="000A7EDB"/>
    <w:rsid w:val="000B13B8"/>
    <w:rsid w:val="000B1727"/>
    <w:rsid w:val="000B2BAC"/>
    <w:rsid w:val="000B2E26"/>
    <w:rsid w:val="000B315D"/>
    <w:rsid w:val="000B5234"/>
    <w:rsid w:val="000B527D"/>
    <w:rsid w:val="000B5ED8"/>
    <w:rsid w:val="000B6DD8"/>
    <w:rsid w:val="000B705B"/>
    <w:rsid w:val="000B749B"/>
    <w:rsid w:val="000B79B3"/>
    <w:rsid w:val="000C069C"/>
    <w:rsid w:val="000C1BB6"/>
    <w:rsid w:val="000C2B7F"/>
    <w:rsid w:val="000C40CD"/>
    <w:rsid w:val="000C65C2"/>
    <w:rsid w:val="000C70E4"/>
    <w:rsid w:val="000C7BC5"/>
    <w:rsid w:val="000D12FA"/>
    <w:rsid w:val="000D14A9"/>
    <w:rsid w:val="000D3325"/>
    <w:rsid w:val="000D486E"/>
    <w:rsid w:val="000D4D7C"/>
    <w:rsid w:val="000D4EA2"/>
    <w:rsid w:val="000D5ACE"/>
    <w:rsid w:val="000D6C0C"/>
    <w:rsid w:val="000D7424"/>
    <w:rsid w:val="000D7A5B"/>
    <w:rsid w:val="000E05FE"/>
    <w:rsid w:val="000E141B"/>
    <w:rsid w:val="000E26EA"/>
    <w:rsid w:val="000E2D15"/>
    <w:rsid w:val="000E2D3A"/>
    <w:rsid w:val="000E329A"/>
    <w:rsid w:val="000E33DF"/>
    <w:rsid w:val="000E356E"/>
    <w:rsid w:val="000E35CF"/>
    <w:rsid w:val="000E3E12"/>
    <w:rsid w:val="000E4949"/>
    <w:rsid w:val="000E6002"/>
    <w:rsid w:val="000E6C4D"/>
    <w:rsid w:val="000E70CB"/>
    <w:rsid w:val="000E738E"/>
    <w:rsid w:val="000F02A3"/>
    <w:rsid w:val="000F0767"/>
    <w:rsid w:val="000F1724"/>
    <w:rsid w:val="000F33AD"/>
    <w:rsid w:val="000F3869"/>
    <w:rsid w:val="000F39BC"/>
    <w:rsid w:val="000F3A83"/>
    <w:rsid w:val="000F4027"/>
    <w:rsid w:val="000F456F"/>
    <w:rsid w:val="000F5488"/>
    <w:rsid w:val="000F61B3"/>
    <w:rsid w:val="000F67E7"/>
    <w:rsid w:val="00100754"/>
    <w:rsid w:val="00101247"/>
    <w:rsid w:val="00101A70"/>
    <w:rsid w:val="00102163"/>
    <w:rsid w:val="00102A52"/>
    <w:rsid w:val="001057E8"/>
    <w:rsid w:val="00105E10"/>
    <w:rsid w:val="00105EC9"/>
    <w:rsid w:val="00106078"/>
    <w:rsid w:val="00106651"/>
    <w:rsid w:val="001066B0"/>
    <w:rsid w:val="001066BF"/>
    <w:rsid w:val="00106ABB"/>
    <w:rsid w:val="00110520"/>
    <w:rsid w:val="00112A18"/>
    <w:rsid w:val="0011312D"/>
    <w:rsid w:val="0011354F"/>
    <w:rsid w:val="00113EC1"/>
    <w:rsid w:val="00113F38"/>
    <w:rsid w:val="00113F8D"/>
    <w:rsid w:val="00114375"/>
    <w:rsid w:val="00114A6A"/>
    <w:rsid w:val="001150D8"/>
    <w:rsid w:val="001160D8"/>
    <w:rsid w:val="0012053A"/>
    <w:rsid w:val="00120F1C"/>
    <w:rsid w:val="001228DF"/>
    <w:rsid w:val="00124193"/>
    <w:rsid w:val="00124801"/>
    <w:rsid w:val="00124DC8"/>
    <w:rsid w:val="0012571D"/>
    <w:rsid w:val="001258FA"/>
    <w:rsid w:val="00126ED2"/>
    <w:rsid w:val="00127825"/>
    <w:rsid w:val="001302DE"/>
    <w:rsid w:val="001304B1"/>
    <w:rsid w:val="001315F7"/>
    <w:rsid w:val="00131694"/>
    <w:rsid w:val="00131947"/>
    <w:rsid w:val="00131E0F"/>
    <w:rsid w:val="0013360C"/>
    <w:rsid w:val="00134056"/>
    <w:rsid w:val="00134214"/>
    <w:rsid w:val="00134429"/>
    <w:rsid w:val="001349CD"/>
    <w:rsid w:val="00134B13"/>
    <w:rsid w:val="00135C6B"/>
    <w:rsid w:val="0013630E"/>
    <w:rsid w:val="00136356"/>
    <w:rsid w:val="001366ED"/>
    <w:rsid w:val="001368AE"/>
    <w:rsid w:val="001369FF"/>
    <w:rsid w:val="001374CD"/>
    <w:rsid w:val="00137CF7"/>
    <w:rsid w:val="00140381"/>
    <w:rsid w:val="0014056C"/>
    <w:rsid w:val="00140736"/>
    <w:rsid w:val="001458B6"/>
    <w:rsid w:val="00147091"/>
    <w:rsid w:val="001471D4"/>
    <w:rsid w:val="0015024C"/>
    <w:rsid w:val="001507C4"/>
    <w:rsid w:val="00152193"/>
    <w:rsid w:val="00152259"/>
    <w:rsid w:val="001531DD"/>
    <w:rsid w:val="001533AA"/>
    <w:rsid w:val="00153684"/>
    <w:rsid w:val="00154259"/>
    <w:rsid w:val="00154BD9"/>
    <w:rsid w:val="001551CD"/>
    <w:rsid w:val="00156266"/>
    <w:rsid w:val="00156A1E"/>
    <w:rsid w:val="0015750D"/>
    <w:rsid w:val="001579D6"/>
    <w:rsid w:val="00157B9E"/>
    <w:rsid w:val="001609DF"/>
    <w:rsid w:val="00160FF6"/>
    <w:rsid w:val="001610F8"/>
    <w:rsid w:val="00161531"/>
    <w:rsid w:val="001617B9"/>
    <w:rsid w:val="00162435"/>
    <w:rsid w:val="00162592"/>
    <w:rsid w:val="00162999"/>
    <w:rsid w:val="00162E6B"/>
    <w:rsid w:val="0016501A"/>
    <w:rsid w:val="001652C8"/>
    <w:rsid w:val="001656BB"/>
    <w:rsid w:val="001662AE"/>
    <w:rsid w:val="001663D2"/>
    <w:rsid w:val="001701A0"/>
    <w:rsid w:val="001704FA"/>
    <w:rsid w:val="0017058F"/>
    <w:rsid w:val="001708B6"/>
    <w:rsid w:val="001711B3"/>
    <w:rsid w:val="00171876"/>
    <w:rsid w:val="0017208F"/>
    <w:rsid w:val="0017281F"/>
    <w:rsid w:val="00172A27"/>
    <w:rsid w:val="00172ADC"/>
    <w:rsid w:val="001734D6"/>
    <w:rsid w:val="00173B77"/>
    <w:rsid w:val="001749E7"/>
    <w:rsid w:val="00174A06"/>
    <w:rsid w:val="0017622A"/>
    <w:rsid w:val="00176B3A"/>
    <w:rsid w:val="00180DE7"/>
    <w:rsid w:val="0018208D"/>
    <w:rsid w:val="001835E1"/>
    <w:rsid w:val="001850E7"/>
    <w:rsid w:val="001857BC"/>
    <w:rsid w:val="00185A03"/>
    <w:rsid w:val="00185FCE"/>
    <w:rsid w:val="00186A61"/>
    <w:rsid w:val="001872DF"/>
    <w:rsid w:val="00187848"/>
    <w:rsid w:val="0019057F"/>
    <w:rsid w:val="00190990"/>
    <w:rsid w:val="0019122C"/>
    <w:rsid w:val="00191E43"/>
    <w:rsid w:val="00192691"/>
    <w:rsid w:val="00193B20"/>
    <w:rsid w:val="001941E4"/>
    <w:rsid w:val="00194DB4"/>
    <w:rsid w:val="00194E7A"/>
    <w:rsid w:val="0019506C"/>
    <w:rsid w:val="001953BA"/>
    <w:rsid w:val="001953D9"/>
    <w:rsid w:val="00195B32"/>
    <w:rsid w:val="00195FEC"/>
    <w:rsid w:val="00197382"/>
    <w:rsid w:val="001A0476"/>
    <w:rsid w:val="001A0538"/>
    <w:rsid w:val="001A1EFD"/>
    <w:rsid w:val="001A2EC1"/>
    <w:rsid w:val="001A40E5"/>
    <w:rsid w:val="001A479C"/>
    <w:rsid w:val="001A76E9"/>
    <w:rsid w:val="001A7750"/>
    <w:rsid w:val="001A7E8E"/>
    <w:rsid w:val="001B00E7"/>
    <w:rsid w:val="001B13F5"/>
    <w:rsid w:val="001B1B87"/>
    <w:rsid w:val="001B1F29"/>
    <w:rsid w:val="001B50B3"/>
    <w:rsid w:val="001B644A"/>
    <w:rsid w:val="001B6A93"/>
    <w:rsid w:val="001C04E2"/>
    <w:rsid w:val="001C109C"/>
    <w:rsid w:val="001C1708"/>
    <w:rsid w:val="001C1D5C"/>
    <w:rsid w:val="001C235E"/>
    <w:rsid w:val="001C248A"/>
    <w:rsid w:val="001C288E"/>
    <w:rsid w:val="001C3215"/>
    <w:rsid w:val="001C3682"/>
    <w:rsid w:val="001C3E67"/>
    <w:rsid w:val="001C4810"/>
    <w:rsid w:val="001C4EB5"/>
    <w:rsid w:val="001C5442"/>
    <w:rsid w:val="001C5908"/>
    <w:rsid w:val="001C60EA"/>
    <w:rsid w:val="001C63A8"/>
    <w:rsid w:val="001C6F65"/>
    <w:rsid w:val="001C70F9"/>
    <w:rsid w:val="001C74FB"/>
    <w:rsid w:val="001D018A"/>
    <w:rsid w:val="001D12D4"/>
    <w:rsid w:val="001D1DF0"/>
    <w:rsid w:val="001D46DC"/>
    <w:rsid w:val="001D489D"/>
    <w:rsid w:val="001D4A53"/>
    <w:rsid w:val="001D5837"/>
    <w:rsid w:val="001D6553"/>
    <w:rsid w:val="001D6A5D"/>
    <w:rsid w:val="001E0B6D"/>
    <w:rsid w:val="001E14D8"/>
    <w:rsid w:val="001E1AA5"/>
    <w:rsid w:val="001E1B89"/>
    <w:rsid w:val="001E1FE5"/>
    <w:rsid w:val="001E2AFF"/>
    <w:rsid w:val="001E31B7"/>
    <w:rsid w:val="001E3493"/>
    <w:rsid w:val="001E397B"/>
    <w:rsid w:val="001E39F6"/>
    <w:rsid w:val="001E3ABF"/>
    <w:rsid w:val="001E4691"/>
    <w:rsid w:val="001E50B9"/>
    <w:rsid w:val="001E63F0"/>
    <w:rsid w:val="001F1054"/>
    <w:rsid w:val="001F134B"/>
    <w:rsid w:val="001F25F8"/>
    <w:rsid w:val="001F337F"/>
    <w:rsid w:val="001F34C3"/>
    <w:rsid w:val="001F3706"/>
    <w:rsid w:val="001F3871"/>
    <w:rsid w:val="001F42B4"/>
    <w:rsid w:val="001F46E7"/>
    <w:rsid w:val="001F4E68"/>
    <w:rsid w:val="001F6CCD"/>
    <w:rsid w:val="001F73CB"/>
    <w:rsid w:val="00201144"/>
    <w:rsid w:val="0020128C"/>
    <w:rsid w:val="00201687"/>
    <w:rsid w:val="00201D34"/>
    <w:rsid w:val="00202054"/>
    <w:rsid w:val="0020244E"/>
    <w:rsid w:val="002033F6"/>
    <w:rsid w:val="00203CED"/>
    <w:rsid w:val="00203CF7"/>
    <w:rsid w:val="002047D2"/>
    <w:rsid w:val="00204DAB"/>
    <w:rsid w:val="00205586"/>
    <w:rsid w:val="00205C7C"/>
    <w:rsid w:val="00206B5F"/>
    <w:rsid w:val="00206D6F"/>
    <w:rsid w:val="002075B3"/>
    <w:rsid w:val="0020760C"/>
    <w:rsid w:val="00211C25"/>
    <w:rsid w:val="00212EF5"/>
    <w:rsid w:val="00213190"/>
    <w:rsid w:val="00213358"/>
    <w:rsid w:val="00213856"/>
    <w:rsid w:val="00213D76"/>
    <w:rsid w:val="0021470B"/>
    <w:rsid w:val="00215597"/>
    <w:rsid w:val="00215705"/>
    <w:rsid w:val="002157D9"/>
    <w:rsid w:val="0021644E"/>
    <w:rsid w:val="00216AA3"/>
    <w:rsid w:val="00216C55"/>
    <w:rsid w:val="002178FD"/>
    <w:rsid w:val="002211F4"/>
    <w:rsid w:val="0022262C"/>
    <w:rsid w:val="002235C7"/>
    <w:rsid w:val="00223BB6"/>
    <w:rsid w:val="00223D6B"/>
    <w:rsid w:val="00223FED"/>
    <w:rsid w:val="00224896"/>
    <w:rsid w:val="00224DF1"/>
    <w:rsid w:val="002272FC"/>
    <w:rsid w:val="0022741C"/>
    <w:rsid w:val="00232BFB"/>
    <w:rsid w:val="0023452A"/>
    <w:rsid w:val="00234B42"/>
    <w:rsid w:val="0023641F"/>
    <w:rsid w:val="002364BD"/>
    <w:rsid w:val="0023657F"/>
    <w:rsid w:val="00236F49"/>
    <w:rsid w:val="002401A4"/>
    <w:rsid w:val="00240742"/>
    <w:rsid w:val="00240890"/>
    <w:rsid w:val="00240EB7"/>
    <w:rsid w:val="00241360"/>
    <w:rsid w:val="002435E7"/>
    <w:rsid w:val="00243824"/>
    <w:rsid w:val="00243948"/>
    <w:rsid w:val="002444B8"/>
    <w:rsid w:val="00245B75"/>
    <w:rsid w:val="00245CCD"/>
    <w:rsid w:val="0024712C"/>
    <w:rsid w:val="00247393"/>
    <w:rsid w:val="002507BD"/>
    <w:rsid w:val="002510B3"/>
    <w:rsid w:val="002516D9"/>
    <w:rsid w:val="0025278D"/>
    <w:rsid w:val="00253D29"/>
    <w:rsid w:val="00253E44"/>
    <w:rsid w:val="00254642"/>
    <w:rsid w:val="0025474D"/>
    <w:rsid w:val="0025505B"/>
    <w:rsid w:val="00255AC4"/>
    <w:rsid w:val="00256680"/>
    <w:rsid w:val="002573C1"/>
    <w:rsid w:val="002575B7"/>
    <w:rsid w:val="002615A0"/>
    <w:rsid w:val="00261779"/>
    <w:rsid w:val="00261EC5"/>
    <w:rsid w:val="00264203"/>
    <w:rsid w:val="0026442A"/>
    <w:rsid w:val="002650E7"/>
    <w:rsid w:val="002663BE"/>
    <w:rsid w:val="00266710"/>
    <w:rsid w:val="002714D2"/>
    <w:rsid w:val="002718AA"/>
    <w:rsid w:val="00271A2C"/>
    <w:rsid w:val="00272D15"/>
    <w:rsid w:val="00272F8C"/>
    <w:rsid w:val="0027316E"/>
    <w:rsid w:val="002739D6"/>
    <w:rsid w:val="00274153"/>
    <w:rsid w:val="00274683"/>
    <w:rsid w:val="0027584C"/>
    <w:rsid w:val="0027723D"/>
    <w:rsid w:val="0028000E"/>
    <w:rsid w:val="002806B7"/>
    <w:rsid w:val="0028112D"/>
    <w:rsid w:val="0028198F"/>
    <w:rsid w:val="0028362B"/>
    <w:rsid w:val="00283AF8"/>
    <w:rsid w:val="00283D9F"/>
    <w:rsid w:val="002845BB"/>
    <w:rsid w:val="0028469B"/>
    <w:rsid w:val="0028477E"/>
    <w:rsid w:val="002850FC"/>
    <w:rsid w:val="00285D9D"/>
    <w:rsid w:val="002861F9"/>
    <w:rsid w:val="00287583"/>
    <w:rsid w:val="0029049F"/>
    <w:rsid w:val="002908CC"/>
    <w:rsid w:val="0029187C"/>
    <w:rsid w:val="002918DB"/>
    <w:rsid w:val="00291DAF"/>
    <w:rsid w:val="0029302F"/>
    <w:rsid w:val="0029473D"/>
    <w:rsid w:val="0029575A"/>
    <w:rsid w:val="00296C6F"/>
    <w:rsid w:val="00296EA2"/>
    <w:rsid w:val="00297A66"/>
    <w:rsid w:val="00297A77"/>
    <w:rsid w:val="00297CE2"/>
    <w:rsid w:val="00297F19"/>
    <w:rsid w:val="002A00F9"/>
    <w:rsid w:val="002A20D3"/>
    <w:rsid w:val="002A2806"/>
    <w:rsid w:val="002A2AAF"/>
    <w:rsid w:val="002A46E4"/>
    <w:rsid w:val="002A4A3D"/>
    <w:rsid w:val="002A735E"/>
    <w:rsid w:val="002A778D"/>
    <w:rsid w:val="002A79A0"/>
    <w:rsid w:val="002A7A81"/>
    <w:rsid w:val="002B032B"/>
    <w:rsid w:val="002B03B3"/>
    <w:rsid w:val="002B12F1"/>
    <w:rsid w:val="002B1789"/>
    <w:rsid w:val="002B2899"/>
    <w:rsid w:val="002B2F7C"/>
    <w:rsid w:val="002B4107"/>
    <w:rsid w:val="002B42B5"/>
    <w:rsid w:val="002B48D5"/>
    <w:rsid w:val="002B5016"/>
    <w:rsid w:val="002B510D"/>
    <w:rsid w:val="002B5135"/>
    <w:rsid w:val="002B5881"/>
    <w:rsid w:val="002B5BE4"/>
    <w:rsid w:val="002B6E49"/>
    <w:rsid w:val="002C0133"/>
    <w:rsid w:val="002C129C"/>
    <w:rsid w:val="002C2935"/>
    <w:rsid w:val="002C2A2A"/>
    <w:rsid w:val="002C44D2"/>
    <w:rsid w:val="002C47AA"/>
    <w:rsid w:val="002C4A24"/>
    <w:rsid w:val="002C4E1C"/>
    <w:rsid w:val="002C5AE8"/>
    <w:rsid w:val="002C662D"/>
    <w:rsid w:val="002C6BB4"/>
    <w:rsid w:val="002C7BFE"/>
    <w:rsid w:val="002D037B"/>
    <w:rsid w:val="002D046C"/>
    <w:rsid w:val="002D055F"/>
    <w:rsid w:val="002D1F57"/>
    <w:rsid w:val="002D29E4"/>
    <w:rsid w:val="002D3628"/>
    <w:rsid w:val="002D38FC"/>
    <w:rsid w:val="002D44A4"/>
    <w:rsid w:val="002D478F"/>
    <w:rsid w:val="002D4D74"/>
    <w:rsid w:val="002D4FEE"/>
    <w:rsid w:val="002D50D1"/>
    <w:rsid w:val="002D6455"/>
    <w:rsid w:val="002D6792"/>
    <w:rsid w:val="002D67B7"/>
    <w:rsid w:val="002D700F"/>
    <w:rsid w:val="002D742C"/>
    <w:rsid w:val="002D78BD"/>
    <w:rsid w:val="002D79E9"/>
    <w:rsid w:val="002E0BDC"/>
    <w:rsid w:val="002E2637"/>
    <w:rsid w:val="002E3F2A"/>
    <w:rsid w:val="002E3F33"/>
    <w:rsid w:val="002E4B18"/>
    <w:rsid w:val="002E556A"/>
    <w:rsid w:val="002E6E9F"/>
    <w:rsid w:val="002E6F15"/>
    <w:rsid w:val="002E6F71"/>
    <w:rsid w:val="002E73FC"/>
    <w:rsid w:val="002F0425"/>
    <w:rsid w:val="002F0674"/>
    <w:rsid w:val="002F08AD"/>
    <w:rsid w:val="002F2D1C"/>
    <w:rsid w:val="002F3658"/>
    <w:rsid w:val="002F4F8D"/>
    <w:rsid w:val="002F4F93"/>
    <w:rsid w:val="002F5709"/>
    <w:rsid w:val="002F599B"/>
    <w:rsid w:val="002F6230"/>
    <w:rsid w:val="002F6555"/>
    <w:rsid w:val="002F7235"/>
    <w:rsid w:val="002F73C1"/>
    <w:rsid w:val="002F75E8"/>
    <w:rsid w:val="002F7F8D"/>
    <w:rsid w:val="00300286"/>
    <w:rsid w:val="003002EC"/>
    <w:rsid w:val="00300384"/>
    <w:rsid w:val="0030183C"/>
    <w:rsid w:val="003025B0"/>
    <w:rsid w:val="00302753"/>
    <w:rsid w:val="00302A83"/>
    <w:rsid w:val="00303702"/>
    <w:rsid w:val="00303AD0"/>
    <w:rsid w:val="003046ED"/>
    <w:rsid w:val="00304E5C"/>
    <w:rsid w:val="003058C6"/>
    <w:rsid w:val="003058F1"/>
    <w:rsid w:val="00305E66"/>
    <w:rsid w:val="0031082A"/>
    <w:rsid w:val="00310FB8"/>
    <w:rsid w:val="00312AD3"/>
    <w:rsid w:val="00313B23"/>
    <w:rsid w:val="00314DD0"/>
    <w:rsid w:val="0031577A"/>
    <w:rsid w:val="003159C7"/>
    <w:rsid w:val="00316501"/>
    <w:rsid w:val="00316574"/>
    <w:rsid w:val="0031689B"/>
    <w:rsid w:val="0031690F"/>
    <w:rsid w:val="003222CF"/>
    <w:rsid w:val="00322350"/>
    <w:rsid w:val="00322835"/>
    <w:rsid w:val="0032300C"/>
    <w:rsid w:val="00323B1A"/>
    <w:rsid w:val="00323D93"/>
    <w:rsid w:val="003251CB"/>
    <w:rsid w:val="00326B4B"/>
    <w:rsid w:val="00326F60"/>
    <w:rsid w:val="00330BD9"/>
    <w:rsid w:val="00331BD6"/>
    <w:rsid w:val="00331CD6"/>
    <w:rsid w:val="003346F5"/>
    <w:rsid w:val="00334FCD"/>
    <w:rsid w:val="00335566"/>
    <w:rsid w:val="00336641"/>
    <w:rsid w:val="003369E4"/>
    <w:rsid w:val="00336F19"/>
    <w:rsid w:val="00337328"/>
    <w:rsid w:val="00337838"/>
    <w:rsid w:val="00337877"/>
    <w:rsid w:val="00340199"/>
    <w:rsid w:val="0034080C"/>
    <w:rsid w:val="00340A81"/>
    <w:rsid w:val="00340F4B"/>
    <w:rsid w:val="00341D42"/>
    <w:rsid w:val="00342FD9"/>
    <w:rsid w:val="00343C66"/>
    <w:rsid w:val="003447BF"/>
    <w:rsid w:val="00344B0C"/>
    <w:rsid w:val="003450FE"/>
    <w:rsid w:val="003453B7"/>
    <w:rsid w:val="00345A9C"/>
    <w:rsid w:val="00345ECF"/>
    <w:rsid w:val="00346D9B"/>
    <w:rsid w:val="00347301"/>
    <w:rsid w:val="0034785B"/>
    <w:rsid w:val="00347B4A"/>
    <w:rsid w:val="0035039C"/>
    <w:rsid w:val="003511CD"/>
    <w:rsid w:val="0035236F"/>
    <w:rsid w:val="0035253E"/>
    <w:rsid w:val="003528AB"/>
    <w:rsid w:val="00354640"/>
    <w:rsid w:val="00355F34"/>
    <w:rsid w:val="00360B4A"/>
    <w:rsid w:val="00361286"/>
    <w:rsid w:val="003635F7"/>
    <w:rsid w:val="00363C5A"/>
    <w:rsid w:val="00364107"/>
    <w:rsid w:val="0036526F"/>
    <w:rsid w:val="00365A5B"/>
    <w:rsid w:val="00365F32"/>
    <w:rsid w:val="003671D6"/>
    <w:rsid w:val="00367B96"/>
    <w:rsid w:val="0037090E"/>
    <w:rsid w:val="00371666"/>
    <w:rsid w:val="00371F35"/>
    <w:rsid w:val="00372F98"/>
    <w:rsid w:val="00372FB9"/>
    <w:rsid w:val="0037308E"/>
    <w:rsid w:val="00373443"/>
    <w:rsid w:val="00373B56"/>
    <w:rsid w:val="00373F41"/>
    <w:rsid w:val="003758E7"/>
    <w:rsid w:val="00376454"/>
    <w:rsid w:val="003767B9"/>
    <w:rsid w:val="00376CF9"/>
    <w:rsid w:val="00377220"/>
    <w:rsid w:val="00381FB3"/>
    <w:rsid w:val="00382694"/>
    <w:rsid w:val="00383F80"/>
    <w:rsid w:val="003841E8"/>
    <w:rsid w:val="0038469B"/>
    <w:rsid w:val="0038496B"/>
    <w:rsid w:val="00384A98"/>
    <w:rsid w:val="00384C8A"/>
    <w:rsid w:val="003854C5"/>
    <w:rsid w:val="0038585F"/>
    <w:rsid w:val="003865EA"/>
    <w:rsid w:val="003869F5"/>
    <w:rsid w:val="00386E3B"/>
    <w:rsid w:val="00387674"/>
    <w:rsid w:val="00390585"/>
    <w:rsid w:val="00392157"/>
    <w:rsid w:val="0039243F"/>
    <w:rsid w:val="003925AC"/>
    <w:rsid w:val="00394C16"/>
    <w:rsid w:val="00394ED9"/>
    <w:rsid w:val="00395B05"/>
    <w:rsid w:val="00395C6A"/>
    <w:rsid w:val="00396005"/>
    <w:rsid w:val="003962B6"/>
    <w:rsid w:val="0039702F"/>
    <w:rsid w:val="003970DC"/>
    <w:rsid w:val="00397799"/>
    <w:rsid w:val="003A00C7"/>
    <w:rsid w:val="003A142B"/>
    <w:rsid w:val="003A1BFD"/>
    <w:rsid w:val="003A1EBE"/>
    <w:rsid w:val="003A22A0"/>
    <w:rsid w:val="003A26CA"/>
    <w:rsid w:val="003A3633"/>
    <w:rsid w:val="003A510E"/>
    <w:rsid w:val="003A5367"/>
    <w:rsid w:val="003A5AB3"/>
    <w:rsid w:val="003A5E24"/>
    <w:rsid w:val="003A6276"/>
    <w:rsid w:val="003A6514"/>
    <w:rsid w:val="003B15C7"/>
    <w:rsid w:val="003B2025"/>
    <w:rsid w:val="003B224A"/>
    <w:rsid w:val="003B3075"/>
    <w:rsid w:val="003B43A6"/>
    <w:rsid w:val="003B453F"/>
    <w:rsid w:val="003B4A6D"/>
    <w:rsid w:val="003B524D"/>
    <w:rsid w:val="003B58E7"/>
    <w:rsid w:val="003B6F25"/>
    <w:rsid w:val="003B77E9"/>
    <w:rsid w:val="003B7A81"/>
    <w:rsid w:val="003B7A95"/>
    <w:rsid w:val="003C01F5"/>
    <w:rsid w:val="003C093E"/>
    <w:rsid w:val="003C0D3E"/>
    <w:rsid w:val="003C1D15"/>
    <w:rsid w:val="003C2CF4"/>
    <w:rsid w:val="003C31B3"/>
    <w:rsid w:val="003C3F60"/>
    <w:rsid w:val="003C4BB9"/>
    <w:rsid w:val="003C4E7E"/>
    <w:rsid w:val="003C51CE"/>
    <w:rsid w:val="003C544A"/>
    <w:rsid w:val="003C59A1"/>
    <w:rsid w:val="003C5CA0"/>
    <w:rsid w:val="003C6EEA"/>
    <w:rsid w:val="003C7963"/>
    <w:rsid w:val="003C7AC5"/>
    <w:rsid w:val="003C7BAA"/>
    <w:rsid w:val="003C7E63"/>
    <w:rsid w:val="003C7ED4"/>
    <w:rsid w:val="003D0851"/>
    <w:rsid w:val="003D192F"/>
    <w:rsid w:val="003D2165"/>
    <w:rsid w:val="003D24E4"/>
    <w:rsid w:val="003D4698"/>
    <w:rsid w:val="003D6390"/>
    <w:rsid w:val="003D77DF"/>
    <w:rsid w:val="003D7BF1"/>
    <w:rsid w:val="003E09EB"/>
    <w:rsid w:val="003E0B89"/>
    <w:rsid w:val="003E1132"/>
    <w:rsid w:val="003E1B7D"/>
    <w:rsid w:val="003E1B92"/>
    <w:rsid w:val="003E1F96"/>
    <w:rsid w:val="003E29AC"/>
    <w:rsid w:val="003E2B07"/>
    <w:rsid w:val="003E2F40"/>
    <w:rsid w:val="003E4756"/>
    <w:rsid w:val="003E523A"/>
    <w:rsid w:val="003E55DC"/>
    <w:rsid w:val="003E62B6"/>
    <w:rsid w:val="003E7138"/>
    <w:rsid w:val="003E7A55"/>
    <w:rsid w:val="003F0925"/>
    <w:rsid w:val="003F121A"/>
    <w:rsid w:val="003F1410"/>
    <w:rsid w:val="003F18EF"/>
    <w:rsid w:val="003F2671"/>
    <w:rsid w:val="003F2A8C"/>
    <w:rsid w:val="003F3337"/>
    <w:rsid w:val="003F3692"/>
    <w:rsid w:val="003F5552"/>
    <w:rsid w:val="003F60DF"/>
    <w:rsid w:val="003F6721"/>
    <w:rsid w:val="0040022A"/>
    <w:rsid w:val="004007F3"/>
    <w:rsid w:val="00400899"/>
    <w:rsid w:val="00400F40"/>
    <w:rsid w:val="00403331"/>
    <w:rsid w:val="00403BA4"/>
    <w:rsid w:val="00403C12"/>
    <w:rsid w:val="00404B70"/>
    <w:rsid w:val="00405189"/>
    <w:rsid w:val="004068B2"/>
    <w:rsid w:val="00406C8E"/>
    <w:rsid w:val="00407A19"/>
    <w:rsid w:val="00412A67"/>
    <w:rsid w:val="00413830"/>
    <w:rsid w:val="00414E05"/>
    <w:rsid w:val="00415E31"/>
    <w:rsid w:val="004164A6"/>
    <w:rsid w:val="00416857"/>
    <w:rsid w:val="00416CFB"/>
    <w:rsid w:val="004171AC"/>
    <w:rsid w:val="00417894"/>
    <w:rsid w:val="00417AE1"/>
    <w:rsid w:val="0042011A"/>
    <w:rsid w:val="004208D2"/>
    <w:rsid w:val="00420A69"/>
    <w:rsid w:val="00420CDB"/>
    <w:rsid w:val="00420F28"/>
    <w:rsid w:val="0042209A"/>
    <w:rsid w:val="00422446"/>
    <w:rsid w:val="00422F73"/>
    <w:rsid w:val="004242C0"/>
    <w:rsid w:val="00424754"/>
    <w:rsid w:val="00424959"/>
    <w:rsid w:val="004249D6"/>
    <w:rsid w:val="00424CEC"/>
    <w:rsid w:val="00424FF3"/>
    <w:rsid w:val="00425600"/>
    <w:rsid w:val="00425890"/>
    <w:rsid w:val="00426825"/>
    <w:rsid w:val="00427430"/>
    <w:rsid w:val="00427A34"/>
    <w:rsid w:val="00427A5E"/>
    <w:rsid w:val="00431929"/>
    <w:rsid w:val="00431A2C"/>
    <w:rsid w:val="00432CA1"/>
    <w:rsid w:val="00432D63"/>
    <w:rsid w:val="00432D9A"/>
    <w:rsid w:val="00432EEC"/>
    <w:rsid w:val="00432F85"/>
    <w:rsid w:val="004331B4"/>
    <w:rsid w:val="004338F3"/>
    <w:rsid w:val="00433B7C"/>
    <w:rsid w:val="00434755"/>
    <w:rsid w:val="0043573D"/>
    <w:rsid w:val="00435C8F"/>
    <w:rsid w:val="004361BE"/>
    <w:rsid w:val="00437383"/>
    <w:rsid w:val="0043775B"/>
    <w:rsid w:val="004408FF"/>
    <w:rsid w:val="00440B29"/>
    <w:rsid w:val="004419A1"/>
    <w:rsid w:val="00441EA6"/>
    <w:rsid w:val="004439A5"/>
    <w:rsid w:val="00444400"/>
    <w:rsid w:val="00444E65"/>
    <w:rsid w:val="0044531A"/>
    <w:rsid w:val="00445613"/>
    <w:rsid w:val="004468C0"/>
    <w:rsid w:val="00446B20"/>
    <w:rsid w:val="004470A7"/>
    <w:rsid w:val="0044754D"/>
    <w:rsid w:val="0044784B"/>
    <w:rsid w:val="0044789D"/>
    <w:rsid w:val="00450C60"/>
    <w:rsid w:val="00450EC3"/>
    <w:rsid w:val="00452031"/>
    <w:rsid w:val="004525CF"/>
    <w:rsid w:val="00453CB9"/>
    <w:rsid w:val="0045459B"/>
    <w:rsid w:val="00454AB3"/>
    <w:rsid w:val="004555BA"/>
    <w:rsid w:val="00455615"/>
    <w:rsid w:val="004558A9"/>
    <w:rsid w:val="00455952"/>
    <w:rsid w:val="00456A3C"/>
    <w:rsid w:val="00457D57"/>
    <w:rsid w:val="00461AD5"/>
    <w:rsid w:val="00461D9C"/>
    <w:rsid w:val="00461E1E"/>
    <w:rsid w:val="00462383"/>
    <w:rsid w:val="004623CD"/>
    <w:rsid w:val="00463340"/>
    <w:rsid w:val="004639DA"/>
    <w:rsid w:val="00463BE5"/>
    <w:rsid w:val="004640C9"/>
    <w:rsid w:val="004640F2"/>
    <w:rsid w:val="00467B7C"/>
    <w:rsid w:val="00467DD9"/>
    <w:rsid w:val="00467F56"/>
    <w:rsid w:val="00471C7B"/>
    <w:rsid w:val="00471CE8"/>
    <w:rsid w:val="00475F4C"/>
    <w:rsid w:val="0047656F"/>
    <w:rsid w:val="00476896"/>
    <w:rsid w:val="004802C6"/>
    <w:rsid w:val="00480A00"/>
    <w:rsid w:val="00480FF9"/>
    <w:rsid w:val="00482855"/>
    <w:rsid w:val="004831E7"/>
    <w:rsid w:val="00483ACC"/>
    <w:rsid w:val="004843CF"/>
    <w:rsid w:val="00484890"/>
    <w:rsid w:val="00484DAB"/>
    <w:rsid w:val="00484DBA"/>
    <w:rsid w:val="00487D24"/>
    <w:rsid w:val="00490134"/>
    <w:rsid w:val="00490786"/>
    <w:rsid w:val="00490A80"/>
    <w:rsid w:val="00490A89"/>
    <w:rsid w:val="004920E2"/>
    <w:rsid w:val="004921E3"/>
    <w:rsid w:val="004926A1"/>
    <w:rsid w:val="00492A36"/>
    <w:rsid w:val="00492E73"/>
    <w:rsid w:val="0049408B"/>
    <w:rsid w:val="00495468"/>
    <w:rsid w:val="0049581C"/>
    <w:rsid w:val="00496C03"/>
    <w:rsid w:val="0049710E"/>
    <w:rsid w:val="00497449"/>
    <w:rsid w:val="00497D7C"/>
    <w:rsid w:val="004A0138"/>
    <w:rsid w:val="004A0BB6"/>
    <w:rsid w:val="004A2295"/>
    <w:rsid w:val="004A28D1"/>
    <w:rsid w:val="004A2B03"/>
    <w:rsid w:val="004A47EB"/>
    <w:rsid w:val="004A6294"/>
    <w:rsid w:val="004A650B"/>
    <w:rsid w:val="004A73B5"/>
    <w:rsid w:val="004A78E9"/>
    <w:rsid w:val="004B0197"/>
    <w:rsid w:val="004B08A6"/>
    <w:rsid w:val="004B15CE"/>
    <w:rsid w:val="004B21CF"/>
    <w:rsid w:val="004B2F5D"/>
    <w:rsid w:val="004B31D1"/>
    <w:rsid w:val="004B3637"/>
    <w:rsid w:val="004B486A"/>
    <w:rsid w:val="004B5102"/>
    <w:rsid w:val="004B58F5"/>
    <w:rsid w:val="004B7614"/>
    <w:rsid w:val="004B7B37"/>
    <w:rsid w:val="004C002C"/>
    <w:rsid w:val="004C15BD"/>
    <w:rsid w:val="004C2141"/>
    <w:rsid w:val="004C2234"/>
    <w:rsid w:val="004C3010"/>
    <w:rsid w:val="004C47F6"/>
    <w:rsid w:val="004C485E"/>
    <w:rsid w:val="004C5E79"/>
    <w:rsid w:val="004C60F2"/>
    <w:rsid w:val="004D130B"/>
    <w:rsid w:val="004D177C"/>
    <w:rsid w:val="004D1DEE"/>
    <w:rsid w:val="004D26A6"/>
    <w:rsid w:val="004D3345"/>
    <w:rsid w:val="004D3D22"/>
    <w:rsid w:val="004D70FC"/>
    <w:rsid w:val="004D767D"/>
    <w:rsid w:val="004D797C"/>
    <w:rsid w:val="004E056B"/>
    <w:rsid w:val="004E1617"/>
    <w:rsid w:val="004E168D"/>
    <w:rsid w:val="004E320F"/>
    <w:rsid w:val="004E4A18"/>
    <w:rsid w:val="004E4EB7"/>
    <w:rsid w:val="004E7C51"/>
    <w:rsid w:val="004E7E6C"/>
    <w:rsid w:val="004F197C"/>
    <w:rsid w:val="004F1CB1"/>
    <w:rsid w:val="004F21B6"/>
    <w:rsid w:val="004F21DB"/>
    <w:rsid w:val="004F2DD3"/>
    <w:rsid w:val="004F312F"/>
    <w:rsid w:val="004F36A5"/>
    <w:rsid w:val="004F3C3C"/>
    <w:rsid w:val="004F4193"/>
    <w:rsid w:val="004F42FE"/>
    <w:rsid w:val="004F4428"/>
    <w:rsid w:val="004F47A8"/>
    <w:rsid w:val="004F4F16"/>
    <w:rsid w:val="004F50BC"/>
    <w:rsid w:val="004F5278"/>
    <w:rsid w:val="004F5827"/>
    <w:rsid w:val="004F5E7F"/>
    <w:rsid w:val="004F651E"/>
    <w:rsid w:val="004F6792"/>
    <w:rsid w:val="004F726A"/>
    <w:rsid w:val="004F75E0"/>
    <w:rsid w:val="004F78CE"/>
    <w:rsid w:val="00500CD9"/>
    <w:rsid w:val="005014A3"/>
    <w:rsid w:val="00501A26"/>
    <w:rsid w:val="0050287F"/>
    <w:rsid w:val="00503302"/>
    <w:rsid w:val="005039F1"/>
    <w:rsid w:val="005039F6"/>
    <w:rsid w:val="00504271"/>
    <w:rsid w:val="00505662"/>
    <w:rsid w:val="00505E60"/>
    <w:rsid w:val="00506771"/>
    <w:rsid w:val="00506933"/>
    <w:rsid w:val="00506A9F"/>
    <w:rsid w:val="00506F0F"/>
    <w:rsid w:val="00507847"/>
    <w:rsid w:val="00507C4E"/>
    <w:rsid w:val="00507DB0"/>
    <w:rsid w:val="00507DC5"/>
    <w:rsid w:val="0051082D"/>
    <w:rsid w:val="005108CD"/>
    <w:rsid w:val="00512CB3"/>
    <w:rsid w:val="00513345"/>
    <w:rsid w:val="00513892"/>
    <w:rsid w:val="00515BAC"/>
    <w:rsid w:val="00517E6D"/>
    <w:rsid w:val="005207CB"/>
    <w:rsid w:val="005225BE"/>
    <w:rsid w:val="005225F2"/>
    <w:rsid w:val="00522895"/>
    <w:rsid w:val="005238DE"/>
    <w:rsid w:val="005258B1"/>
    <w:rsid w:val="005259EE"/>
    <w:rsid w:val="005266D1"/>
    <w:rsid w:val="0052690E"/>
    <w:rsid w:val="0052786D"/>
    <w:rsid w:val="00527CA1"/>
    <w:rsid w:val="00530470"/>
    <w:rsid w:val="0053060F"/>
    <w:rsid w:val="005327D0"/>
    <w:rsid w:val="00532990"/>
    <w:rsid w:val="005342EB"/>
    <w:rsid w:val="00534424"/>
    <w:rsid w:val="005348B3"/>
    <w:rsid w:val="00534EF3"/>
    <w:rsid w:val="00535477"/>
    <w:rsid w:val="005359A0"/>
    <w:rsid w:val="00535CE9"/>
    <w:rsid w:val="00536726"/>
    <w:rsid w:val="00537278"/>
    <w:rsid w:val="00537577"/>
    <w:rsid w:val="00537F86"/>
    <w:rsid w:val="005404C5"/>
    <w:rsid w:val="00541DDC"/>
    <w:rsid w:val="005435FD"/>
    <w:rsid w:val="00543AA0"/>
    <w:rsid w:val="0054462C"/>
    <w:rsid w:val="005450F5"/>
    <w:rsid w:val="005454B7"/>
    <w:rsid w:val="00545A04"/>
    <w:rsid w:val="00546B09"/>
    <w:rsid w:val="0055043D"/>
    <w:rsid w:val="00550509"/>
    <w:rsid w:val="00551123"/>
    <w:rsid w:val="005511DE"/>
    <w:rsid w:val="00551492"/>
    <w:rsid w:val="005515D7"/>
    <w:rsid w:val="00552920"/>
    <w:rsid w:val="00556A0C"/>
    <w:rsid w:val="0056159B"/>
    <w:rsid w:val="005621B8"/>
    <w:rsid w:val="0056291C"/>
    <w:rsid w:val="00562D9E"/>
    <w:rsid w:val="00562F3F"/>
    <w:rsid w:val="005634B8"/>
    <w:rsid w:val="00563AA4"/>
    <w:rsid w:val="00565140"/>
    <w:rsid w:val="005666BC"/>
    <w:rsid w:val="00566E9A"/>
    <w:rsid w:val="00567EE7"/>
    <w:rsid w:val="00570142"/>
    <w:rsid w:val="00570230"/>
    <w:rsid w:val="00570BBF"/>
    <w:rsid w:val="00572829"/>
    <w:rsid w:val="0057387F"/>
    <w:rsid w:val="00573BA8"/>
    <w:rsid w:val="00573BE8"/>
    <w:rsid w:val="00574614"/>
    <w:rsid w:val="005746D2"/>
    <w:rsid w:val="0057534A"/>
    <w:rsid w:val="005754CE"/>
    <w:rsid w:val="00575602"/>
    <w:rsid w:val="00575A50"/>
    <w:rsid w:val="00576050"/>
    <w:rsid w:val="005760F5"/>
    <w:rsid w:val="00576694"/>
    <w:rsid w:val="0057697D"/>
    <w:rsid w:val="00576DA5"/>
    <w:rsid w:val="00577232"/>
    <w:rsid w:val="005774F0"/>
    <w:rsid w:val="00580ACA"/>
    <w:rsid w:val="00580BF4"/>
    <w:rsid w:val="00580E11"/>
    <w:rsid w:val="0058164A"/>
    <w:rsid w:val="00581E43"/>
    <w:rsid w:val="00582FC4"/>
    <w:rsid w:val="0058351A"/>
    <w:rsid w:val="00583D8F"/>
    <w:rsid w:val="005845C6"/>
    <w:rsid w:val="005850E6"/>
    <w:rsid w:val="0058555A"/>
    <w:rsid w:val="005858DC"/>
    <w:rsid w:val="0058593C"/>
    <w:rsid w:val="005866E6"/>
    <w:rsid w:val="00586A8A"/>
    <w:rsid w:val="0058737F"/>
    <w:rsid w:val="005877F8"/>
    <w:rsid w:val="00587ACB"/>
    <w:rsid w:val="00590E34"/>
    <w:rsid w:val="00590F36"/>
    <w:rsid w:val="00590FD9"/>
    <w:rsid w:val="00591228"/>
    <w:rsid w:val="0059186A"/>
    <w:rsid w:val="00591956"/>
    <w:rsid w:val="00591B98"/>
    <w:rsid w:val="00591E5E"/>
    <w:rsid w:val="00591FD1"/>
    <w:rsid w:val="00593602"/>
    <w:rsid w:val="00594396"/>
    <w:rsid w:val="00594440"/>
    <w:rsid w:val="00594800"/>
    <w:rsid w:val="00595F89"/>
    <w:rsid w:val="005971B9"/>
    <w:rsid w:val="005A0210"/>
    <w:rsid w:val="005A04B7"/>
    <w:rsid w:val="005A145F"/>
    <w:rsid w:val="005A1A8E"/>
    <w:rsid w:val="005A2D50"/>
    <w:rsid w:val="005A3811"/>
    <w:rsid w:val="005A39BC"/>
    <w:rsid w:val="005A4126"/>
    <w:rsid w:val="005A4420"/>
    <w:rsid w:val="005A58E1"/>
    <w:rsid w:val="005A66B6"/>
    <w:rsid w:val="005B080D"/>
    <w:rsid w:val="005B0D55"/>
    <w:rsid w:val="005B11A6"/>
    <w:rsid w:val="005B1406"/>
    <w:rsid w:val="005B1BF3"/>
    <w:rsid w:val="005B2791"/>
    <w:rsid w:val="005B2AB7"/>
    <w:rsid w:val="005B3F77"/>
    <w:rsid w:val="005B456B"/>
    <w:rsid w:val="005B744B"/>
    <w:rsid w:val="005B79AC"/>
    <w:rsid w:val="005B7D81"/>
    <w:rsid w:val="005C001E"/>
    <w:rsid w:val="005C01AA"/>
    <w:rsid w:val="005C0BB8"/>
    <w:rsid w:val="005C1667"/>
    <w:rsid w:val="005C1F5E"/>
    <w:rsid w:val="005C223C"/>
    <w:rsid w:val="005C2443"/>
    <w:rsid w:val="005C252F"/>
    <w:rsid w:val="005C32E3"/>
    <w:rsid w:val="005C35EA"/>
    <w:rsid w:val="005C36E5"/>
    <w:rsid w:val="005C3EBF"/>
    <w:rsid w:val="005C43D6"/>
    <w:rsid w:val="005C520D"/>
    <w:rsid w:val="005C538E"/>
    <w:rsid w:val="005C57D4"/>
    <w:rsid w:val="005C593D"/>
    <w:rsid w:val="005C61C2"/>
    <w:rsid w:val="005C61FD"/>
    <w:rsid w:val="005C662C"/>
    <w:rsid w:val="005C6A43"/>
    <w:rsid w:val="005C6E5D"/>
    <w:rsid w:val="005C7618"/>
    <w:rsid w:val="005C782D"/>
    <w:rsid w:val="005D04F6"/>
    <w:rsid w:val="005D04FF"/>
    <w:rsid w:val="005D139F"/>
    <w:rsid w:val="005D16EF"/>
    <w:rsid w:val="005D1AFA"/>
    <w:rsid w:val="005D2616"/>
    <w:rsid w:val="005D2F1F"/>
    <w:rsid w:val="005D31AB"/>
    <w:rsid w:val="005D4CB4"/>
    <w:rsid w:val="005D4DB5"/>
    <w:rsid w:val="005D569B"/>
    <w:rsid w:val="005D59EF"/>
    <w:rsid w:val="005D63A5"/>
    <w:rsid w:val="005D6C31"/>
    <w:rsid w:val="005D704D"/>
    <w:rsid w:val="005D770D"/>
    <w:rsid w:val="005D7CEF"/>
    <w:rsid w:val="005D7DFA"/>
    <w:rsid w:val="005D7E2E"/>
    <w:rsid w:val="005E1353"/>
    <w:rsid w:val="005E276D"/>
    <w:rsid w:val="005E2A0E"/>
    <w:rsid w:val="005E2D3D"/>
    <w:rsid w:val="005E2E9D"/>
    <w:rsid w:val="005E374F"/>
    <w:rsid w:val="005E446B"/>
    <w:rsid w:val="005E4709"/>
    <w:rsid w:val="005E4AC1"/>
    <w:rsid w:val="005E4F68"/>
    <w:rsid w:val="005E5082"/>
    <w:rsid w:val="005E50FA"/>
    <w:rsid w:val="005E628A"/>
    <w:rsid w:val="005E62B7"/>
    <w:rsid w:val="005E637D"/>
    <w:rsid w:val="005F3041"/>
    <w:rsid w:val="005F380F"/>
    <w:rsid w:val="005F6349"/>
    <w:rsid w:val="005F682E"/>
    <w:rsid w:val="005F6885"/>
    <w:rsid w:val="005F689C"/>
    <w:rsid w:val="005F6BDD"/>
    <w:rsid w:val="005F6EEB"/>
    <w:rsid w:val="005F76A1"/>
    <w:rsid w:val="005F79B1"/>
    <w:rsid w:val="0060016A"/>
    <w:rsid w:val="006009A8"/>
    <w:rsid w:val="00601724"/>
    <w:rsid w:val="00601DB5"/>
    <w:rsid w:val="006028DE"/>
    <w:rsid w:val="0060404B"/>
    <w:rsid w:val="00604271"/>
    <w:rsid w:val="00604369"/>
    <w:rsid w:val="00604DDC"/>
    <w:rsid w:val="006053FA"/>
    <w:rsid w:val="00607354"/>
    <w:rsid w:val="006073AC"/>
    <w:rsid w:val="00607AF8"/>
    <w:rsid w:val="00610EC5"/>
    <w:rsid w:val="00611F39"/>
    <w:rsid w:val="0061384E"/>
    <w:rsid w:val="0061445A"/>
    <w:rsid w:val="00614D9B"/>
    <w:rsid w:val="00614E7B"/>
    <w:rsid w:val="006155BE"/>
    <w:rsid w:val="006160AC"/>
    <w:rsid w:val="006160F6"/>
    <w:rsid w:val="0061636B"/>
    <w:rsid w:val="006177C3"/>
    <w:rsid w:val="00617CBD"/>
    <w:rsid w:val="00620022"/>
    <w:rsid w:val="006204FB"/>
    <w:rsid w:val="00622EBF"/>
    <w:rsid w:val="00622F7B"/>
    <w:rsid w:val="00623A2C"/>
    <w:rsid w:val="00624CCB"/>
    <w:rsid w:val="0062552A"/>
    <w:rsid w:val="00625B49"/>
    <w:rsid w:val="006261E9"/>
    <w:rsid w:val="00627715"/>
    <w:rsid w:val="0063085F"/>
    <w:rsid w:val="006309DA"/>
    <w:rsid w:val="00630E44"/>
    <w:rsid w:val="00630EF0"/>
    <w:rsid w:val="00632470"/>
    <w:rsid w:val="00632540"/>
    <w:rsid w:val="0063278D"/>
    <w:rsid w:val="006329B9"/>
    <w:rsid w:val="00632AFC"/>
    <w:rsid w:val="00632CE5"/>
    <w:rsid w:val="00633A45"/>
    <w:rsid w:val="0063460A"/>
    <w:rsid w:val="006348DA"/>
    <w:rsid w:val="0063591F"/>
    <w:rsid w:val="00635B90"/>
    <w:rsid w:val="00635C27"/>
    <w:rsid w:val="00637402"/>
    <w:rsid w:val="00637ADF"/>
    <w:rsid w:val="00637C80"/>
    <w:rsid w:val="006401E6"/>
    <w:rsid w:val="00640E88"/>
    <w:rsid w:val="006411A5"/>
    <w:rsid w:val="00641866"/>
    <w:rsid w:val="006422D1"/>
    <w:rsid w:val="006424EF"/>
    <w:rsid w:val="0064270E"/>
    <w:rsid w:val="0064303F"/>
    <w:rsid w:val="006431AC"/>
    <w:rsid w:val="006431F9"/>
    <w:rsid w:val="00643243"/>
    <w:rsid w:val="00645521"/>
    <w:rsid w:val="00645F80"/>
    <w:rsid w:val="00645FB2"/>
    <w:rsid w:val="00646647"/>
    <w:rsid w:val="00646CA7"/>
    <w:rsid w:val="0064774D"/>
    <w:rsid w:val="00647775"/>
    <w:rsid w:val="00647B2A"/>
    <w:rsid w:val="00650065"/>
    <w:rsid w:val="00650B91"/>
    <w:rsid w:val="00652DBA"/>
    <w:rsid w:val="00654B15"/>
    <w:rsid w:val="00654BDB"/>
    <w:rsid w:val="00654FCF"/>
    <w:rsid w:val="0065500E"/>
    <w:rsid w:val="00655E63"/>
    <w:rsid w:val="0065606C"/>
    <w:rsid w:val="006568B1"/>
    <w:rsid w:val="006570AD"/>
    <w:rsid w:val="00657394"/>
    <w:rsid w:val="006606B7"/>
    <w:rsid w:val="006612A0"/>
    <w:rsid w:val="0066151D"/>
    <w:rsid w:val="0066194C"/>
    <w:rsid w:val="00662901"/>
    <w:rsid w:val="00662BC7"/>
    <w:rsid w:val="006639D2"/>
    <w:rsid w:val="006642B4"/>
    <w:rsid w:val="0066484F"/>
    <w:rsid w:val="0066495C"/>
    <w:rsid w:val="006663C7"/>
    <w:rsid w:val="00666435"/>
    <w:rsid w:val="0067145D"/>
    <w:rsid w:val="00671589"/>
    <w:rsid w:val="00671B14"/>
    <w:rsid w:val="00671B95"/>
    <w:rsid w:val="00672E17"/>
    <w:rsid w:val="00672FCF"/>
    <w:rsid w:val="006741CB"/>
    <w:rsid w:val="006746D7"/>
    <w:rsid w:val="0067471C"/>
    <w:rsid w:val="00675611"/>
    <w:rsid w:val="006777B0"/>
    <w:rsid w:val="006778F7"/>
    <w:rsid w:val="00677917"/>
    <w:rsid w:val="00677BAA"/>
    <w:rsid w:val="006802D8"/>
    <w:rsid w:val="0068042D"/>
    <w:rsid w:val="006809B1"/>
    <w:rsid w:val="0068232F"/>
    <w:rsid w:val="00682721"/>
    <w:rsid w:val="00682BCD"/>
    <w:rsid w:val="00684592"/>
    <w:rsid w:val="00684F84"/>
    <w:rsid w:val="00684FF4"/>
    <w:rsid w:val="006871FC"/>
    <w:rsid w:val="00687575"/>
    <w:rsid w:val="00687831"/>
    <w:rsid w:val="00687ED7"/>
    <w:rsid w:val="006900F8"/>
    <w:rsid w:val="0069033F"/>
    <w:rsid w:val="006913DE"/>
    <w:rsid w:val="0069148D"/>
    <w:rsid w:val="00691D49"/>
    <w:rsid w:val="00692FF4"/>
    <w:rsid w:val="00693188"/>
    <w:rsid w:val="00694336"/>
    <w:rsid w:val="00695499"/>
    <w:rsid w:val="00695E26"/>
    <w:rsid w:val="00696044"/>
    <w:rsid w:val="00696C6E"/>
    <w:rsid w:val="00697133"/>
    <w:rsid w:val="00697B53"/>
    <w:rsid w:val="006A030A"/>
    <w:rsid w:val="006A1DEA"/>
    <w:rsid w:val="006A2099"/>
    <w:rsid w:val="006A3BB5"/>
    <w:rsid w:val="006A4226"/>
    <w:rsid w:val="006A449C"/>
    <w:rsid w:val="006A4EC8"/>
    <w:rsid w:val="006A6A54"/>
    <w:rsid w:val="006A756D"/>
    <w:rsid w:val="006A75D9"/>
    <w:rsid w:val="006B1E24"/>
    <w:rsid w:val="006B2D94"/>
    <w:rsid w:val="006B44BF"/>
    <w:rsid w:val="006B4DA0"/>
    <w:rsid w:val="006B568A"/>
    <w:rsid w:val="006B5B23"/>
    <w:rsid w:val="006B5F1F"/>
    <w:rsid w:val="006B6071"/>
    <w:rsid w:val="006B631E"/>
    <w:rsid w:val="006B6FA0"/>
    <w:rsid w:val="006B7456"/>
    <w:rsid w:val="006B7DB0"/>
    <w:rsid w:val="006B7FBD"/>
    <w:rsid w:val="006C0844"/>
    <w:rsid w:val="006C0AEC"/>
    <w:rsid w:val="006C11AF"/>
    <w:rsid w:val="006C31FA"/>
    <w:rsid w:val="006C3235"/>
    <w:rsid w:val="006C3270"/>
    <w:rsid w:val="006C38D4"/>
    <w:rsid w:val="006C3B82"/>
    <w:rsid w:val="006C42DA"/>
    <w:rsid w:val="006C460A"/>
    <w:rsid w:val="006C4618"/>
    <w:rsid w:val="006C5A2B"/>
    <w:rsid w:val="006C5C0F"/>
    <w:rsid w:val="006C772B"/>
    <w:rsid w:val="006C78F6"/>
    <w:rsid w:val="006C798A"/>
    <w:rsid w:val="006D155E"/>
    <w:rsid w:val="006D2015"/>
    <w:rsid w:val="006D2CAF"/>
    <w:rsid w:val="006D51DD"/>
    <w:rsid w:val="006D57CF"/>
    <w:rsid w:val="006D6545"/>
    <w:rsid w:val="006D6805"/>
    <w:rsid w:val="006D6F56"/>
    <w:rsid w:val="006D7E84"/>
    <w:rsid w:val="006E10F3"/>
    <w:rsid w:val="006E1A49"/>
    <w:rsid w:val="006E1D41"/>
    <w:rsid w:val="006E3177"/>
    <w:rsid w:val="006E4084"/>
    <w:rsid w:val="006E5AF1"/>
    <w:rsid w:val="006E5BA1"/>
    <w:rsid w:val="006E672C"/>
    <w:rsid w:val="006E6A49"/>
    <w:rsid w:val="006E7C70"/>
    <w:rsid w:val="006E7F33"/>
    <w:rsid w:val="006F0811"/>
    <w:rsid w:val="006F1AD4"/>
    <w:rsid w:val="006F1B22"/>
    <w:rsid w:val="006F1DCB"/>
    <w:rsid w:val="006F29A7"/>
    <w:rsid w:val="006F2AC1"/>
    <w:rsid w:val="006F2EA5"/>
    <w:rsid w:val="006F3577"/>
    <w:rsid w:val="006F35A6"/>
    <w:rsid w:val="006F35C0"/>
    <w:rsid w:val="006F3F76"/>
    <w:rsid w:val="006F440D"/>
    <w:rsid w:val="006F6435"/>
    <w:rsid w:val="006F64F7"/>
    <w:rsid w:val="007004A7"/>
    <w:rsid w:val="00700FBD"/>
    <w:rsid w:val="007015F7"/>
    <w:rsid w:val="007021B6"/>
    <w:rsid w:val="00702257"/>
    <w:rsid w:val="007033C6"/>
    <w:rsid w:val="0070398B"/>
    <w:rsid w:val="007049FC"/>
    <w:rsid w:val="00705463"/>
    <w:rsid w:val="00705D81"/>
    <w:rsid w:val="00705E0B"/>
    <w:rsid w:val="00706DD8"/>
    <w:rsid w:val="00707F0C"/>
    <w:rsid w:val="00707FF5"/>
    <w:rsid w:val="00710D1D"/>
    <w:rsid w:val="00710EF6"/>
    <w:rsid w:val="00711B2C"/>
    <w:rsid w:val="00712934"/>
    <w:rsid w:val="00712C40"/>
    <w:rsid w:val="00712EB1"/>
    <w:rsid w:val="007139F3"/>
    <w:rsid w:val="00713F6C"/>
    <w:rsid w:val="007143A8"/>
    <w:rsid w:val="00715110"/>
    <w:rsid w:val="007159A1"/>
    <w:rsid w:val="00716F2B"/>
    <w:rsid w:val="007172B7"/>
    <w:rsid w:val="00717311"/>
    <w:rsid w:val="00720472"/>
    <w:rsid w:val="00721369"/>
    <w:rsid w:val="0072186C"/>
    <w:rsid w:val="0072188D"/>
    <w:rsid w:val="00721A85"/>
    <w:rsid w:val="00722164"/>
    <w:rsid w:val="00722245"/>
    <w:rsid w:val="00722583"/>
    <w:rsid w:val="00722724"/>
    <w:rsid w:val="007232E7"/>
    <w:rsid w:val="00723CE5"/>
    <w:rsid w:val="00724726"/>
    <w:rsid w:val="0072559E"/>
    <w:rsid w:val="007255CA"/>
    <w:rsid w:val="00725744"/>
    <w:rsid w:val="007258A2"/>
    <w:rsid w:val="00725C8B"/>
    <w:rsid w:val="00725FFD"/>
    <w:rsid w:val="007271EC"/>
    <w:rsid w:val="00730B7D"/>
    <w:rsid w:val="0073305A"/>
    <w:rsid w:val="007331B3"/>
    <w:rsid w:val="007342E0"/>
    <w:rsid w:val="00734438"/>
    <w:rsid w:val="007344E4"/>
    <w:rsid w:val="0073498E"/>
    <w:rsid w:val="00735C7C"/>
    <w:rsid w:val="007360FB"/>
    <w:rsid w:val="007364BD"/>
    <w:rsid w:val="007377E7"/>
    <w:rsid w:val="00740D87"/>
    <w:rsid w:val="007414D7"/>
    <w:rsid w:val="00741585"/>
    <w:rsid w:val="007419A1"/>
    <w:rsid w:val="00741D7A"/>
    <w:rsid w:val="00742B83"/>
    <w:rsid w:val="00743A46"/>
    <w:rsid w:val="007442CC"/>
    <w:rsid w:val="007443FE"/>
    <w:rsid w:val="0074486C"/>
    <w:rsid w:val="00744AB0"/>
    <w:rsid w:val="0074532E"/>
    <w:rsid w:val="007453E8"/>
    <w:rsid w:val="00746D34"/>
    <w:rsid w:val="00751D3B"/>
    <w:rsid w:val="007521DE"/>
    <w:rsid w:val="00752228"/>
    <w:rsid w:val="00752466"/>
    <w:rsid w:val="00752794"/>
    <w:rsid w:val="007531C0"/>
    <w:rsid w:val="00753930"/>
    <w:rsid w:val="007546CA"/>
    <w:rsid w:val="00754FA7"/>
    <w:rsid w:val="00755650"/>
    <w:rsid w:val="0075573E"/>
    <w:rsid w:val="00755766"/>
    <w:rsid w:val="007564B0"/>
    <w:rsid w:val="007566AB"/>
    <w:rsid w:val="00757A74"/>
    <w:rsid w:val="00761D97"/>
    <w:rsid w:val="007645E6"/>
    <w:rsid w:val="00764F59"/>
    <w:rsid w:val="00765AEA"/>
    <w:rsid w:val="007661F0"/>
    <w:rsid w:val="00767466"/>
    <w:rsid w:val="007702DD"/>
    <w:rsid w:val="00770C5D"/>
    <w:rsid w:val="00770E77"/>
    <w:rsid w:val="00771275"/>
    <w:rsid w:val="00771D1F"/>
    <w:rsid w:val="00772A6D"/>
    <w:rsid w:val="007731F9"/>
    <w:rsid w:val="0077359E"/>
    <w:rsid w:val="0077395B"/>
    <w:rsid w:val="007750ED"/>
    <w:rsid w:val="007756D3"/>
    <w:rsid w:val="007769B9"/>
    <w:rsid w:val="00776D5D"/>
    <w:rsid w:val="00780BAB"/>
    <w:rsid w:val="00782EDA"/>
    <w:rsid w:val="007832E9"/>
    <w:rsid w:val="007834B6"/>
    <w:rsid w:val="00785913"/>
    <w:rsid w:val="0078746D"/>
    <w:rsid w:val="00791414"/>
    <w:rsid w:val="00791646"/>
    <w:rsid w:val="00791BA6"/>
    <w:rsid w:val="00792CAB"/>
    <w:rsid w:val="00792E85"/>
    <w:rsid w:val="00793075"/>
    <w:rsid w:val="007934F4"/>
    <w:rsid w:val="007936C2"/>
    <w:rsid w:val="007945B4"/>
    <w:rsid w:val="00794908"/>
    <w:rsid w:val="00795145"/>
    <w:rsid w:val="00795A38"/>
    <w:rsid w:val="007973A2"/>
    <w:rsid w:val="00797BFE"/>
    <w:rsid w:val="00797BFF"/>
    <w:rsid w:val="00797D99"/>
    <w:rsid w:val="007A0A05"/>
    <w:rsid w:val="007A1B54"/>
    <w:rsid w:val="007A1B56"/>
    <w:rsid w:val="007A2423"/>
    <w:rsid w:val="007A353D"/>
    <w:rsid w:val="007A3655"/>
    <w:rsid w:val="007A5441"/>
    <w:rsid w:val="007A59E0"/>
    <w:rsid w:val="007A5DEE"/>
    <w:rsid w:val="007A65FD"/>
    <w:rsid w:val="007A6DD5"/>
    <w:rsid w:val="007A6F1D"/>
    <w:rsid w:val="007A7635"/>
    <w:rsid w:val="007A7D84"/>
    <w:rsid w:val="007B0389"/>
    <w:rsid w:val="007B07DD"/>
    <w:rsid w:val="007B0B5D"/>
    <w:rsid w:val="007B17CE"/>
    <w:rsid w:val="007B2C14"/>
    <w:rsid w:val="007B2C83"/>
    <w:rsid w:val="007B4862"/>
    <w:rsid w:val="007B49C2"/>
    <w:rsid w:val="007B66C9"/>
    <w:rsid w:val="007B719E"/>
    <w:rsid w:val="007C0218"/>
    <w:rsid w:val="007C0D46"/>
    <w:rsid w:val="007C1BF1"/>
    <w:rsid w:val="007C3C1F"/>
    <w:rsid w:val="007C3C81"/>
    <w:rsid w:val="007C4B05"/>
    <w:rsid w:val="007D1FB0"/>
    <w:rsid w:val="007D2175"/>
    <w:rsid w:val="007D2209"/>
    <w:rsid w:val="007D30D7"/>
    <w:rsid w:val="007D3AF5"/>
    <w:rsid w:val="007D3BD0"/>
    <w:rsid w:val="007D3E5A"/>
    <w:rsid w:val="007D46BA"/>
    <w:rsid w:val="007D6102"/>
    <w:rsid w:val="007D6E70"/>
    <w:rsid w:val="007D7AD5"/>
    <w:rsid w:val="007E0ABF"/>
    <w:rsid w:val="007E0F28"/>
    <w:rsid w:val="007E1CE1"/>
    <w:rsid w:val="007E2889"/>
    <w:rsid w:val="007E2B5E"/>
    <w:rsid w:val="007E2B7E"/>
    <w:rsid w:val="007E3074"/>
    <w:rsid w:val="007E38DC"/>
    <w:rsid w:val="007E409B"/>
    <w:rsid w:val="007E46C1"/>
    <w:rsid w:val="007E4D8D"/>
    <w:rsid w:val="007E7132"/>
    <w:rsid w:val="007E768E"/>
    <w:rsid w:val="007F005F"/>
    <w:rsid w:val="007F039D"/>
    <w:rsid w:val="007F0507"/>
    <w:rsid w:val="007F1700"/>
    <w:rsid w:val="007F1875"/>
    <w:rsid w:val="007F21FC"/>
    <w:rsid w:val="007F24A7"/>
    <w:rsid w:val="007F2DE9"/>
    <w:rsid w:val="007F372D"/>
    <w:rsid w:val="007F45AE"/>
    <w:rsid w:val="007F50D7"/>
    <w:rsid w:val="007F5956"/>
    <w:rsid w:val="007F626F"/>
    <w:rsid w:val="007F6EA6"/>
    <w:rsid w:val="00800195"/>
    <w:rsid w:val="008021C2"/>
    <w:rsid w:val="00804448"/>
    <w:rsid w:val="008058C3"/>
    <w:rsid w:val="00805D62"/>
    <w:rsid w:val="00805EFC"/>
    <w:rsid w:val="00806BE7"/>
    <w:rsid w:val="00807210"/>
    <w:rsid w:val="0081067D"/>
    <w:rsid w:val="0081074C"/>
    <w:rsid w:val="00810E5C"/>
    <w:rsid w:val="00811EBD"/>
    <w:rsid w:val="0081240A"/>
    <w:rsid w:val="00812CAF"/>
    <w:rsid w:val="008138CB"/>
    <w:rsid w:val="00814026"/>
    <w:rsid w:val="00815389"/>
    <w:rsid w:val="008155D8"/>
    <w:rsid w:val="00815689"/>
    <w:rsid w:val="0081583F"/>
    <w:rsid w:val="00815908"/>
    <w:rsid w:val="00820578"/>
    <w:rsid w:val="00820930"/>
    <w:rsid w:val="00820BD8"/>
    <w:rsid w:val="00821D93"/>
    <w:rsid w:val="008226E8"/>
    <w:rsid w:val="00823398"/>
    <w:rsid w:val="00823C1A"/>
    <w:rsid w:val="008246B1"/>
    <w:rsid w:val="00824AA7"/>
    <w:rsid w:val="00826CA4"/>
    <w:rsid w:val="00827EAD"/>
    <w:rsid w:val="00830163"/>
    <w:rsid w:val="00831E11"/>
    <w:rsid w:val="00831F12"/>
    <w:rsid w:val="00831F9C"/>
    <w:rsid w:val="00831FD1"/>
    <w:rsid w:val="00832158"/>
    <w:rsid w:val="00834E28"/>
    <w:rsid w:val="008351F2"/>
    <w:rsid w:val="00835B69"/>
    <w:rsid w:val="00836DC4"/>
    <w:rsid w:val="00840B0A"/>
    <w:rsid w:val="00841A0A"/>
    <w:rsid w:val="008427C7"/>
    <w:rsid w:val="0084399B"/>
    <w:rsid w:val="0084514B"/>
    <w:rsid w:val="008460AE"/>
    <w:rsid w:val="00846651"/>
    <w:rsid w:val="008466E3"/>
    <w:rsid w:val="008478D5"/>
    <w:rsid w:val="00847A44"/>
    <w:rsid w:val="00850B9D"/>
    <w:rsid w:val="00850EC0"/>
    <w:rsid w:val="00851355"/>
    <w:rsid w:val="00851F0E"/>
    <w:rsid w:val="00851F89"/>
    <w:rsid w:val="0085231B"/>
    <w:rsid w:val="008526DD"/>
    <w:rsid w:val="00853971"/>
    <w:rsid w:val="00853FE6"/>
    <w:rsid w:val="008553EB"/>
    <w:rsid w:val="008564F9"/>
    <w:rsid w:val="008568B3"/>
    <w:rsid w:val="008568CC"/>
    <w:rsid w:val="00856DCF"/>
    <w:rsid w:val="00857383"/>
    <w:rsid w:val="0085757E"/>
    <w:rsid w:val="0085794F"/>
    <w:rsid w:val="00860301"/>
    <w:rsid w:val="00861AF0"/>
    <w:rsid w:val="00861E76"/>
    <w:rsid w:val="00862B4C"/>
    <w:rsid w:val="0086306F"/>
    <w:rsid w:val="008630FD"/>
    <w:rsid w:val="0086411E"/>
    <w:rsid w:val="008649D1"/>
    <w:rsid w:val="008654AE"/>
    <w:rsid w:val="00866DA7"/>
    <w:rsid w:val="008674CD"/>
    <w:rsid w:val="00867C7D"/>
    <w:rsid w:val="00871AB0"/>
    <w:rsid w:val="00872786"/>
    <w:rsid w:val="00873CFC"/>
    <w:rsid w:val="00873D3F"/>
    <w:rsid w:val="00873E32"/>
    <w:rsid w:val="008742D1"/>
    <w:rsid w:val="00875A18"/>
    <w:rsid w:val="0087697B"/>
    <w:rsid w:val="00876D70"/>
    <w:rsid w:val="00880798"/>
    <w:rsid w:val="00880D58"/>
    <w:rsid w:val="008814A5"/>
    <w:rsid w:val="008819D4"/>
    <w:rsid w:val="00881A80"/>
    <w:rsid w:val="00881E95"/>
    <w:rsid w:val="00883BBA"/>
    <w:rsid w:val="00883BE6"/>
    <w:rsid w:val="00884516"/>
    <w:rsid w:val="00884635"/>
    <w:rsid w:val="008846ED"/>
    <w:rsid w:val="008849F5"/>
    <w:rsid w:val="00884F7D"/>
    <w:rsid w:val="00885613"/>
    <w:rsid w:val="00886918"/>
    <w:rsid w:val="008869C4"/>
    <w:rsid w:val="0088717D"/>
    <w:rsid w:val="008878FC"/>
    <w:rsid w:val="00890301"/>
    <w:rsid w:val="0089046A"/>
    <w:rsid w:val="00891A49"/>
    <w:rsid w:val="00893C4E"/>
    <w:rsid w:val="00893DC8"/>
    <w:rsid w:val="008945FF"/>
    <w:rsid w:val="00894979"/>
    <w:rsid w:val="00896120"/>
    <w:rsid w:val="00896867"/>
    <w:rsid w:val="0089724A"/>
    <w:rsid w:val="0089732B"/>
    <w:rsid w:val="00897CA0"/>
    <w:rsid w:val="00897D64"/>
    <w:rsid w:val="008A0472"/>
    <w:rsid w:val="008A2477"/>
    <w:rsid w:val="008A28A2"/>
    <w:rsid w:val="008A4F7D"/>
    <w:rsid w:val="008A6EB4"/>
    <w:rsid w:val="008A7463"/>
    <w:rsid w:val="008B00C5"/>
    <w:rsid w:val="008B072E"/>
    <w:rsid w:val="008B0B59"/>
    <w:rsid w:val="008B21FB"/>
    <w:rsid w:val="008B26F5"/>
    <w:rsid w:val="008B31F1"/>
    <w:rsid w:val="008B3D25"/>
    <w:rsid w:val="008B6BFF"/>
    <w:rsid w:val="008B7EDD"/>
    <w:rsid w:val="008C0184"/>
    <w:rsid w:val="008C0A62"/>
    <w:rsid w:val="008C10A9"/>
    <w:rsid w:val="008C2A36"/>
    <w:rsid w:val="008C2A77"/>
    <w:rsid w:val="008C4542"/>
    <w:rsid w:val="008C4C4E"/>
    <w:rsid w:val="008C5279"/>
    <w:rsid w:val="008C5747"/>
    <w:rsid w:val="008C5DDB"/>
    <w:rsid w:val="008C667C"/>
    <w:rsid w:val="008C6B7B"/>
    <w:rsid w:val="008C7869"/>
    <w:rsid w:val="008C7BAC"/>
    <w:rsid w:val="008D0336"/>
    <w:rsid w:val="008D2B91"/>
    <w:rsid w:val="008D2DEE"/>
    <w:rsid w:val="008D35D1"/>
    <w:rsid w:val="008D36FA"/>
    <w:rsid w:val="008D3E56"/>
    <w:rsid w:val="008D4549"/>
    <w:rsid w:val="008D487B"/>
    <w:rsid w:val="008D4BD5"/>
    <w:rsid w:val="008D4C44"/>
    <w:rsid w:val="008D5830"/>
    <w:rsid w:val="008D5BE8"/>
    <w:rsid w:val="008D640A"/>
    <w:rsid w:val="008D6AA2"/>
    <w:rsid w:val="008D6FCD"/>
    <w:rsid w:val="008D74B0"/>
    <w:rsid w:val="008D7DCD"/>
    <w:rsid w:val="008E049A"/>
    <w:rsid w:val="008E0D14"/>
    <w:rsid w:val="008E1610"/>
    <w:rsid w:val="008E2443"/>
    <w:rsid w:val="008E271A"/>
    <w:rsid w:val="008E28DD"/>
    <w:rsid w:val="008E2E89"/>
    <w:rsid w:val="008E2FE2"/>
    <w:rsid w:val="008E3894"/>
    <w:rsid w:val="008E3E26"/>
    <w:rsid w:val="008E43CA"/>
    <w:rsid w:val="008E4F7A"/>
    <w:rsid w:val="008E6739"/>
    <w:rsid w:val="008E6A67"/>
    <w:rsid w:val="008E7B9F"/>
    <w:rsid w:val="008F0464"/>
    <w:rsid w:val="008F04D2"/>
    <w:rsid w:val="008F0684"/>
    <w:rsid w:val="008F2568"/>
    <w:rsid w:val="008F3489"/>
    <w:rsid w:val="008F45FD"/>
    <w:rsid w:val="008F48F7"/>
    <w:rsid w:val="008F4F2A"/>
    <w:rsid w:val="008F4F50"/>
    <w:rsid w:val="008F50A8"/>
    <w:rsid w:val="008F56AE"/>
    <w:rsid w:val="008F5A62"/>
    <w:rsid w:val="008F63EA"/>
    <w:rsid w:val="008F6546"/>
    <w:rsid w:val="008F7BFD"/>
    <w:rsid w:val="00900BF1"/>
    <w:rsid w:val="00901E23"/>
    <w:rsid w:val="0090317F"/>
    <w:rsid w:val="00904B79"/>
    <w:rsid w:val="00904D0D"/>
    <w:rsid w:val="00904DC5"/>
    <w:rsid w:val="00906544"/>
    <w:rsid w:val="00906583"/>
    <w:rsid w:val="009066A7"/>
    <w:rsid w:val="009070DE"/>
    <w:rsid w:val="009079E4"/>
    <w:rsid w:val="00907FDF"/>
    <w:rsid w:val="009104F3"/>
    <w:rsid w:val="009108C5"/>
    <w:rsid w:val="00910D52"/>
    <w:rsid w:val="00911C52"/>
    <w:rsid w:val="00911C5E"/>
    <w:rsid w:val="00912ABA"/>
    <w:rsid w:val="0091302B"/>
    <w:rsid w:val="00913CDD"/>
    <w:rsid w:val="00914EFB"/>
    <w:rsid w:val="009152EE"/>
    <w:rsid w:val="0091553F"/>
    <w:rsid w:val="00915CD9"/>
    <w:rsid w:val="00916C78"/>
    <w:rsid w:val="009174CA"/>
    <w:rsid w:val="00917A81"/>
    <w:rsid w:val="00920A48"/>
    <w:rsid w:val="00920B82"/>
    <w:rsid w:val="009215A2"/>
    <w:rsid w:val="009215E9"/>
    <w:rsid w:val="0092217B"/>
    <w:rsid w:val="009237D0"/>
    <w:rsid w:val="00924A52"/>
    <w:rsid w:val="0092512D"/>
    <w:rsid w:val="00925A8E"/>
    <w:rsid w:val="00925AA6"/>
    <w:rsid w:val="00926466"/>
    <w:rsid w:val="00927CA7"/>
    <w:rsid w:val="00927FCE"/>
    <w:rsid w:val="00930E5C"/>
    <w:rsid w:val="009317FA"/>
    <w:rsid w:val="00932176"/>
    <w:rsid w:val="00932D8E"/>
    <w:rsid w:val="00933414"/>
    <w:rsid w:val="0093353F"/>
    <w:rsid w:val="0093415D"/>
    <w:rsid w:val="0093430C"/>
    <w:rsid w:val="00934E30"/>
    <w:rsid w:val="0093542A"/>
    <w:rsid w:val="009354CD"/>
    <w:rsid w:val="00935976"/>
    <w:rsid w:val="00935C03"/>
    <w:rsid w:val="009364E3"/>
    <w:rsid w:val="009370FD"/>
    <w:rsid w:val="009378BA"/>
    <w:rsid w:val="00937F8F"/>
    <w:rsid w:val="0094039C"/>
    <w:rsid w:val="0094095B"/>
    <w:rsid w:val="00940BCE"/>
    <w:rsid w:val="00941FF1"/>
    <w:rsid w:val="00943285"/>
    <w:rsid w:val="009437A6"/>
    <w:rsid w:val="00944244"/>
    <w:rsid w:val="0094424A"/>
    <w:rsid w:val="00944A26"/>
    <w:rsid w:val="00945972"/>
    <w:rsid w:val="00946E4C"/>
    <w:rsid w:val="009506F3"/>
    <w:rsid w:val="00951205"/>
    <w:rsid w:val="009515BA"/>
    <w:rsid w:val="00951E61"/>
    <w:rsid w:val="009526DC"/>
    <w:rsid w:val="00952F99"/>
    <w:rsid w:val="009552A4"/>
    <w:rsid w:val="00956390"/>
    <w:rsid w:val="00956F4B"/>
    <w:rsid w:val="009572D5"/>
    <w:rsid w:val="00957C42"/>
    <w:rsid w:val="0096136B"/>
    <w:rsid w:val="009622B5"/>
    <w:rsid w:val="009624C7"/>
    <w:rsid w:val="00962652"/>
    <w:rsid w:val="0096282A"/>
    <w:rsid w:val="00962EF8"/>
    <w:rsid w:val="009633F8"/>
    <w:rsid w:val="009653DD"/>
    <w:rsid w:val="00966CDC"/>
    <w:rsid w:val="00967D63"/>
    <w:rsid w:val="00970CE2"/>
    <w:rsid w:val="0097115D"/>
    <w:rsid w:val="0097245F"/>
    <w:rsid w:val="0097247E"/>
    <w:rsid w:val="00972A08"/>
    <w:rsid w:val="00973331"/>
    <w:rsid w:val="00973485"/>
    <w:rsid w:val="009738D7"/>
    <w:rsid w:val="00973901"/>
    <w:rsid w:val="00973C75"/>
    <w:rsid w:val="00973F86"/>
    <w:rsid w:val="009741F2"/>
    <w:rsid w:val="0097450A"/>
    <w:rsid w:val="00974A1D"/>
    <w:rsid w:val="00975114"/>
    <w:rsid w:val="00975941"/>
    <w:rsid w:val="00976061"/>
    <w:rsid w:val="009763F6"/>
    <w:rsid w:val="00977EDA"/>
    <w:rsid w:val="0098050D"/>
    <w:rsid w:val="009805DB"/>
    <w:rsid w:val="00981A00"/>
    <w:rsid w:val="009823D0"/>
    <w:rsid w:val="00982E67"/>
    <w:rsid w:val="00983286"/>
    <w:rsid w:val="00984372"/>
    <w:rsid w:val="00984854"/>
    <w:rsid w:val="00984AEC"/>
    <w:rsid w:val="00984D9F"/>
    <w:rsid w:val="00985B1E"/>
    <w:rsid w:val="009861E0"/>
    <w:rsid w:val="0098681D"/>
    <w:rsid w:val="00987BFD"/>
    <w:rsid w:val="0099085C"/>
    <w:rsid w:val="00991056"/>
    <w:rsid w:val="0099211A"/>
    <w:rsid w:val="0099220E"/>
    <w:rsid w:val="00995904"/>
    <w:rsid w:val="00996803"/>
    <w:rsid w:val="009971D3"/>
    <w:rsid w:val="0099735D"/>
    <w:rsid w:val="0099735E"/>
    <w:rsid w:val="00997610"/>
    <w:rsid w:val="00997F69"/>
    <w:rsid w:val="009A09C6"/>
    <w:rsid w:val="009A3008"/>
    <w:rsid w:val="009A4DF0"/>
    <w:rsid w:val="009A504D"/>
    <w:rsid w:val="009A57D5"/>
    <w:rsid w:val="009A7449"/>
    <w:rsid w:val="009B035E"/>
    <w:rsid w:val="009B254B"/>
    <w:rsid w:val="009B290A"/>
    <w:rsid w:val="009B29B7"/>
    <w:rsid w:val="009B2AB7"/>
    <w:rsid w:val="009B3296"/>
    <w:rsid w:val="009B43F8"/>
    <w:rsid w:val="009B48EB"/>
    <w:rsid w:val="009B562F"/>
    <w:rsid w:val="009B56AA"/>
    <w:rsid w:val="009B5721"/>
    <w:rsid w:val="009B6477"/>
    <w:rsid w:val="009B6E6B"/>
    <w:rsid w:val="009C0807"/>
    <w:rsid w:val="009C1502"/>
    <w:rsid w:val="009C17BC"/>
    <w:rsid w:val="009C1A89"/>
    <w:rsid w:val="009C1E90"/>
    <w:rsid w:val="009C2FAB"/>
    <w:rsid w:val="009C3350"/>
    <w:rsid w:val="009C3CC3"/>
    <w:rsid w:val="009C6D44"/>
    <w:rsid w:val="009C7857"/>
    <w:rsid w:val="009C792B"/>
    <w:rsid w:val="009D1B9B"/>
    <w:rsid w:val="009D25E1"/>
    <w:rsid w:val="009D311B"/>
    <w:rsid w:val="009D36DB"/>
    <w:rsid w:val="009D3C0D"/>
    <w:rsid w:val="009D45DC"/>
    <w:rsid w:val="009D4F7D"/>
    <w:rsid w:val="009D5555"/>
    <w:rsid w:val="009D604B"/>
    <w:rsid w:val="009D6906"/>
    <w:rsid w:val="009D69B8"/>
    <w:rsid w:val="009D7EB5"/>
    <w:rsid w:val="009D7FCD"/>
    <w:rsid w:val="009E1F66"/>
    <w:rsid w:val="009E28FF"/>
    <w:rsid w:val="009E2F43"/>
    <w:rsid w:val="009E2FB8"/>
    <w:rsid w:val="009E40C9"/>
    <w:rsid w:val="009E5D57"/>
    <w:rsid w:val="009E6062"/>
    <w:rsid w:val="009E6F38"/>
    <w:rsid w:val="009E7D7C"/>
    <w:rsid w:val="009F0837"/>
    <w:rsid w:val="009F0847"/>
    <w:rsid w:val="009F0F6F"/>
    <w:rsid w:val="009F25B4"/>
    <w:rsid w:val="009F3580"/>
    <w:rsid w:val="009F3BEF"/>
    <w:rsid w:val="009F3C6D"/>
    <w:rsid w:val="009F4365"/>
    <w:rsid w:val="009F5980"/>
    <w:rsid w:val="009F5A22"/>
    <w:rsid w:val="009F5A2A"/>
    <w:rsid w:val="009F6D03"/>
    <w:rsid w:val="009F731B"/>
    <w:rsid w:val="00A0031F"/>
    <w:rsid w:val="00A0114B"/>
    <w:rsid w:val="00A02153"/>
    <w:rsid w:val="00A0228D"/>
    <w:rsid w:val="00A03107"/>
    <w:rsid w:val="00A03F4E"/>
    <w:rsid w:val="00A056D2"/>
    <w:rsid w:val="00A05F66"/>
    <w:rsid w:val="00A07BEC"/>
    <w:rsid w:val="00A07ECF"/>
    <w:rsid w:val="00A113A2"/>
    <w:rsid w:val="00A1283B"/>
    <w:rsid w:val="00A12DFF"/>
    <w:rsid w:val="00A132DB"/>
    <w:rsid w:val="00A14316"/>
    <w:rsid w:val="00A15542"/>
    <w:rsid w:val="00A156D2"/>
    <w:rsid w:val="00A16F35"/>
    <w:rsid w:val="00A17255"/>
    <w:rsid w:val="00A17D91"/>
    <w:rsid w:val="00A20586"/>
    <w:rsid w:val="00A20CAF"/>
    <w:rsid w:val="00A20DE3"/>
    <w:rsid w:val="00A223C6"/>
    <w:rsid w:val="00A223D8"/>
    <w:rsid w:val="00A2285A"/>
    <w:rsid w:val="00A228EF"/>
    <w:rsid w:val="00A22C25"/>
    <w:rsid w:val="00A2352F"/>
    <w:rsid w:val="00A23DCC"/>
    <w:rsid w:val="00A24AE7"/>
    <w:rsid w:val="00A24E47"/>
    <w:rsid w:val="00A265CF"/>
    <w:rsid w:val="00A311B6"/>
    <w:rsid w:val="00A31C25"/>
    <w:rsid w:val="00A34781"/>
    <w:rsid w:val="00A34E1A"/>
    <w:rsid w:val="00A35815"/>
    <w:rsid w:val="00A36052"/>
    <w:rsid w:val="00A373B8"/>
    <w:rsid w:val="00A37745"/>
    <w:rsid w:val="00A37AF2"/>
    <w:rsid w:val="00A40512"/>
    <w:rsid w:val="00A4126A"/>
    <w:rsid w:val="00A4191F"/>
    <w:rsid w:val="00A41DA1"/>
    <w:rsid w:val="00A420F5"/>
    <w:rsid w:val="00A42536"/>
    <w:rsid w:val="00A42940"/>
    <w:rsid w:val="00A42FC0"/>
    <w:rsid w:val="00A430EB"/>
    <w:rsid w:val="00A435C7"/>
    <w:rsid w:val="00A436ED"/>
    <w:rsid w:val="00A43D14"/>
    <w:rsid w:val="00A45AD4"/>
    <w:rsid w:val="00A470DF"/>
    <w:rsid w:val="00A50229"/>
    <w:rsid w:val="00A50924"/>
    <w:rsid w:val="00A50CF3"/>
    <w:rsid w:val="00A52319"/>
    <w:rsid w:val="00A52A50"/>
    <w:rsid w:val="00A530DE"/>
    <w:rsid w:val="00A546F3"/>
    <w:rsid w:val="00A55E35"/>
    <w:rsid w:val="00A56113"/>
    <w:rsid w:val="00A571B1"/>
    <w:rsid w:val="00A571DA"/>
    <w:rsid w:val="00A57639"/>
    <w:rsid w:val="00A60B74"/>
    <w:rsid w:val="00A60EE0"/>
    <w:rsid w:val="00A613F6"/>
    <w:rsid w:val="00A615A1"/>
    <w:rsid w:val="00A617C1"/>
    <w:rsid w:val="00A61BE1"/>
    <w:rsid w:val="00A61E4E"/>
    <w:rsid w:val="00A62309"/>
    <w:rsid w:val="00A623BF"/>
    <w:rsid w:val="00A62A2B"/>
    <w:rsid w:val="00A62EEE"/>
    <w:rsid w:val="00A63613"/>
    <w:rsid w:val="00A639D8"/>
    <w:rsid w:val="00A63F2F"/>
    <w:rsid w:val="00A63FF9"/>
    <w:rsid w:val="00A64E96"/>
    <w:rsid w:val="00A65827"/>
    <w:rsid w:val="00A65A50"/>
    <w:rsid w:val="00A65BE8"/>
    <w:rsid w:val="00A65CAE"/>
    <w:rsid w:val="00A65EBF"/>
    <w:rsid w:val="00A65F2A"/>
    <w:rsid w:val="00A669EE"/>
    <w:rsid w:val="00A66B1F"/>
    <w:rsid w:val="00A66C95"/>
    <w:rsid w:val="00A67132"/>
    <w:rsid w:val="00A679A6"/>
    <w:rsid w:val="00A67AF5"/>
    <w:rsid w:val="00A67E94"/>
    <w:rsid w:val="00A70351"/>
    <w:rsid w:val="00A703B2"/>
    <w:rsid w:val="00A70569"/>
    <w:rsid w:val="00A71628"/>
    <w:rsid w:val="00A7162F"/>
    <w:rsid w:val="00A717EF"/>
    <w:rsid w:val="00A718E6"/>
    <w:rsid w:val="00A71CFA"/>
    <w:rsid w:val="00A73DD6"/>
    <w:rsid w:val="00A748B3"/>
    <w:rsid w:val="00A74C02"/>
    <w:rsid w:val="00A753A5"/>
    <w:rsid w:val="00A7678B"/>
    <w:rsid w:val="00A775DE"/>
    <w:rsid w:val="00A80957"/>
    <w:rsid w:val="00A81496"/>
    <w:rsid w:val="00A81933"/>
    <w:rsid w:val="00A81A0F"/>
    <w:rsid w:val="00A81D36"/>
    <w:rsid w:val="00A82AD7"/>
    <w:rsid w:val="00A83A0A"/>
    <w:rsid w:val="00A8480C"/>
    <w:rsid w:val="00A85FC3"/>
    <w:rsid w:val="00A86C2A"/>
    <w:rsid w:val="00A9058D"/>
    <w:rsid w:val="00A9189C"/>
    <w:rsid w:val="00A918DE"/>
    <w:rsid w:val="00A91F38"/>
    <w:rsid w:val="00A927BD"/>
    <w:rsid w:val="00A92F14"/>
    <w:rsid w:val="00A93278"/>
    <w:rsid w:val="00A93466"/>
    <w:rsid w:val="00A95938"/>
    <w:rsid w:val="00A95E9A"/>
    <w:rsid w:val="00A968B6"/>
    <w:rsid w:val="00A97853"/>
    <w:rsid w:val="00A97C47"/>
    <w:rsid w:val="00AA025B"/>
    <w:rsid w:val="00AA26CC"/>
    <w:rsid w:val="00AA2767"/>
    <w:rsid w:val="00AA2F75"/>
    <w:rsid w:val="00AA35A8"/>
    <w:rsid w:val="00AA3962"/>
    <w:rsid w:val="00AA579A"/>
    <w:rsid w:val="00AA5D7F"/>
    <w:rsid w:val="00AA5E61"/>
    <w:rsid w:val="00AB030D"/>
    <w:rsid w:val="00AB0897"/>
    <w:rsid w:val="00AB09C5"/>
    <w:rsid w:val="00AB11B2"/>
    <w:rsid w:val="00AB1D5D"/>
    <w:rsid w:val="00AB240E"/>
    <w:rsid w:val="00AB34AB"/>
    <w:rsid w:val="00AB4060"/>
    <w:rsid w:val="00AB44C2"/>
    <w:rsid w:val="00AB461F"/>
    <w:rsid w:val="00AB57CC"/>
    <w:rsid w:val="00AB6569"/>
    <w:rsid w:val="00AB6F31"/>
    <w:rsid w:val="00AB6FF3"/>
    <w:rsid w:val="00AC0FDB"/>
    <w:rsid w:val="00AC3F36"/>
    <w:rsid w:val="00AC59AA"/>
    <w:rsid w:val="00AC5BC7"/>
    <w:rsid w:val="00AC5C0E"/>
    <w:rsid w:val="00AC5E52"/>
    <w:rsid w:val="00AC654A"/>
    <w:rsid w:val="00AC7055"/>
    <w:rsid w:val="00AC738D"/>
    <w:rsid w:val="00AC7B7D"/>
    <w:rsid w:val="00AC7EE4"/>
    <w:rsid w:val="00AD1447"/>
    <w:rsid w:val="00AD2FB0"/>
    <w:rsid w:val="00AD3545"/>
    <w:rsid w:val="00AD4212"/>
    <w:rsid w:val="00AD7151"/>
    <w:rsid w:val="00AD7498"/>
    <w:rsid w:val="00AD780C"/>
    <w:rsid w:val="00AD7FC0"/>
    <w:rsid w:val="00AE0489"/>
    <w:rsid w:val="00AE0495"/>
    <w:rsid w:val="00AE08FF"/>
    <w:rsid w:val="00AE0A1A"/>
    <w:rsid w:val="00AE0CB6"/>
    <w:rsid w:val="00AE0E67"/>
    <w:rsid w:val="00AE0EB1"/>
    <w:rsid w:val="00AE10BD"/>
    <w:rsid w:val="00AE16E7"/>
    <w:rsid w:val="00AE1D88"/>
    <w:rsid w:val="00AE2688"/>
    <w:rsid w:val="00AE2D33"/>
    <w:rsid w:val="00AE3654"/>
    <w:rsid w:val="00AE3D49"/>
    <w:rsid w:val="00AE5ADB"/>
    <w:rsid w:val="00AE5F19"/>
    <w:rsid w:val="00AE5F96"/>
    <w:rsid w:val="00AE6333"/>
    <w:rsid w:val="00AE79CB"/>
    <w:rsid w:val="00AE7E4B"/>
    <w:rsid w:val="00AE7EE0"/>
    <w:rsid w:val="00AF00AB"/>
    <w:rsid w:val="00AF01A9"/>
    <w:rsid w:val="00AF0533"/>
    <w:rsid w:val="00AF07E1"/>
    <w:rsid w:val="00AF090C"/>
    <w:rsid w:val="00AF09FD"/>
    <w:rsid w:val="00AF1225"/>
    <w:rsid w:val="00AF2EBE"/>
    <w:rsid w:val="00AF3526"/>
    <w:rsid w:val="00AF4063"/>
    <w:rsid w:val="00AF5358"/>
    <w:rsid w:val="00AF541C"/>
    <w:rsid w:val="00AF5BF0"/>
    <w:rsid w:val="00AF5FB6"/>
    <w:rsid w:val="00AF601B"/>
    <w:rsid w:val="00AF6057"/>
    <w:rsid w:val="00AF6297"/>
    <w:rsid w:val="00AF6516"/>
    <w:rsid w:val="00B000E1"/>
    <w:rsid w:val="00B0261C"/>
    <w:rsid w:val="00B05733"/>
    <w:rsid w:val="00B05748"/>
    <w:rsid w:val="00B05DD8"/>
    <w:rsid w:val="00B0613A"/>
    <w:rsid w:val="00B06238"/>
    <w:rsid w:val="00B07A4D"/>
    <w:rsid w:val="00B11D42"/>
    <w:rsid w:val="00B12226"/>
    <w:rsid w:val="00B14AAA"/>
    <w:rsid w:val="00B165DE"/>
    <w:rsid w:val="00B171F3"/>
    <w:rsid w:val="00B2128F"/>
    <w:rsid w:val="00B22057"/>
    <w:rsid w:val="00B232FC"/>
    <w:rsid w:val="00B25439"/>
    <w:rsid w:val="00B25883"/>
    <w:rsid w:val="00B263D3"/>
    <w:rsid w:val="00B273EC"/>
    <w:rsid w:val="00B27AC0"/>
    <w:rsid w:val="00B30500"/>
    <w:rsid w:val="00B306C3"/>
    <w:rsid w:val="00B315C9"/>
    <w:rsid w:val="00B31B55"/>
    <w:rsid w:val="00B31E1B"/>
    <w:rsid w:val="00B32262"/>
    <w:rsid w:val="00B33710"/>
    <w:rsid w:val="00B3394D"/>
    <w:rsid w:val="00B33AE7"/>
    <w:rsid w:val="00B34D43"/>
    <w:rsid w:val="00B356D4"/>
    <w:rsid w:val="00B35B9E"/>
    <w:rsid w:val="00B35CF5"/>
    <w:rsid w:val="00B35E0D"/>
    <w:rsid w:val="00B361F0"/>
    <w:rsid w:val="00B3661A"/>
    <w:rsid w:val="00B36EBB"/>
    <w:rsid w:val="00B37290"/>
    <w:rsid w:val="00B43712"/>
    <w:rsid w:val="00B43CAD"/>
    <w:rsid w:val="00B43F8B"/>
    <w:rsid w:val="00B44939"/>
    <w:rsid w:val="00B44CDB"/>
    <w:rsid w:val="00B44D1D"/>
    <w:rsid w:val="00B44F3C"/>
    <w:rsid w:val="00B451DC"/>
    <w:rsid w:val="00B45FF8"/>
    <w:rsid w:val="00B46848"/>
    <w:rsid w:val="00B46B99"/>
    <w:rsid w:val="00B479EA"/>
    <w:rsid w:val="00B50C15"/>
    <w:rsid w:val="00B5117D"/>
    <w:rsid w:val="00B51EA6"/>
    <w:rsid w:val="00B554DD"/>
    <w:rsid w:val="00B56009"/>
    <w:rsid w:val="00B561E7"/>
    <w:rsid w:val="00B5666D"/>
    <w:rsid w:val="00B57C85"/>
    <w:rsid w:val="00B57FCD"/>
    <w:rsid w:val="00B6004B"/>
    <w:rsid w:val="00B605A4"/>
    <w:rsid w:val="00B63EE1"/>
    <w:rsid w:val="00B6429A"/>
    <w:rsid w:val="00B6448C"/>
    <w:rsid w:val="00B6487F"/>
    <w:rsid w:val="00B65085"/>
    <w:rsid w:val="00B6513E"/>
    <w:rsid w:val="00B65677"/>
    <w:rsid w:val="00B6571B"/>
    <w:rsid w:val="00B65725"/>
    <w:rsid w:val="00B65FA2"/>
    <w:rsid w:val="00B6620B"/>
    <w:rsid w:val="00B66584"/>
    <w:rsid w:val="00B67504"/>
    <w:rsid w:val="00B71270"/>
    <w:rsid w:val="00B723FD"/>
    <w:rsid w:val="00B725A4"/>
    <w:rsid w:val="00B72F78"/>
    <w:rsid w:val="00B73A63"/>
    <w:rsid w:val="00B74742"/>
    <w:rsid w:val="00B760AB"/>
    <w:rsid w:val="00B76217"/>
    <w:rsid w:val="00B76E4A"/>
    <w:rsid w:val="00B7726D"/>
    <w:rsid w:val="00B77941"/>
    <w:rsid w:val="00B80828"/>
    <w:rsid w:val="00B81FE9"/>
    <w:rsid w:val="00B82528"/>
    <w:rsid w:val="00B825B4"/>
    <w:rsid w:val="00B82A8C"/>
    <w:rsid w:val="00B82D99"/>
    <w:rsid w:val="00B83808"/>
    <w:rsid w:val="00B848F7"/>
    <w:rsid w:val="00B8495C"/>
    <w:rsid w:val="00B84BDE"/>
    <w:rsid w:val="00B85589"/>
    <w:rsid w:val="00B8562C"/>
    <w:rsid w:val="00B86544"/>
    <w:rsid w:val="00B86612"/>
    <w:rsid w:val="00B86CE7"/>
    <w:rsid w:val="00B86E61"/>
    <w:rsid w:val="00B90A99"/>
    <w:rsid w:val="00B90DAB"/>
    <w:rsid w:val="00B916B1"/>
    <w:rsid w:val="00B91FB3"/>
    <w:rsid w:val="00B93811"/>
    <w:rsid w:val="00B93AE4"/>
    <w:rsid w:val="00B95100"/>
    <w:rsid w:val="00B96838"/>
    <w:rsid w:val="00B9779A"/>
    <w:rsid w:val="00BA0AFD"/>
    <w:rsid w:val="00BA0BA0"/>
    <w:rsid w:val="00BA0C64"/>
    <w:rsid w:val="00BA1DFA"/>
    <w:rsid w:val="00BA21B3"/>
    <w:rsid w:val="00BA34B9"/>
    <w:rsid w:val="00BA66AD"/>
    <w:rsid w:val="00BB024E"/>
    <w:rsid w:val="00BB1404"/>
    <w:rsid w:val="00BB264A"/>
    <w:rsid w:val="00BB269B"/>
    <w:rsid w:val="00BB2BB5"/>
    <w:rsid w:val="00BB2F82"/>
    <w:rsid w:val="00BB3BC7"/>
    <w:rsid w:val="00BB3F81"/>
    <w:rsid w:val="00BB42E0"/>
    <w:rsid w:val="00BB4462"/>
    <w:rsid w:val="00BB46F2"/>
    <w:rsid w:val="00BB498E"/>
    <w:rsid w:val="00BB570C"/>
    <w:rsid w:val="00BB62CB"/>
    <w:rsid w:val="00BB6FEC"/>
    <w:rsid w:val="00BB74B1"/>
    <w:rsid w:val="00BC01CF"/>
    <w:rsid w:val="00BC06A0"/>
    <w:rsid w:val="00BC0CFA"/>
    <w:rsid w:val="00BC0F84"/>
    <w:rsid w:val="00BC1860"/>
    <w:rsid w:val="00BC1A8D"/>
    <w:rsid w:val="00BC1F6F"/>
    <w:rsid w:val="00BC549F"/>
    <w:rsid w:val="00BC6744"/>
    <w:rsid w:val="00BC6874"/>
    <w:rsid w:val="00BC69FF"/>
    <w:rsid w:val="00BD08AF"/>
    <w:rsid w:val="00BD08E3"/>
    <w:rsid w:val="00BD17D3"/>
    <w:rsid w:val="00BD19B2"/>
    <w:rsid w:val="00BD208D"/>
    <w:rsid w:val="00BD20A4"/>
    <w:rsid w:val="00BD21F5"/>
    <w:rsid w:val="00BD2A8C"/>
    <w:rsid w:val="00BD2DF0"/>
    <w:rsid w:val="00BD3452"/>
    <w:rsid w:val="00BD3B73"/>
    <w:rsid w:val="00BD3CBA"/>
    <w:rsid w:val="00BD3D09"/>
    <w:rsid w:val="00BD5111"/>
    <w:rsid w:val="00BD5144"/>
    <w:rsid w:val="00BD5269"/>
    <w:rsid w:val="00BD5929"/>
    <w:rsid w:val="00BD601B"/>
    <w:rsid w:val="00BD6F53"/>
    <w:rsid w:val="00BD6FA6"/>
    <w:rsid w:val="00BD76F3"/>
    <w:rsid w:val="00BD7999"/>
    <w:rsid w:val="00BD7BCB"/>
    <w:rsid w:val="00BD7C9E"/>
    <w:rsid w:val="00BE046B"/>
    <w:rsid w:val="00BE0EAB"/>
    <w:rsid w:val="00BE1167"/>
    <w:rsid w:val="00BE1E7E"/>
    <w:rsid w:val="00BE2122"/>
    <w:rsid w:val="00BE2611"/>
    <w:rsid w:val="00BE37AD"/>
    <w:rsid w:val="00BE3BB3"/>
    <w:rsid w:val="00BE464F"/>
    <w:rsid w:val="00BE506E"/>
    <w:rsid w:val="00BE53CA"/>
    <w:rsid w:val="00BE5925"/>
    <w:rsid w:val="00BE5EF7"/>
    <w:rsid w:val="00BE5F01"/>
    <w:rsid w:val="00BE6001"/>
    <w:rsid w:val="00BE624B"/>
    <w:rsid w:val="00BF081E"/>
    <w:rsid w:val="00BF0C27"/>
    <w:rsid w:val="00BF0F63"/>
    <w:rsid w:val="00BF2398"/>
    <w:rsid w:val="00BF34E1"/>
    <w:rsid w:val="00BF3DE4"/>
    <w:rsid w:val="00BF3ECB"/>
    <w:rsid w:val="00BF6BF6"/>
    <w:rsid w:val="00BF6DB1"/>
    <w:rsid w:val="00BF70FC"/>
    <w:rsid w:val="00BF7907"/>
    <w:rsid w:val="00C00FD7"/>
    <w:rsid w:val="00C01C67"/>
    <w:rsid w:val="00C01C93"/>
    <w:rsid w:val="00C01D58"/>
    <w:rsid w:val="00C01E20"/>
    <w:rsid w:val="00C01E46"/>
    <w:rsid w:val="00C0304E"/>
    <w:rsid w:val="00C03114"/>
    <w:rsid w:val="00C03F10"/>
    <w:rsid w:val="00C04D6F"/>
    <w:rsid w:val="00C06297"/>
    <w:rsid w:val="00C0640D"/>
    <w:rsid w:val="00C06576"/>
    <w:rsid w:val="00C06C3E"/>
    <w:rsid w:val="00C07867"/>
    <w:rsid w:val="00C07CE3"/>
    <w:rsid w:val="00C10572"/>
    <w:rsid w:val="00C112E1"/>
    <w:rsid w:val="00C1172A"/>
    <w:rsid w:val="00C123EB"/>
    <w:rsid w:val="00C12C58"/>
    <w:rsid w:val="00C1463E"/>
    <w:rsid w:val="00C14EC9"/>
    <w:rsid w:val="00C15230"/>
    <w:rsid w:val="00C1585C"/>
    <w:rsid w:val="00C1684A"/>
    <w:rsid w:val="00C17547"/>
    <w:rsid w:val="00C17DEB"/>
    <w:rsid w:val="00C17E92"/>
    <w:rsid w:val="00C20E53"/>
    <w:rsid w:val="00C21245"/>
    <w:rsid w:val="00C21457"/>
    <w:rsid w:val="00C21EB8"/>
    <w:rsid w:val="00C23721"/>
    <w:rsid w:val="00C23EB9"/>
    <w:rsid w:val="00C24F8F"/>
    <w:rsid w:val="00C277BE"/>
    <w:rsid w:val="00C2781E"/>
    <w:rsid w:val="00C279BC"/>
    <w:rsid w:val="00C3085C"/>
    <w:rsid w:val="00C309D9"/>
    <w:rsid w:val="00C30C14"/>
    <w:rsid w:val="00C3140B"/>
    <w:rsid w:val="00C33917"/>
    <w:rsid w:val="00C33BE2"/>
    <w:rsid w:val="00C33C1C"/>
    <w:rsid w:val="00C3400A"/>
    <w:rsid w:val="00C35598"/>
    <w:rsid w:val="00C3766B"/>
    <w:rsid w:val="00C37D1F"/>
    <w:rsid w:val="00C419D2"/>
    <w:rsid w:val="00C42017"/>
    <w:rsid w:val="00C42E53"/>
    <w:rsid w:val="00C46AB2"/>
    <w:rsid w:val="00C475B5"/>
    <w:rsid w:val="00C47C9D"/>
    <w:rsid w:val="00C503AC"/>
    <w:rsid w:val="00C504AE"/>
    <w:rsid w:val="00C50906"/>
    <w:rsid w:val="00C51545"/>
    <w:rsid w:val="00C51729"/>
    <w:rsid w:val="00C5208F"/>
    <w:rsid w:val="00C52F94"/>
    <w:rsid w:val="00C537CB"/>
    <w:rsid w:val="00C544DA"/>
    <w:rsid w:val="00C54B3F"/>
    <w:rsid w:val="00C56040"/>
    <w:rsid w:val="00C565D7"/>
    <w:rsid w:val="00C5690B"/>
    <w:rsid w:val="00C56D94"/>
    <w:rsid w:val="00C57D38"/>
    <w:rsid w:val="00C62150"/>
    <w:rsid w:val="00C62667"/>
    <w:rsid w:val="00C62F08"/>
    <w:rsid w:val="00C63311"/>
    <w:rsid w:val="00C6605A"/>
    <w:rsid w:val="00C66B34"/>
    <w:rsid w:val="00C7012D"/>
    <w:rsid w:val="00C7070C"/>
    <w:rsid w:val="00C70C6F"/>
    <w:rsid w:val="00C73AE2"/>
    <w:rsid w:val="00C7427E"/>
    <w:rsid w:val="00C7485C"/>
    <w:rsid w:val="00C75450"/>
    <w:rsid w:val="00C756FC"/>
    <w:rsid w:val="00C757B5"/>
    <w:rsid w:val="00C75B60"/>
    <w:rsid w:val="00C776C2"/>
    <w:rsid w:val="00C809F7"/>
    <w:rsid w:val="00C815D6"/>
    <w:rsid w:val="00C823F3"/>
    <w:rsid w:val="00C839B7"/>
    <w:rsid w:val="00C84C46"/>
    <w:rsid w:val="00C851BB"/>
    <w:rsid w:val="00C85A37"/>
    <w:rsid w:val="00C87082"/>
    <w:rsid w:val="00C8737F"/>
    <w:rsid w:val="00C875E1"/>
    <w:rsid w:val="00C8798B"/>
    <w:rsid w:val="00C87EC8"/>
    <w:rsid w:val="00C9019C"/>
    <w:rsid w:val="00C90702"/>
    <w:rsid w:val="00C90E2F"/>
    <w:rsid w:val="00C9196E"/>
    <w:rsid w:val="00C920F3"/>
    <w:rsid w:val="00C929E6"/>
    <w:rsid w:val="00C96127"/>
    <w:rsid w:val="00C97AA5"/>
    <w:rsid w:val="00C97C52"/>
    <w:rsid w:val="00CA010B"/>
    <w:rsid w:val="00CA01E3"/>
    <w:rsid w:val="00CA02B0"/>
    <w:rsid w:val="00CA062F"/>
    <w:rsid w:val="00CA0F98"/>
    <w:rsid w:val="00CA1531"/>
    <w:rsid w:val="00CA20E1"/>
    <w:rsid w:val="00CA2A67"/>
    <w:rsid w:val="00CA357E"/>
    <w:rsid w:val="00CA4AF3"/>
    <w:rsid w:val="00CA4D77"/>
    <w:rsid w:val="00CA4FA0"/>
    <w:rsid w:val="00CA5479"/>
    <w:rsid w:val="00CA5FDE"/>
    <w:rsid w:val="00CA7468"/>
    <w:rsid w:val="00CA7736"/>
    <w:rsid w:val="00CA798A"/>
    <w:rsid w:val="00CA7B9F"/>
    <w:rsid w:val="00CA7DF3"/>
    <w:rsid w:val="00CA7F37"/>
    <w:rsid w:val="00CB0310"/>
    <w:rsid w:val="00CB0A82"/>
    <w:rsid w:val="00CB129B"/>
    <w:rsid w:val="00CB1F3C"/>
    <w:rsid w:val="00CB237E"/>
    <w:rsid w:val="00CB4C4E"/>
    <w:rsid w:val="00CB6355"/>
    <w:rsid w:val="00CB6D9D"/>
    <w:rsid w:val="00CB763C"/>
    <w:rsid w:val="00CB7747"/>
    <w:rsid w:val="00CC1ADB"/>
    <w:rsid w:val="00CC2295"/>
    <w:rsid w:val="00CC3003"/>
    <w:rsid w:val="00CC3C93"/>
    <w:rsid w:val="00CC4D6A"/>
    <w:rsid w:val="00CC5CA9"/>
    <w:rsid w:val="00CC615A"/>
    <w:rsid w:val="00CC6816"/>
    <w:rsid w:val="00CC6FA7"/>
    <w:rsid w:val="00CC758C"/>
    <w:rsid w:val="00CD0A7C"/>
    <w:rsid w:val="00CD115A"/>
    <w:rsid w:val="00CD193E"/>
    <w:rsid w:val="00CD1E86"/>
    <w:rsid w:val="00CD20B3"/>
    <w:rsid w:val="00CD28AE"/>
    <w:rsid w:val="00CD3509"/>
    <w:rsid w:val="00CD3E7B"/>
    <w:rsid w:val="00CD4255"/>
    <w:rsid w:val="00CD6D35"/>
    <w:rsid w:val="00CD6DA4"/>
    <w:rsid w:val="00CE0BAB"/>
    <w:rsid w:val="00CE0F0D"/>
    <w:rsid w:val="00CE1560"/>
    <w:rsid w:val="00CE1A19"/>
    <w:rsid w:val="00CE2660"/>
    <w:rsid w:val="00CE45D3"/>
    <w:rsid w:val="00CE4700"/>
    <w:rsid w:val="00CE60EB"/>
    <w:rsid w:val="00CE685A"/>
    <w:rsid w:val="00CE6B7B"/>
    <w:rsid w:val="00CE7237"/>
    <w:rsid w:val="00CE7288"/>
    <w:rsid w:val="00CF053E"/>
    <w:rsid w:val="00CF0876"/>
    <w:rsid w:val="00CF0AE3"/>
    <w:rsid w:val="00CF0E4C"/>
    <w:rsid w:val="00CF0E80"/>
    <w:rsid w:val="00CF1B5A"/>
    <w:rsid w:val="00CF1D3D"/>
    <w:rsid w:val="00CF256A"/>
    <w:rsid w:val="00CF34E6"/>
    <w:rsid w:val="00CF3BE8"/>
    <w:rsid w:val="00CF3C80"/>
    <w:rsid w:val="00CF3F9F"/>
    <w:rsid w:val="00CF41B3"/>
    <w:rsid w:val="00CF4A5F"/>
    <w:rsid w:val="00CF4D5E"/>
    <w:rsid w:val="00CF531B"/>
    <w:rsid w:val="00CF5F98"/>
    <w:rsid w:val="00CF6355"/>
    <w:rsid w:val="00CF6794"/>
    <w:rsid w:val="00CF793D"/>
    <w:rsid w:val="00D00905"/>
    <w:rsid w:val="00D00C8C"/>
    <w:rsid w:val="00D014A9"/>
    <w:rsid w:val="00D02384"/>
    <w:rsid w:val="00D02F77"/>
    <w:rsid w:val="00D036E9"/>
    <w:rsid w:val="00D037C4"/>
    <w:rsid w:val="00D050DE"/>
    <w:rsid w:val="00D065F8"/>
    <w:rsid w:val="00D069BE"/>
    <w:rsid w:val="00D1035E"/>
    <w:rsid w:val="00D103E6"/>
    <w:rsid w:val="00D10712"/>
    <w:rsid w:val="00D10C57"/>
    <w:rsid w:val="00D112CB"/>
    <w:rsid w:val="00D125AE"/>
    <w:rsid w:val="00D1291A"/>
    <w:rsid w:val="00D13315"/>
    <w:rsid w:val="00D13D99"/>
    <w:rsid w:val="00D13E02"/>
    <w:rsid w:val="00D13E39"/>
    <w:rsid w:val="00D13EF0"/>
    <w:rsid w:val="00D144EF"/>
    <w:rsid w:val="00D145F5"/>
    <w:rsid w:val="00D146BC"/>
    <w:rsid w:val="00D15E6D"/>
    <w:rsid w:val="00D16DAA"/>
    <w:rsid w:val="00D16DDF"/>
    <w:rsid w:val="00D1739C"/>
    <w:rsid w:val="00D20CB3"/>
    <w:rsid w:val="00D220E4"/>
    <w:rsid w:val="00D23FF5"/>
    <w:rsid w:val="00D252C3"/>
    <w:rsid w:val="00D26630"/>
    <w:rsid w:val="00D26741"/>
    <w:rsid w:val="00D270E3"/>
    <w:rsid w:val="00D27641"/>
    <w:rsid w:val="00D3084E"/>
    <w:rsid w:val="00D30935"/>
    <w:rsid w:val="00D311AB"/>
    <w:rsid w:val="00D33E3B"/>
    <w:rsid w:val="00D344CB"/>
    <w:rsid w:val="00D34980"/>
    <w:rsid w:val="00D359D2"/>
    <w:rsid w:val="00D3656A"/>
    <w:rsid w:val="00D40691"/>
    <w:rsid w:val="00D409E6"/>
    <w:rsid w:val="00D413EF"/>
    <w:rsid w:val="00D42115"/>
    <w:rsid w:val="00D42FFE"/>
    <w:rsid w:val="00D44211"/>
    <w:rsid w:val="00D452B9"/>
    <w:rsid w:val="00D455D8"/>
    <w:rsid w:val="00D46100"/>
    <w:rsid w:val="00D513D0"/>
    <w:rsid w:val="00D52589"/>
    <w:rsid w:val="00D529A1"/>
    <w:rsid w:val="00D53D01"/>
    <w:rsid w:val="00D54FA3"/>
    <w:rsid w:val="00D55613"/>
    <w:rsid w:val="00D558ED"/>
    <w:rsid w:val="00D56F45"/>
    <w:rsid w:val="00D60F51"/>
    <w:rsid w:val="00D61758"/>
    <w:rsid w:val="00D618FB"/>
    <w:rsid w:val="00D6273D"/>
    <w:rsid w:val="00D63C39"/>
    <w:rsid w:val="00D6474B"/>
    <w:rsid w:val="00D64A9D"/>
    <w:rsid w:val="00D65AB0"/>
    <w:rsid w:val="00D65E5A"/>
    <w:rsid w:val="00D663CB"/>
    <w:rsid w:val="00D664C2"/>
    <w:rsid w:val="00D66518"/>
    <w:rsid w:val="00D70368"/>
    <w:rsid w:val="00D70597"/>
    <w:rsid w:val="00D72636"/>
    <w:rsid w:val="00D72BB4"/>
    <w:rsid w:val="00D7436C"/>
    <w:rsid w:val="00D743CC"/>
    <w:rsid w:val="00D74BA9"/>
    <w:rsid w:val="00D7579A"/>
    <w:rsid w:val="00D75E26"/>
    <w:rsid w:val="00D762F4"/>
    <w:rsid w:val="00D775AB"/>
    <w:rsid w:val="00D77EE5"/>
    <w:rsid w:val="00D80B13"/>
    <w:rsid w:val="00D8221D"/>
    <w:rsid w:val="00D82721"/>
    <w:rsid w:val="00D82955"/>
    <w:rsid w:val="00D8307C"/>
    <w:rsid w:val="00D833DC"/>
    <w:rsid w:val="00D83641"/>
    <w:rsid w:val="00D83A6A"/>
    <w:rsid w:val="00D83D88"/>
    <w:rsid w:val="00D83E85"/>
    <w:rsid w:val="00D844A1"/>
    <w:rsid w:val="00D851DE"/>
    <w:rsid w:val="00D8524A"/>
    <w:rsid w:val="00D86B70"/>
    <w:rsid w:val="00D87A14"/>
    <w:rsid w:val="00D9020F"/>
    <w:rsid w:val="00D90B54"/>
    <w:rsid w:val="00D90DA0"/>
    <w:rsid w:val="00D911E7"/>
    <w:rsid w:val="00D9356E"/>
    <w:rsid w:val="00D935DC"/>
    <w:rsid w:val="00D937D4"/>
    <w:rsid w:val="00D944F2"/>
    <w:rsid w:val="00D9680F"/>
    <w:rsid w:val="00D96965"/>
    <w:rsid w:val="00D977C6"/>
    <w:rsid w:val="00D97E7D"/>
    <w:rsid w:val="00D97E89"/>
    <w:rsid w:val="00DA0211"/>
    <w:rsid w:val="00DA02E5"/>
    <w:rsid w:val="00DA060C"/>
    <w:rsid w:val="00DA0B87"/>
    <w:rsid w:val="00DA0C06"/>
    <w:rsid w:val="00DA0CE2"/>
    <w:rsid w:val="00DA1160"/>
    <w:rsid w:val="00DA1296"/>
    <w:rsid w:val="00DA1E6F"/>
    <w:rsid w:val="00DA2E9A"/>
    <w:rsid w:val="00DA3B14"/>
    <w:rsid w:val="00DA47BC"/>
    <w:rsid w:val="00DA56A0"/>
    <w:rsid w:val="00DA67DB"/>
    <w:rsid w:val="00DA6EB1"/>
    <w:rsid w:val="00DA7865"/>
    <w:rsid w:val="00DB092E"/>
    <w:rsid w:val="00DB20C0"/>
    <w:rsid w:val="00DB270C"/>
    <w:rsid w:val="00DB324F"/>
    <w:rsid w:val="00DB5FAB"/>
    <w:rsid w:val="00DB6098"/>
    <w:rsid w:val="00DB6545"/>
    <w:rsid w:val="00DB7149"/>
    <w:rsid w:val="00DB76E3"/>
    <w:rsid w:val="00DB7F6F"/>
    <w:rsid w:val="00DC0701"/>
    <w:rsid w:val="00DC083C"/>
    <w:rsid w:val="00DC09F2"/>
    <w:rsid w:val="00DC14D4"/>
    <w:rsid w:val="00DC26AD"/>
    <w:rsid w:val="00DC29CF"/>
    <w:rsid w:val="00DC5A38"/>
    <w:rsid w:val="00DC5C9A"/>
    <w:rsid w:val="00DC5E5E"/>
    <w:rsid w:val="00DC63F4"/>
    <w:rsid w:val="00DC7BFA"/>
    <w:rsid w:val="00DC7F82"/>
    <w:rsid w:val="00DD0036"/>
    <w:rsid w:val="00DD0063"/>
    <w:rsid w:val="00DD1BCB"/>
    <w:rsid w:val="00DD2117"/>
    <w:rsid w:val="00DD28BC"/>
    <w:rsid w:val="00DD33A6"/>
    <w:rsid w:val="00DD353A"/>
    <w:rsid w:val="00DD371D"/>
    <w:rsid w:val="00DD4246"/>
    <w:rsid w:val="00DD4AAF"/>
    <w:rsid w:val="00DD547F"/>
    <w:rsid w:val="00DD641C"/>
    <w:rsid w:val="00DD7002"/>
    <w:rsid w:val="00DD7E10"/>
    <w:rsid w:val="00DE006A"/>
    <w:rsid w:val="00DE1DCF"/>
    <w:rsid w:val="00DE482E"/>
    <w:rsid w:val="00DE4BA0"/>
    <w:rsid w:val="00DE5899"/>
    <w:rsid w:val="00DE58B6"/>
    <w:rsid w:val="00DE5900"/>
    <w:rsid w:val="00DE6291"/>
    <w:rsid w:val="00DE7081"/>
    <w:rsid w:val="00DE747B"/>
    <w:rsid w:val="00DF0D8A"/>
    <w:rsid w:val="00DF1349"/>
    <w:rsid w:val="00DF2384"/>
    <w:rsid w:val="00DF2D40"/>
    <w:rsid w:val="00DF327A"/>
    <w:rsid w:val="00DF3DE6"/>
    <w:rsid w:val="00DF3EF4"/>
    <w:rsid w:val="00DF456A"/>
    <w:rsid w:val="00DF6006"/>
    <w:rsid w:val="00DF6524"/>
    <w:rsid w:val="00DF6670"/>
    <w:rsid w:val="00DF70B2"/>
    <w:rsid w:val="00DF780C"/>
    <w:rsid w:val="00E02589"/>
    <w:rsid w:val="00E029F3"/>
    <w:rsid w:val="00E02DC4"/>
    <w:rsid w:val="00E03C27"/>
    <w:rsid w:val="00E03E1B"/>
    <w:rsid w:val="00E041DA"/>
    <w:rsid w:val="00E0471E"/>
    <w:rsid w:val="00E04D88"/>
    <w:rsid w:val="00E05D22"/>
    <w:rsid w:val="00E07364"/>
    <w:rsid w:val="00E077B2"/>
    <w:rsid w:val="00E1026E"/>
    <w:rsid w:val="00E11B19"/>
    <w:rsid w:val="00E120E8"/>
    <w:rsid w:val="00E14CA4"/>
    <w:rsid w:val="00E14FEC"/>
    <w:rsid w:val="00E158E3"/>
    <w:rsid w:val="00E15C73"/>
    <w:rsid w:val="00E15E89"/>
    <w:rsid w:val="00E15F03"/>
    <w:rsid w:val="00E16AA1"/>
    <w:rsid w:val="00E1743F"/>
    <w:rsid w:val="00E17478"/>
    <w:rsid w:val="00E17B67"/>
    <w:rsid w:val="00E2069F"/>
    <w:rsid w:val="00E2212D"/>
    <w:rsid w:val="00E235A9"/>
    <w:rsid w:val="00E2477D"/>
    <w:rsid w:val="00E25C46"/>
    <w:rsid w:val="00E3004E"/>
    <w:rsid w:val="00E30A18"/>
    <w:rsid w:val="00E30CF5"/>
    <w:rsid w:val="00E32252"/>
    <w:rsid w:val="00E3322A"/>
    <w:rsid w:val="00E33521"/>
    <w:rsid w:val="00E338F0"/>
    <w:rsid w:val="00E3464C"/>
    <w:rsid w:val="00E360DE"/>
    <w:rsid w:val="00E37AC9"/>
    <w:rsid w:val="00E41265"/>
    <w:rsid w:val="00E41BB6"/>
    <w:rsid w:val="00E42CA1"/>
    <w:rsid w:val="00E433D2"/>
    <w:rsid w:val="00E43EE7"/>
    <w:rsid w:val="00E44151"/>
    <w:rsid w:val="00E457FB"/>
    <w:rsid w:val="00E45EBA"/>
    <w:rsid w:val="00E4790A"/>
    <w:rsid w:val="00E51726"/>
    <w:rsid w:val="00E52493"/>
    <w:rsid w:val="00E53645"/>
    <w:rsid w:val="00E53D36"/>
    <w:rsid w:val="00E55E00"/>
    <w:rsid w:val="00E56053"/>
    <w:rsid w:val="00E5648C"/>
    <w:rsid w:val="00E565DC"/>
    <w:rsid w:val="00E57E7F"/>
    <w:rsid w:val="00E62E12"/>
    <w:rsid w:val="00E647C1"/>
    <w:rsid w:val="00E65063"/>
    <w:rsid w:val="00E66C53"/>
    <w:rsid w:val="00E721D2"/>
    <w:rsid w:val="00E73091"/>
    <w:rsid w:val="00E7325C"/>
    <w:rsid w:val="00E7400C"/>
    <w:rsid w:val="00E74833"/>
    <w:rsid w:val="00E77B47"/>
    <w:rsid w:val="00E800F3"/>
    <w:rsid w:val="00E80505"/>
    <w:rsid w:val="00E83633"/>
    <w:rsid w:val="00E83B09"/>
    <w:rsid w:val="00E8415A"/>
    <w:rsid w:val="00E84425"/>
    <w:rsid w:val="00E8623F"/>
    <w:rsid w:val="00E862C8"/>
    <w:rsid w:val="00E87BFE"/>
    <w:rsid w:val="00E87CA5"/>
    <w:rsid w:val="00E87F78"/>
    <w:rsid w:val="00E909F5"/>
    <w:rsid w:val="00E91B68"/>
    <w:rsid w:val="00E925FF"/>
    <w:rsid w:val="00E93016"/>
    <w:rsid w:val="00E945DC"/>
    <w:rsid w:val="00E952FA"/>
    <w:rsid w:val="00E954A2"/>
    <w:rsid w:val="00E9584F"/>
    <w:rsid w:val="00E9587D"/>
    <w:rsid w:val="00E96CEF"/>
    <w:rsid w:val="00E975C1"/>
    <w:rsid w:val="00EA1299"/>
    <w:rsid w:val="00EA3D64"/>
    <w:rsid w:val="00EA49AF"/>
    <w:rsid w:val="00EA4E35"/>
    <w:rsid w:val="00EA508B"/>
    <w:rsid w:val="00EA6C19"/>
    <w:rsid w:val="00EA6DC6"/>
    <w:rsid w:val="00EB06B4"/>
    <w:rsid w:val="00EB15BB"/>
    <w:rsid w:val="00EB278D"/>
    <w:rsid w:val="00EB2992"/>
    <w:rsid w:val="00EB306B"/>
    <w:rsid w:val="00EB40D3"/>
    <w:rsid w:val="00EB422B"/>
    <w:rsid w:val="00EB48F1"/>
    <w:rsid w:val="00EB4BB1"/>
    <w:rsid w:val="00EB6182"/>
    <w:rsid w:val="00EB78FE"/>
    <w:rsid w:val="00EC0296"/>
    <w:rsid w:val="00EC0B31"/>
    <w:rsid w:val="00EC1556"/>
    <w:rsid w:val="00EC1B4D"/>
    <w:rsid w:val="00EC230A"/>
    <w:rsid w:val="00EC27E9"/>
    <w:rsid w:val="00EC284A"/>
    <w:rsid w:val="00EC2B22"/>
    <w:rsid w:val="00EC334D"/>
    <w:rsid w:val="00EC3DC2"/>
    <w:rsid w:val="00EC4048"/>
    <w:rsid w:val="00EC47F6"/>
    <w:rsid w:val="00EC48FB"/>
    <w:rsid w:val="00EC5941"/>
    <w:rsid w:val="00EC5C26"/>
    <w:rsid w:val="00EC6130"/>
    <w:rsid w:val="00EC62AF"/>
    <w:rsid w:val="00EC6489"/>
    <w:rsid w:val="00EC7B86"/>
    <w:rsid w:val="00EC7FD9"/>
    <w:rsid w:val="00ED071B"/>
    <w:rsid w:val="00ED0CB6"/>
    <w:rsid w:val="00ED1B27"/>
    <w:rsid w:val="00ED2553"/>
    <w:rsid w:val="00ED2992"/>
    <w:rsid w:val="00ED351F"/>
    <w:rsid w:val="00ED41D4"/>
    <w:rsid w:val="00ED479D"/>
    <w:rsid w:val="00ED6706"/>
    <w:rsid w:val="00ED6A73"/>
    <w:rsid w:val="00ED6D84"/>
    <w:rsid w:val="00ED6F26"/>
    <w:rsid w:val="00ED73F5"/>
    <w:rsid w:val="00ED797B"/>
    <w:rsid w:val="00EE0416"/>
    <w:rsid w:val="00EE054F"/>
    <w:rsid w:val="00EE0780"/>
    <w:rsid w:val="00EE15DF"/>
    <w:rsid w:val="00EE1D00"/>
    <w:rsid w:val="00EE2218"/>
    <w:rsid w:val="00EE2495"/>
    <w:rsid w:val="00EE4436"/>
    <w:rsid w:val="00EE445F"/>
    <w:rsid w:val="00EE4D23"/>
    <w:rsid w:val="00EE72BF"/>
    <w:rsid w:val="00EE7D98"/>
    <w:rsid w:val="00EF03D4"/>
    <w:rsid w:val="00EF07A5"/>
    <w:rsid w:val="00EF139F"/>
    <w:rsid w:val="00EF3152"/>
    <w:rsid w:val="00EF36A3"/>
    <w:rsid w:val="00EF557D"/>
    <w:rsid w:val="00EF5CF0"/>
    <w:rsid w:val="00EF77C5"/>
    <w:rsid w:val="00F00C98"/>
    <w:rsid w:val="00F0147F"/>
    <w:rsid w:val="00F03520"/>
    <w:rsid w:val="00F04E9F"/>
    <w:rsid w:val="00F064F7"/>
    <w:rsid w:val="00F066F7"/>
    <w:rsid w:val="00F06701"/>
    <w:rsid w:val="00F06CD5"/>
    <w:rsid w:val="00F07433"/>
    <w:rsid w:val="00F077B2"/>
    <w:rsid w:val="00F07DAC"/>
    <w:rsid w:val="00F10482"/>
    <w:rsid w:val="00F10B66"/>
    <w:rsid w:val="00F10B72"/>
    <w:rsid w:val="00F118FE"/>
    <w:rsid w:val="00F11CC4"/>
    <w:rsid w:val="00F126DA"/>
    <w:rsid w:val="00F1275D"/>
    <w:rsid w:val="00F12D11"/>
    <w:rsid w:val="00F138A7"/>
    <w:rsid w:val="00F153CE"/>
    <w:rsid w:val="00F15D9E"/>
    <w:rsid w:val="00F16356"/>
    <w:rsid w:val="00F16389"/>
    <w:rsid w:val="00F16E71"/>
    <w:rsid w:val="00F16F95"/>
    <w:rsid w:val="00F1707E"/>
    <w:rsid w:val="00F207A3"/>
    <w:rsid w:val="00F22E7F"/>
    <w:rsid w:val="00F23BBE"/>
    <w:rsid w:val="00F23F54"/>
    <w:rsid w:val="00F24AD6"/>
    <w:rsid w:val="00F2625F"/>
    <w:rsid w:val="00F263E6"/>
    <w:rsid w:val="00F27039"/>
    <w:rsid w:val="00F270BF"/>
    <w:rsid w:val="00F27838"/>
    <w:rsid w:val="00F30183"/>
    <w:rsid w:val="00F30476"/>
    <w:rsid w:val="00F305F6"/>
    <w:rsid w:val="00F308BF"/>
    <w:rsid w:val="00F312EC"/>
    <w:rsid w:val="00F31C99"/>
    <w:rsid w:val="00F3231C"/>
    <w:rsid w:val="00F3290E"/>
    <w:rsid w:val="00F331A8"/>
    <w:rsid w:val="00F339AD"/>
    <w:rsid w:val="00F33AFB"/>
    <w:rsid w:val="00F33B87"/>
    <w:rsid w:val="00F33C60"/>
    <w:rsid w:val="00F34287"/>
    <w:rsid w:val="00F34E55"/>
    <w:rsid w:val="00F359B5"/>
    <w:rsid w:val="00F36FC9"/>
    <w:rsid w:val="00F37A6E"/>
    <w:rsid w:val="00F401A8"/>
    <w:rsid w:val="00F40572"/>
    <w:rsid w:val="00F41D44"/>
    <w:rsid w:val="00F42565"/>
    <w:rsid w:val="00F42AB2"/>
    <w:rsid w:val="00F42C05"/>
    <w:rsid w:val="00F42FC1"/>
    <w:rsid w:val="00F43935"/>
    <w:rsid w:val="00F44472"/>
    <w:rsid w:val="00F44ACB"/>
    <w:rsid w:val="00F45B9C"/>
    <w:rsid w:val="00F45E3C"/>
    <w:rsid w:val="00F45ED1"/>
    <w:rsid w:val="00F50D96"/>
    <w:rsid w:val="00F515F9"/>
    <w:rsid w:val="00F51B31"/>
    <w:rsid w:val="00F5525A"/>
    <w:rsid w:val="00F553C7"/>
    <w:rsid w:val="00F55D6F"/>
    <w:rsid w:val="00F5642A"/>
    <w:rsid w:val="00F5647A"/>
    <w:rsid w:val="00F56ECA"/>
    <w:rsid w:val="00F5745A"/>
    <w:rsid w:val="00F5786A"/>
    <w:rsid w:val="00F57E8C"/>
    <w:rsid w:val="00F60839"/>
    <w:rsid w:val="00F60845"/>
    <w:rsid w:val="00F61FD7"/>
    <w:rsid w:val="00F624E2"/>
    <w:rsid w:val="00F637D6"/>
    <w:rsid w:val="00F63899"/>
    <w:rsid w:val="00F63A88"/>
    <w:rsid w:val="00F65E14"/>
    <w:rsid w:val="00F671A8"/>
    <w:rsid w:val="00F67BE5"/>
    <w:rsid w:val="00F71906"/>
    <w:rsid w:val="00F7274D"/>
    <w:rsid w:val="00F74A43"/>
    <w:rsid w:val="00F756D0"/>
    <w:rsid w:val="00F75DD7"/>
    <w:rsid w:val="00F80393"/>
    <w:rsid w:val="00F805BB"/>
    <w:rsid w:val="00F80CE2"/>
    <w:rsid w:val="00F81471"/>
    <w:rsid w:val="00F81BBA"/>
    <w:rsid w:val="00F81C99"/>
    <w:rsid w:val="00F82801"/>
    <w:rsid w:val="00F83133"/>
    <w:rsid w:val="00F8471E"/>
    <w:rsid w:val="00F85E74"/>
    <w:rsid w:val="00F87FCC"/>
    <w:rsid w:val="00F903D1"/>
    <w:rsid w:val="00F9063C"/>
    <w:rsid w:val="00F90A03"/>
    <w:rsid w:val="00F90D66"/>
    <w:rsid w:val="00F9146A"/>
    <w:rsid w:val="00F9207A"/>
    <w:rsid w:val="00F9293F"/>
    <w:rsid w:val="00F92D3C"/>
    <w:rsid w:val="00F935B4"/>
    <w:rsid w:val="00F93D44"/>
    <w:rsid w:val="00F96348"/>
    <w:rsid w:val="00F968CA"/>
    <w:rsid w:val="00F969B3"/>
    <w:rsid w:val="00F96E6A"/>
    <w:rsid w:val="00FA0295"/>
    <w:rsid w:val="00FA0BC7"/>
    <w:rsid w:val="00FA0E64"/>
    <w:rsid w:val="00FA1CEA"/>
    <w:rsid w:val="00FA20BF"/>
    <w:rsid w:val="00FA2F3D"/>
    <w:rsid w:val="00FA3034"/>
    <w:rsid w:val="00FA3501"/>
    <w:rsid w:val="00FA4B41"/>
    <w:rsid w:val="00FA5358"/>
    <w:rsid w:val="00FA6BD6"/>
    <w:rsid w:val="00FA6E0E"/>
    <w:rsid w:val="00FA79BA"/>
    <w:rsid w:val="00FB0BE3"/>
    <w:rsid w:val="00FB166C"/>
    <w:rsid w:val="00FB1CE5"/>
    <w:rsid w:val="00FB36ED"/>
    <w:rsid w:val="00FB50B2"/>
    <w:rsid w:val="00FB51AD"/>
    <w:rsid w:val="00FB523B"/>
    <w:rsid w:val="00FB6FA7"/>
    <w:rsid w:val="00FB7196"/>
    <w:rsid w:val="00FC181C"/>
    <w:rsid w:val="00FC1CA5"/>
    <w:rsid w:val="00FC2594"/>
    <w:rsid w:val="00FC2EC6"/>
    <w:rsid w:val="00FC3954"/>
    <w:rsid w:val="00FC3A19"/>
    <w:rsid w:val="00FC435A"/>
    <w:rsid w:val="00FC4713"/>
    <w:rsid w:val="00FC47F4"/>
    <w:rsid w:val="00FC4E57"/>
    <w:rsid w:val="00FC53DC"/>
    <w:rsid w:val="00FC55B7"/>
    <w:rsid w:val="00FC5FD6"/>
    <w:rsid w:val="00FC723A"/>
    <w:rsid w:val="00FD0549"/>
    <w:rsid w:val="00FD110D"/>
    <w:rsid w:val="00FD14EB"/>
    <w:rsid w:val="00FD178B"/>
    <w:rsid w:val="00FD1E93"/>
    <w:rsid w:val="00FD218C"/>
    <w:rsid w:val="00FD3745"/>
    <w:rsid w:val="00FD48C6"/>
    <w:rsid w:val="00FD6AA4"/>
    <w:rsid w:val="00FE20D6"/>
    <w:rsid w:val="00FE2E63"/>
    <w:rsid w:val="00FE4904"/>
    <w:rsid w:val="00FE5BE7"/>
    <w:rsid w:val="00FE6A64"/>
    <w:rsid w:val="00FF09C5"/>
    <w:rsid w:val="00FF0FF7"/>
    <w:rsid w:val="00FF127D"/>
    <w:rsid w:val="00FF171D"/>
    <w:rsid w:val="00FF225D"/>
    <w:rsid w:val="00FF2CD1"/>
    <w:rsid w:val="00FF45AF"/>
    <w:rsid w:val="00FF4A63"/>
    <w:rsid w:val="00FF59D4"/>
    <w:rsid w:val="00FF6006"/>
    <w:rsid w:val="00FF64DB"/>
    <w:rsid w:val="00FF766B"/>
    <w:rsid w:val="00FF7B39"/>
    <w:rsid w:val="00FF7D8A"/>
    <w:rsid w:val="01174EE0"/>
    <w:rsid w:val="01756B40"/>
    <w:rsid w:val="01E97279"/>
    <w:rsid w:val="025E3625"/>
    <w:rsid w:val="02B47651"/>
    <w:rsid w:val="032936F6"/>
    <w:rsid w:val="042D5056"/>
    <w:rsid w:val="04865BB0"/>
    <w:rsid w:val="04D30835"/>
    <w:rsid w:val="04DF0173"/>
    <w:rsid w:val="05080D49"/>
    <w:rsid w:val="0522697C"/>
    <w:rsid w:val="052A514D"/>
    <w:rsid w:val="054C666E"/>
    <w:rsid w:val="05800A23"/>
    <w:rsid w:val="05F45755"/>
    <w:rsid w:val="06052E78"/>
    <w:rsid w:val="074B3C8B"/>
    <w:rsid w:val="07A46934"/>
    <w:rsid w:val="07E44589"/>
    <w:rsid w:val="0814145B"/>
    <w:rsid w:val="09353BD7"/>
    <w:rsid w:val="0982512D"/>
    <w:rsid w:val="0A2F120F"/>
    <w:rsid w:val="0AB64589"/>
    <w:rsid w:val="0B080929"/>
    <w:rsid w:val="0B2935CF"/>
    <w:rsid w:val="0B63498A"/>
    <w:rsid w:val="0B67288B"/>
    <w:rsid w:val="0B7D4ED7"/>
    <w:rsid w:val="0BE55986"/>
    <w:rsid w:val="0C96100F"/>
    <w:rsid w:val="0CE73720"/>
    <w:rsid w:val="0E4D2A3F"/>
    <w:rsid w:val="0E880BF6"/>
    <w:rsid w:val="0F981358"/>
    <w:rsid w:val="0FF336EF"/>
    <w:rsid w:val="102C480D"/>
    <w:rsid w:val="10845536"/>
    <w:rsid w:val="11AC16B8"/>
    <w:rsid w:val="1225487E"/>
    <w:rsid w:val="129B20D8"/>
    <w:rsid w:val="13684491"/>
    <w:rsid w:val="139A7B43"/>
    <w:rsid w:val="14A26217"/>
    <w:rsid w:val="14AA3833"/>
    <w:rsid w:val="150D385F"/>
    <w:rsid w:val="15BD48A6"/>
    <w:rsid w:val="15FD3023"/>
    <w:rsid w:val="15FE66AB"/>
    <w:rsid w:val="168F5F80"/>
    <w:rsid w:val="16DE39D4"/>
    <w:rsid w:val="17166233"/>
    <w:rsid w:val="17B3070A"/>
    <w:rsid w:val="19B3544D"/>
    <w:rsid w:val="19EE6FE9"/>
    <w:rsid w:val="1A0701E5"/>
    <w:rsid w:val="1A613321"/>
    <w:rsid w:val="1AFE7587"/>
    <w:rsid w:val="1B7E4C59"/>
    <w:rsid w:val="1B7F7413"/>
    <w:rsid w:val="1C956D37"/>
    <w:rsid w:val="1CE25C7A"/>
    <w:rsid w:val="1CF10FAA"/>
    <w:rsid w:val="1DAE03E7"/>
    <w:rsid w:val="1DF41403"/>
    <w:rsid w:val="1E562C25"/>
    <w:rsid w:val="1E9C0CBF"/>
    <w:rsid w:val="1ED211EB"/>
    <w:rsid w:val="1EE752E3"/>
    <w:rsid w:val="1F2C223E"/>
    <w:rsid w:val="1F6D7836"/>
    <w:rsid w:val="1F6F682C"/>
    <w:rsid w:val="1FF70100"/>
    <w:rsid w:val="2004179D"/>
    <w:rsid w:val="207142F3"/>
    <w:rsid w:val="218E3452"/>
    <w:rsid w:val="21B0162B"/>
    <w:rsid w:val="21C64F02"/>
    <w:rsid w:val="21EA41ED"/>
    <w:rsid w:val="21FF4095"/>
    <w:rsid w:val="222137DD"/>
    <w:rsid w:val="22DC3B9F"/>
    <w:rsid w:val="231860A1"/>
    <w:rsid w:val="24071785"/>
    <w:rsid w:val="24137107"/>
    <w:rsid w:val="242E7421"/>
    <w:rsid w:val="24335886"/>
    <w:rsid w:val="243E45C7"/>
    <w:rsid w:val="24557E6D"/>
    <w:rsid w:val="24763637"/>
    <w:rsid w:val="24CC27EB"/>
    <w:rsid w:val="24E53B28"/>
    <w:rsid w:val="25184C86"/>
    <w:rsid w:val="25372986"/>
    <w:rsid w:val="25394C40"/>
    <w:rsid w:val="256027EB"/>
    <w:rsid w:val="25B76063"/>
    <w:rsid w:val="25E5250A"/>
    <w:rsid w:val="26031625"/>
    <w:rsid w:val="26513373"/>
    <w:rsid w:val="266B5687"/>
    <w:rsid w:val="27173966"/>
    <w:rsid w:val="27181100"/>
    <w:rsid w:val="27392E24"/>
    <w:rsid w:val="27C043B5"/>
    <w:rsid w:val="28912830"/>
    <w:rsid w:val="289171D5"/>
    <w:rsid w:val="29951E7A"/>
    <w:rsid w:val="29A058F9"/>
    <w:rsid w:val="29D33558"/>
    <w:rsid w:val="2A143825"/>
    <w:rsid w:val="2A41096D"/>
    <w:rsid w:val="2A846D7C"/>
    <w:rsid w:val="2B1541E7"/>
    <w:rsid w:val="2B571088"/>
    <w:rsid w:val="2C143D80"/>
    <w:rsid w:val="2C3E2BDD"/>
    <w:rsid w:val="2C4C0C9C"/>
    <w:rsid w:val="2DFF65AA"/>
    <w:rsid w:val="2E645A3C"/>
    <w:rsid w:val="2F5B6B77"/>
    <w:rsid w:val="301A2BD0"/>
    <w:rsid w:val="30895A2D"/>
    <w:rsid w:val="309F6373"/>
    <w:rsid w:val="31605BAF"/>
    <w:rsid w:val="31E55B89"/>
    <w:rsid w:val="31E81A6A"/>
    <w:rsid w:val="31EB2FAF"/>
    <w:rsid w:val="327F6ED0"/>
    <w:rsid w:val="32E96DDF"/>
    <w:rsid w:val="3315277A"/>
    <w:rsid w:val="33505A39"/>
    <w:rsid w:val="335A141B"/>
    <w:rsid w:val="34202321"/>
    <w:rsid w:val="345243A1"/>
    <w:rsid w:val="34563525"/>
    <w:rsid w:val="347679D1"/>
    <w:rsid w:val="35A15BE5"/>
    <w:rsid w:val="35F1412C"/>
    <w:rsid w:val="36154BBA"/>
    <w:rsid w:val="362903BC"/>
    <w:rsid w:val="36525D05"/>
    <w:rsid w:val="36B722CC"/>
    <w:rsid w:val="374A0A05"/>
    <w:rsid w:val="376C3CFF"/>
    <w:rsid w:val="377C7827"/>
    <w:rsid w:val="38140676"/>
    <w:rsid w:val="38370E25"/>
    <w:rsid w:val="38624702"/>
    <w:rsid w:val="395A6317"/>
    <w:rsid w:val="3A1A2DF8"/>
    <w:rsid w:val="3B010C10"/>
    <w:rsid w:val="3B42216A"/>
    <w:rsid w:val="3B7906B7"/>
    <w:rsid w:val="3BA34EEB"/>
    <w:rsid w:val="3C9608CA"/>
    <w:rsid w:val="3CAD4CD2"/>
    <w:rsid w:val="3E4F3AEC"/>
    <w:rsid w:val="3EEC2526"/>
    <w:rsid w:val="3FA600DF"/>
    <w:rsid w:val="3FF923E3"/>
    <w:rsid w:val="3FF951E8"/>
    <w:rsid w:val="4016208B"/>
    <w:rsid w:val="40A367C3"/>
    <w:rsid w:val="40B272E9"/>
    <w:rsid w:val="4196196B"/>
    <w:rsid w:val="41C872E7"/>
    <w:rsid w:val="42112D74"/>
    <w:rsid w:val="42194BC6"/>
    <w:rsid w:val="428048C8"/>
    <w:rsid w:val="42B908BB"/>
    <w:rsid w:val="42CA03A0"/>
    <w:rsid w:val="43382AAC"/>
    <w:rsid w:val="438C3C06"/>
    <w:rsid w:val="448465DB"/>
    <w:rsid w:val="44E91969"/>
    <w:rsid w:val="45196C78"/>
    <w:rsid w:val="46221AC5"/>
    <w:rsid w:val="46826BF3"/>
    <w:rsid w:val="46A53079"/>
    <w:rsid w:val="46A66009"/>
    <w:rsid w:val="46C56C95"/>
    <w:rsid w:val="47DF38EE"/>
    <w:rsid w:val="47EA6784"/>
    <w:rsid w:val="48931494"/>
    <w:rsid w:val="48BB14A6"/>
    <w:rsid w:val="48E27218"/>
    <w:rsid w:val="49316276"/>
    <w:rsid w:val="495035E8"/>
    <w:rsid w:val="49615088"/>
    <w:rsid w:val="49882D02"/>
    <w:rsid w:val="498C10DF"/>
    <w:rsid w:val="49F730C9"/>
    <w:rsid w:val="4AEA4AAF"/>
    <w:rsid w:val="4AF92549"/>
    <w:rsid w:val="4AFC69CB"/>
    <w:rsid w:val="4B496DAA"/>
    <w:rsid w:val="4B754B55"/>
    <w:rsid w:val="4B8702BE"/>
    <w:rsid w:val="4BB03837"/>
    <w:rsid w:val="4C09416D"/>
    <w:rsid w:val="4C5E6928"/>
    <w:rsid w:val="4C80113D"/>
    <w:rsid w:val="4CFA776D"/>
    <w:rsid w:val="4D4920C2"/>
    <w:rsid w:val="4DAC4B98"/>
    <w:rsid w:val="4DFE7218"/>
    <w:rsid w:val="4E077B10"/>
    <w:rsid w:val="4E633B92"/>
    <w:rsid w:val="4EC43B4B"/>
    <w:rsid w:val="4EC6619A"/>
    <w:rsid w:val="4ECF02E4"/>
    <w:rsid w:val="4EE6020A"/>
    <w:rsid w:val="4F2951D5"/>
    <w:rsid w:val="4F352D1D"/>
    <w:rsid w:val="4F8647F4"/>
    <w:rsid w:val="4F9375A4"/>
    <w:rsid w:val="4F961996"/>
    <w:rsid w:val="4FBC5C6C"/>
    <w:rsid w:val="4FBF719F"/>
    <w:rsid w:val="52470AAC"/>
    <w:rsid w:val="5248236C"/>
    <w:rsid w:val="52DA0198"/>
    <w:rsid w:val="52DC2128"/>
    <w:rsid w:val="52F66570"/>
    <w:rsid w:val="53693EA0"/>
    <w:rsid w:val="54534906"/>
    <w:rsid w:val="54A17506"/>
    <w:rsid w:val="5504213E"/>
    <w:rsid w:val="55922578"/>
    <w:rsid w:val="564C54A9"/>
    <w:rsid w:val="56C93DE1"/>
    <w:rsid w:val="57270048"/>
    <w:rsid w:val="573D1198"/>
    <w:rsid w:val="57E8163C"/>
    <w:rsid w:val="57FC04FF"/>
    <w:rsid w:val="58155979"/>
    <w:rsid w:val="58E3535C"/>
    <w:rsid w:val="59070609"/>
    <w:rsid w:val="59811127"/>
    <w:rsid w:val="59B612D3"/>
    <w:rsid w:val="5A96263C"/>
    <w:rsid w:val="5AE00D43"/>
    <w:rsid w:val="5B09785F"/>
    <w:rsid w:val="5B306813"/>
    <w:rsid w:val="5B6805AB"/>
    <w:rsid w:val="5C525315"/>
    <w:rsid w:val="5CB726AB"/>
    <w:rsid w:val="5CDB38B2"/>
    <w:rsid w:val="5D0F6E2D"/>
    <w:rsid w:val="5DB5674A"/>
    <w:rsid w:val="5E24096A"/>
    <w:rsid w:val="5E7B6DDF"/>
    <w:rsid w:val="5E8014F0"/>
    <w:rsid w:val="5ECE61CF"/>
    <w:rsid w:val="5F2C301B"/>
    <w:rsid w:val="5F6A4A67"/>
    <w:rsid w:val="606C1354"/>
    <w:rsid w:val="60C220B9"/>
    <w:rsid w:val="61CD5E28"/>
    <w:rsid w:val="61E752E4"/>
    <w:rsid w:val="62AB6CDD"/>
    <w:rsid w:val="632C0F39"/>
    <w:rsid w:val="63B42C4A"/>
    <w:rsid w:val="642D6D2D"/>
    <w:rsid w:val="643F33D7"/>
    <w:rsid w:val="64C708FC"/>
    <w:rsid w:val="64D64874"/>
    <w:rsid w:val="65BD4645"/>
    <w:rsid w:val="65C02367"/>
    <w:rsid w:val="660D28EF"/>
    <w:rsid w:val="66E7007B"/>
    <w:rsid w:val="672C0174"/>
    <w:rsid w:val="674236BA"/>
    <w:rsid w:val="67675347"/>
    <w:rsid w:val="679C316D"/>
    <w:rsid w:val="679E240E"/>
    <w:rsid w:val="67BF7E28"/>
    <w:rsid w:val="68AE5A6D"/>
    <w:rsid w:val="68B20270"/>
    <w:rsid w:val="68B80DBB"/>
    <w:rsid w:val="68BF5E47"/>
    <w:rsid w:val="693E435B"/>
    <w:rsid w:val="69926DFB"/>
    <w:rsid w:val="69975E68"/>
    <w:rsid w:val="69B65DF1"/>
    <w:rsid w:val="69E252A4"/>
    <w:rsid w:val="6A5751D8"/>
    <w:rsid w:val="6A711327"/>
    <w:rsid w:val="6ACB5AC8"/>
    <w:rsid w:val="6B5F609C"/>
    <w:rsid w:val="6B7F4D35"/>
    <w:rsid w:val="6BB507D9"/>
    <w:rsid w:val="6BE24F6A"/>
    <w:rsid w:val="6C1C5C06"/>
    <w:rsid w:val="6C405821"/>
    <w:rsid w:val="6C7C0658"/>
    <w:rsid w:val="6CB55C73"/>
    <w:rsid w:val="6CBF7D74"/>
    <w:rsid w:val="6D002F63"/>
    <w:rsid w:val="6DCA59B4"/>
    <w:rsid w:val="6E776E55"/>
    <w:rsid w:val="6E7D028F"/>
    <w:rsid w:val="6EFB2331"/>
    <w:rsid w:val="6F393B8A"/>
    <w:rsid w:val="6FB92695"/>
    <w:rsid w:val="70E73392"/>
    <w:rsid w:val="70F457AE"/>
    <w:rsid w:val="71A420D7"/>
    <w:rsid w:val="720F1517"/>
    <w:rsid w:val="72497F46"/>
    <w:rsid w:val="72FB48EE"/>
    <w:rsid w:val="734868A5"/>
    <w:rsid w:val="73EF07D9"/>
    <w:rsid w:val="740C55CD"/>
    <w:rsid w:val="74AA28C4"/>
    <w:rsid w:val="74AD308D"/>
    <w:rsid w:val="74C55A2F"/>
    <w:rsid w:val="751F7DD4"/>
    <w:rsid w:val="75A24063"/>
    <w:rsid w:val="75A95892"/>
    <w:rsid w:val="75B55C07"/>
    <w:rsid w:val="75C86E53"/>
    <w:rsid w:val="75CA5D4E"/>
    <w:rsid w:val="75F33242"/>
    <w:rsid w:val="76BB13D7"/>
    <w:rsid w:val="76ED6BCC"/>
    <w:rsid w:val="76FB1F6E"/>
    <w:rsid w:val="7728037B"/>
    <w:rsid w:val="7742049C"/>
    <w:rsid w:val="77765AD7"/>
    <w:rsid w:val="778F5328"/>
    <w:rsid w:val="77D9322D"/>
    <w:rsid w:val="77F51A1C"/>
    <w:rsid w:val="78CC7F1A"/>
    <w:rsid w:val="793D4148"/>
    <w:rsid w:val="7992208B"/>
    <w:rsid w:val="7A796645"/>
    <w:rsid w:val="7C167C6D"/>
    <w:rsid w:val="7C814DDD"/>
    <w:rsid w:val="7C8D6F8A"/>
    <w:rsid w:val="7D05458C"/>
    <w:rsid w:val="7D093F07"/>
    <w:rsid w:val="7D151ACA"/>
    <w:rsid w:val="7D860C2E"/>
    <w:rsid w:val="7D955F62"/>
    <w:rsid w:val="7DFC6C46"/>
    <w:rsid w:val="7E1C5C65"/>
    <w:rsid w:val="7EA65B32"/>
    <w:rsid w:val="7EE77781"/>
    <w:rsid w:val="7F1B62FA"/>
    <w:rsid w:val="7F3361BC"/>
    <w:rsid w:val="EBF154B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56"/>
    <w:qFormat/>
    <w:uiPriority w:val="0"/>
    <w:pPr>
      <w:keepNext/>
      <w:keepLines/>
      <w:spacing w:before="340" w:after="330" w:line="576" w:lineRule="auto"/>
      <w:outlineLvl w:val="0"/>
    </w:pPr>
    <w:rPr>
      <w:b/>
      <w:bCs/>
      <w:kern w:val="44"/>
      <w:sz w:val="44"/>
      <w:szCs w:val="44"/>
    </w:rPr>
  </w:style>
  <w:style w:type="paragraph" w:styleId="2">
    <w:name w:val="heading 2"/>
    <w:basedOn w:val="1"/>
    <w:next w:val="1"/>
    <w:link w:val="55"/>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40"/>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0"/>
    <w:qFormat/>
    <w:uiPriority w:val="0"/>
    <w:pPr>
      <w:shd w:val="clear" w:color="auto" w:fill="000080"/>
    </w:pPr>
    <w:rPr>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6"/>
    <w:qFormat/>
    <w:uiPriority w:val="99"/>
    <w:pPr>
      <w:jc w:val="left"/>
    </w:pPr>
  </w:style>
  <w:style w:type="paragraph" w:styleId="11">
    <w:name w:val="Body Text"/>
    <w:basedOn w:val="1"/>
    <w:qFormat/>
    <w:uiPriority w:val="0"/>
    <w:rPr>
      <w:rFonts w:ascii="仿宋_GB2312" w:eastAsia="仿宋_GB2312"/>
      <w:sz w:val="32"/>
    </w:rPr>
  </w:style>
  <w:style w:type="paragraph" w:styleId="12">
    <w:name w:val="Body Text Indent"/>
    <w:basedOn w:val="1"/>
    <w:qFormat/>
    <w:uiPriority w:val="0"/>
    <w:pPr>
      <w:spacing w:after="120"/>
      <w:ind w:left="420" w:leftChars="200"/>
    </w:p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39"/>
    <w:pPr>
      <w:ind w:left="480"/>
      <w:jc w:val="left"/>
    </w:pPr>
    <w:rPr>
      <w:i/>
      <w:iCs/>
      <w:sz w:val="20"/>
    </w:rPr>
  </w:style>
  <w:style w:type="paragraph" w:styleId="15">
    <w:name w:val="Plain Text"/>
    <w:basedOn w:val="1"/>
    <w:link w:val="51"/>
    <w:qFormat/>
    <w:uiPriority w:val="0"/>
    <w:rPr>
      <w:rFonts w:ascii="宋体" w:hAnsi="Courier New"/>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54"/>
    <w:qFormat/>
    <w:uiPriority w:val="0"/>
    <w:pPr>
      <w:ind w:left="100" w:leftChars="2500"/>
    </w:pPr>
    <w:rPr>
      <w:sz w:val="24"/>
      <w:szCs w:val="24"/>
    </w:rPr>
  </w:style>
  <w:style w:type="paragraph" w:styleId="18">
    <w:name w:val="Body Text Indent 2"/>
    <w:basedOn w:val="1"/>
    <w:link w:val="44"/>
    <w:qFormat/>
    <w:uiPriority w:val="0"/>
    <w:pPr>
      <w:spacing w:after="120" w:line="480" w:lineRule="auto"/>
      <w:ind w:left="420" w:leftChars="200"/>
    </w:pPr>
  </w:style>
  <w:style w:type="paragraph" w:styleId="19">
    <w:name w:val="Balloon Text"/>
    <w:basedOn w:val="1"/>
    <w:link w:val="59"/>
    <w:qFormat/>
    <w:uiPriority w:val="0"/>
    <w:rPr>
      <w:sz w:val="18"/>
      <w:szCs w:val="18"/>
    </w:rPr>
  </w:style>
  <w:style w:type="paragraph" w:styleId="20">
    <w:name w:val="footer"/>
    <w:basedOn w:val="1"/>
    <w:link w:val="47"/>
    <w:qFormat/>
    <w:uiPriority w:val="0"/>
    <w:pPr>
      <w:tabs>
        <w:tab w:val="center" w:pos="4153"/>
        <w:tab w:val="right" w:pos="8306"/>
      </w:tabs>
      <w:snapToGrid w:val="0"/>
      <w:jc w:val="left"/>
    </w:pPr>
    <w:rPr>
      <w:sz w:val="18"/>
      <w:szCs w:val="18"/>
    </w:rPr>
  </w:style>
  <w:style w:type="paragraph" w:styleId="21">
    <w:name w:val="header"/>
    <w:basedOn w:val="1"/>
    <w:link w:val="52"/>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43"/>
    <w:qFormat/>
    <w:uiPriority w:val="0"/>
    <w:pPr>
      <w:spacing w:after="120"/>
      <w:ind w:left="420" w:leftChars="200"/>
    </w:pPr>
    <w:rPr>
      <w:sz w:val="16"/>
      <w:szCs w:val="16"/>
    </w:rPr>
  </w:style>
  <w:style w:type="paragraph" w:styleId="27">
    <w:name w:val="toc 2"/>
    <w:basedOn w:val="1"/>
    <w:next w:val="1"/>
    <w:unhideWhenUsed/>
    <w:qFormat/>
    <w:uiPriority w:val="39"/>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60"/>
    <w:qFormat/>
    <w:uiPriority w:val="0"/>
    <w:pPr>
      <w:spacing w:before="160" w:after="40" w:line="0" w:lineRule="atLeast"/>
      <w:ind w:left="425" w:hanging="425"/>
      <w:jc w:val="left"/>
      <w:outlineLvl w:val="0"/>
    </w:pPr>
    <w:rPr>
      <w:rFonts w:ascii="Arial" w:hAnsi="Arial"/>
      <w:b/>
      <w:bCs/>
      <w:sz w:val="32"/>
      <w:szCs w:val="32"/>
    </w:rPr>
  </w:style>
  <w:style w:type="paragraph" w:styleId="31">
    <w:name w:val="annotation subject"/>
    <w:basedOn w:val="10"/>
    <w:next w:val="10"/>
    <w:link w:val="42"/>
    <w:qFormat/>
    <w:uiPriority w:val="0"/>
    <w:rPr>
      <w:b/>
      <w:bCs/>
    </w:rPr>
  </w:style>
  <w:style w:type="table" w:styleId="33">
    <w:name w:val="Table Grid"/>
    <w:basedOn w:val="3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0"/>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3 字符"/>
    <w:link w:val="4"/>
    <w:semiHidden/>
    <w:qFormat/>
    <w:uiPriority w:val="0"/>
    <w:rPr>
      <w:b/>
      <w:bCs/>
      <w:kern w:val="2"/>
      <w:sz w:val="32"/>
      <w:szCs w:val="32"/>
    </w:rPr>
  </w:style>
  <w:style w:type="character" w:customStyle="1" w:styleId="41">
    <w:name w:val="纯文本 Char"/>
    <w:qFormat/>
    <w:uiPriority w:val="0"/>
    <w:rPr>
      <w:rFonts w:ascii="宋体" w:hAnsi="Courier New" w:eastAsia="宋体"/>
      <w:kern w:val="2"/>
      <w:sz w:val="21"/>
      <w:lang w:val="en-US" w:eastAsia="zh-CN" w:bidi="ar-SA"/>
    </w:rPr>
  </w:style>
  <w:style w:type="character" w:customStyle="1" w:styleId="42">
    <w:name w:val="批注主题 字符"/>
    <w:link w:val="31"/>
    <w:qFormat/>
    <w:uiPriority w:val="0"/>
    <w:rPr>
      <w:b/>
      <w:bCs/>
      <w:kern w:val="2"/>
      <w:sz w:val="21"/>
    </w:rPr>
  </w:style>
  <w:style w:type="character" w:customStyle="1" w:styleId="43">
    <w:name w:val="正文文本缩进 3 字符"/>
    <w:link w:val="26"/>
    <w:qFormat/>
    <w:uiPriority w:val="0"/>
    <w:rPr>
      <w:kern w:val="2"/>
      <w:sz w:val="16"/>
      <w:szCs w:val="16"/>
    </w:rPr>
  </w:style>
  <w:style w:type="character" w:customStyle="1" w:styleId="44">
    <w:name w:val="正文文本缩进 2 字符"/>
    <w:link w:val="18"/>
    <w:qFormat/>
    <w:uiPriority w:val="0"/>
    <w:rPr>
      <w:kern w:val="2"/>
      <w:sz w:val="21"/>
    </w:rPr>
  </w:style>
  <w:style w:type="character" w:customStyle="1" w:styleId="45">
    <w:name w:val="Char Char3"/>
    <w:qFormat/>
    <w:uiPriority w:val="0"/>
    <w:rPr>
      <w:rFonts w:ascii="宋体" w:hAnsi="Courier New" w:eastAsia="宋体"/>
      <w:kern w:val="2"/>
      <w:sz w:val="21"/>
      <w:lang w:val="en-US" w:eastAsia="zh-CN" w:bidi="ar-SA"/>
    </w:rPr>
  </w:style>
  <w:style w:type="character" w:customStyle="1" w:styleId="46">
    <w:name w:val="批注文字 字符1"/>
    <w:link w:val="10"/>
    <w:qFormat/>
    <w:uiPriority w:val="0"/>
    <w:rPr>
      <w:kern w:val="2"/>
      <w:sz w:val="21"/>
    </w:rPr>
  </w:style>
  <w:style w:type="character" w:customStyle="1" w:styleId="47">
    <w:name w:val="页脚 字符"/>
    <w:link w:val="20"/>
    <w:qFormat/>
    <w:uiPriority w:val="0"/>
    <w:rPr>
      <w:kern w:val="2"/>
      <w:sz w:val="18"/>
      <w:szCs w:val="18"/>
    </w:rPr>
  </w:style>
  <w:style w:type="character" w:customStyle="1" w:styleId="48">
    <w:name w:val="标书一级标题 字符"/>
    <w:link w:val="49"/>
    <w:qFormat/>
    <w:uiPriority w:val="0"/>
    <w:rPr>
      <w:rFonts w:eastAsia="黑体"/>
      <w:bCs/>
      <w:color w:val="000000"/>
      <w:kern w:val="44"/>
      <w:sz w:val="30"/>
      <w:szCs w:val="24"/>
    </w:rPr>
  </w:style>
  <w:style w:type="paragraph" w:customStyle="1" w:styleId="49">
    <w:name w:val="标书一级标题"/>
    <w:basedOn w:val="3"/>
    <w:link w:val="48"/>
    <w:qFormat/>
    <w:uiPriority w:val="0"/>
    <w:pPr>
      <w:spacing w:before="0" w:after="0" w:line="240" w:lineRule="auto"/>
      <w:jc w:val="center"/>
    </w:pPr>
    <w:rPr>
      <w:rFonts w:eastAsia="黑体"/>
      <w:b w:val="0"/>
      <w:color w:val="000000"/>
      <w:sz w:val="30"/>
      <w:szCs w:val="24"/>
    </w:rPr>
  </w:style>
  <w:style w:type="character" w:customStyle="1" w:styleId="50">
    <w:name w:val="文档结构图 字符"/>
    <w:link w:val="8"/>
    <w:qFormat/>
    <w:uiPriority w:val="0"/>
    <w:rPr>
      <w:kern w:val="2"/>
      <w:sz w:val="24"/>
      <w:szCs w:val="24"/>
      <w:shd w:val="clear" w:color="auto" w:fill="000080"/>
    </w:rPr>
  </w:style>
  <w:style w:type="character" w:customStyle="1" w:styleId="51">
    <w:name w:val="纯文本 字符1"/>
    <w:link w:val="15"/>
    <w:qFormat/>
    <w:uiPriority w:val="0"/>
    <w:rPr>
      <w:rFonts w:ascii="宋体" w:hAnsi="Courier New" w:eastAsia="宋体"/>
      <w:kern w:val="2"/>
      <w:sz w:val="21"/>
      <w:lang w:val="en-US" w:eastAsia="zh-CN" w:bidi="ar-SA"/>
    </w:rPr>
  </w:style>
  <w:style w:type="character" w:customStyle="1" w:styleId="52">
    <w:name w:val="页眉 字符"/>
    <w:link w:val="21"/>
    <w:qFormat/>
    <w:uiPriority w:val="0"/>
    <w:rPr>
      <w:rFonts w:eastAsia="宋体"/>
      <w:kern w:val="2"/>
      <w:sz w:val="18"/>
      <w:szCs w:val="18"/>
      <w:lang w:val="en-US" w:eastAsia="zh-CN" w:bidi="ar-SA"/>
    </w:rPr>
  </w:style>
  <w:style w:type="character" w:customStyle="1" w:styleId="53">
    <w:name w:val="apple-converted-space"/>
    <w:basedOn w:val="34"/>
    <w:qFormat/>
    <w:uiPriority w:val="0"/>
  </w:style>
  <w:style w:type="character" w:customStyle="1" w:styleId="54">
    <w:name w:val="日期 字符"/>
    <w:link w:val="17"/>
    <w:qFormat/>
    <w:uiPriority w:val="0"/>
    <w:rPr>
      <w:kern w:val="2"/>
      <w:sz w:val="24"/>
      <w:szCs w:val="24"/>
    </w:rPr>
  </w:style>
  <w:style w:type="character" w:customStyle="1" w:styleId="55">
    <w:name w:val="标题 2 字符"/>
    <w:basedOn w:val="34"/>
    <w:link w:val="2"/>
    <w:qFormat/>
    <w:uiPriority w:val="0"/>
    <w:rPr>
      <w:rFonts w:ascii="Arial" w:hAnsi="Arial" w:eastAsia="黑体"/>
      <w:b/>
      <w:bCs/>
      <w:kern w:val="2"/>
      <w:sz w:val="32"/>
      <w:szCs w:val="32"/>
    </w:rPr>
  </w:style>
  <w:style w:type="character" w:customStyle="1" w:styleId="56">
    <w:name w:val="标题 1 字符"/>
    <w:link w:val="3"/>
    <w:qFormat/>
    <w:uiPriority w:val="0"/>
    <w:rPr>
      <w:b/>
      <w:bCs/>
      <w:kern w:val="44"/>
      <w:sz w:val="44"/>
      <w:szCs w:val="44"/>
    </w:rPr>
  </w:style>
  <w:style w:type="character" w:customStyle="1" w:styleId="57">
    <w:name w:val="纯文本 字符"/>
    <w:qFormat/>
    <w:uiPriority w:val="0"/>
    <w:rPr>
      <w:rFonts w:ascii="宋体" w:hAnsi="Courier New" w:eastAsia="宋体" w:cs="Times New Roman"/>
      <w:szCs w:val="20"/>
    </w:rPr>
  </w:style>
  <w:style w:type="character" w:customStyle="1" w:styleId="58">
    <w:name w:val="Char Char2"/>
    <w:qFormat/>
    <w:uiPriority w:val="0"/>
    <w:rPr>
      <w:rFonts w:ascii="宋体" w:hAnsi="Courier New" w:cs="宋体"/>
      <w:kern w:val="2"/>
      <w:sz w:val="21"/>
      <w:szCs w:val="21"/>
    </w:rPr>
  </w:style>
  <w:style w:type="character" w:customStyle="1" w:styleId="59">
    <w:name w:val="批注框文本 字符"/>
    <w:link w:val="19"/>
    <w:qFormat/>
    <w:uiPriority w:val="0"/>
    <w:rPr>
      <w:kern w:val="2"/>
      <w:sz w:val="18"/>
      <w:szCs w:val="18"/>
    </w:rPr>
  </w:style>
  <w:style w:type="character" w:customStyle="1" w:styleId="60">
    <w:name w:val="标题 字符"/>
    <w:link w:val="30"/>
    <w:qFormat/>
    <w:uiPriority w:val="0"/>
    <w:rPr>
      <w:rFonts w:ascii="Arial" w:hAnsi="Arial" w:cs="Arial"/>
      <w:b/>
      <w:bCs/>
      <w:kern w:val="2"/>
      <w:sz w:val="32"/>
      <w:szCs w:val="32"/>
    </w:rPr>
  </w:style>
  <w:style w:type="character" w:customStyle="1" w:styleId="61">
    <w:name w:val="BODY TEXT Char"/>
    <w:link w:val="62"/>
    <w:qFormat/>
    <w:uiPriority w:val="0"/>
    <w:rPr>
      <w:rFonts w:eastAsia="新宋体"/>
      <w:kern w:val="2"/>
      <w:sz w:val="21"/>
      <w:szCs w:val="21"/>
    </w:rPr>
  </w:style>
  <w:style w:type="paragraph" w:customStyle="1" w:styleId="62">
    <w:name w:val="正文文本1"/>
    <w:basedOn w:val="1"/>
    <w:link w:val="61"/>
    <w:qFormat/>
    <w:uiPriority w:val="0"/>
    <w:pPr>
      <w:adjustRightInd w:val="0"/>
      <w:spacing w:before="120" w:after="120" w:afterLines="50" w:line="280" w:lineRule="atLeast"/>
      <w:textAlignment w:val="baseline"/>
    </w:pPr>
    <w:rPr>
      <w:rFonts w:eastAsia="新宋体"/>
      <w:szCs w:val="21"/>
    </w:rPr>
  </w:style>
  <w:style w:type="character" w:customStyle="1" w:styleId="63">
    <w:name w:val="HTML Markup"/>
    <w:qFormat/>
    <w:uiPriority w:val="0"/>
    <w:rPr>
      <w:vanish/>
      <w:color w:val="FF0000"/>
    </w:rPr>
  </w:style>
  <w:style w:type="character" w:customStyle="1" w:styleId="64">
    <w:name w:val="Char Char5"/>
    <w:qFormat/>
    <w:uiPriority w:val="0"/>
    <w:rPr>
      <w:rFonts w:ascii="宋体" w:hAnsi="Courier New" w:eastAsia="宋体"/>
      <w:kern w:val="2"/>
      <w:sz w:val="21"/>
      <w:lang w:val="en-US" w:eastAsia="zh-CN" w:bidi="ar-SA"/>
    </w:rPr>
  </w:style>
  <w:style w:type="character" w:customStyle="1" w:styleId="65">
    <w:name w:val="标书正文格式 字符"/>
    <w:link w:val="66"/>
    <w:qFormat/>
    <w:uiPriority w:val="0"/>
    <w:rPr>
      <w:rFonts w:ascii="宋体" w:hAnsi="宋体"/>
      <w:color w:val="000000"/>
      <w:kern w:val="2"/>
      <w:sz w:val="24"/>
      <w:szCs w:val="24"/>
    </w:rPr>
  </w:style>
  <w:style w:type="paragraph" w:customStyle="1" w:styleId="66">
    <w:name w:val="标书正文格式"/>
    <w:basedOn w:val="15"/>
    <w:link w:val="65"/>
    <w:qFormat/>
    <w:uiPriority w:val="0"/>
    <w:pPr>
      <w:spacing w:line="360" w:lineRule="auto"/>
      <w:ind w:firstLine="200" w:firstLineChars="200"/>
    </w:pPr>
    <w:rPr>
      <w:rFonts w:hAnsi="宋体"/>
      <w:color w:val="000000"/>
      <w:sz w:val="24"/>
      <w:szCs w:val="24"/>
    </w:rPr>
  </w:style>
  <w:style w:type="character" w:customStyle="1" w:styleId="67">
    <w:name w:val="标书二级标题 字符"/>
    <w:link w:val="68"/>
    <w:qFormat/>
    <w:uiPriority w:val="0"/>
    <w:rPr>
      <w:rFonts w:ascii="宋体" w:hAnsi="宋体" w:eastAsia="黑体"/>
      <w:bCs/>
      <w:kern w:val="2"/>
      <w:sz w:val="28"/>
      <w:szCs w:val="30"/>
    </w:rPr>
  </w:style>
  <w:style w:type="paragraph" w:customStyle="1" w:styleId="68">
    <w:name w:val="标书二级标题"/>
    <w:basedOn w:val="2"/>
    <w:link w:val="67"/>
    <w:qFormat/>
    <w:uiPriority w:val="0"/>
    <w:pPr>
      <w:spacing w:before="0" w:after="0" w:line="240" w:lineRule="auto"/>
      <w:jc w:val="left"/>
    </w:pPr>
    <w:rPr>
      <w:rFonts w:ascii="宋体" w:hAnsi="宋体"/>
      <w:b w:val="0"/>
      <w:sz w:val="28"/>
      <w:szCs w:val="30"/>
    </w:rPr>
  </w:style>
  <w:style w:type="character" w:customStyle="1" w:styleId="69">
    <w:name w:val="标书表格 字符"/>
    <w:link w:val="70"/>
    <w:qFormat/>
    <w:uiPriority w:val="0"/>
    <w:rPr>
      <w:b/>
      <w:kern w:val="2"/>
      <w:sz w:val="21"/>
    </w:rPr>
  </w:style>
  <w:style w:type="paragraph" w:customStyle="1" w:styleId="70">
    <w:name w:val="标书表格"/>
    <w:basedOn w:val="1"/>
    <w:link w:val="69"/>
    <w:qFormat/>
    <w:uiPriority w:val="0"/>
    <w:pPr>
      <w:jc w:val="center"/>
    </w:pPr>
    <w:rPr>
      <w:b/>
    </w:rPr>
  </w:style>
  <w:style w:type="character" w:customStyle="1" w:styleId="71">
    <w:name w:val="标书三级标题 字符"/>
    <w:link w:val="72"/>
    <w:qFormat/>
    <w:uiPriority w:val="0"/>
    <w:rPr>
      <w:b/>
      <w:bCs/>
      <w:color w:val="000000"/>
      <w:kern w:val="2"/>
      <w:sz w:val="24"/>
      <w:szCs w:val="24"/>
    </w:rPr>
  </w:style>
  <w:style w:type="paragraph" w:customStyle="1" w:styleId="72">
    <w:name w:val="标书三级标题"/>
    <w:basedOn w:val="4"/>
    <w:next w:val="66"/>
    <w:link w:val="71"/>
    <w:qFormat/>
    <w:uiPriority w:val="0"/>
    <w:pPr>
      <w:spacing w:before="0" w:after="0" w:line="240" w:lineRule="auto"/>
      <w:ind w:firstLine="482" w:firstLineChars="200"/>
    </w:pPr>
    <w:rPr>
      <w:color w:val="000000"/>
      <w:sz w:val="24"/>
      <w:szCs w:val="24"/>
    </w:rPr>
  </w:style>
  <w:style w:type="character" w:customStyle="1" w:styleId="73">
    <w:name w:val="标正文 字符"/>
    <w:link w:val="74"/>
    <w:qFormat/>
    <w:uiPriority w:val="0"/>
    <w:rPr>
      <w:rFonts w:ascii="宋体" w:hAnsi="宋体"/>
      <w:color w:val="000000"/>
      <w:kern w:val="2"/>
      <w:sz w:val="24"/>
      <w:szCs w:val="24"/>
    </w:rPr>
  </w:style>
  <w:style w:type="paragraph" w:customStyle="1" w:styleId="74">
    <w:name w:val="标正文"/>
    <w:basedOn w:val="66"/>
    <w:link w:val="73"/>
    <w:qFormat/>
    <w:uiPriority w:val="0"/>
  </w:style>
  <w:style w:type="character" w:customStyle="1" w:styleId="75">
    <w:name w:val="标三级标题 字符"/>
    <w:link w:val="76"/>
    <w:qFormat/>
    <w:uiPriority w:val="0"/>
    <w:rPr>
      <w:b/>
      <w:bCs/>
      <w:color w:val="000000"/>
      <w:kern w:val="2"/>
      <w:sz w:val="24"/>
      <w:szCs w:val="24"/>
    </w:rPr>
  </w:style>
  <w:style w:type="paragraph" w:customStyle="1" w:styleId="76">
    <w:name w:val="标三级标题"/>
    <w:basedOn w:val="72"/>
    <w:link w:val="75"/>
    <w:qFormat/>
    <w:uiPriority w:val="0"/>
  </w:style>
  <w:style w:type="character" w:customStyle="1" w:styleId="77">
    <w:name w:val="批注文字 字符"/>
    <w:qFormat/>
    <w:uiPriority w:val="99"/>
    <w:rPr>
      <w:rFonts w:ascii="Times New Roman" w:hAnsi="Times New Roman"/>
      <w:kern w:val="2"/>
      <w:sz w:val="21"/>
    </w:rPr>
  </w:style>
  <w:style w:type="paragraph" w:customStyle="1" w:styleId="7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79">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80">
    <w:name w:val="列出段落1"/>
    <w:basedOn w:val="1"/>
    <w:qFormat/>
    <w:uiPriority w:val="0"/>
    <w:pPr>
      <w:ind w:firstLine="420" w:firstLineChars="200"/>
    </w:pPr>
    <w:rPr>
      <w:rFonts w:ascii="Calibri" w:hAnsi="Calibri"/>
      <w:szCs w:val="22"/>
    </w:rPr>
  </w:style>
  <w:style w:type="paragraph" w:styleId="81">
    <w:name w:val="List Paragraph"/>
    <w:basedOn w:val="1"/>
    <w:qFormat/>
    <w:uiPriority w:val="34"/>
    <w:pPr>
      <w:ind w:firstLine="420" w:firstLineChars="200"/>
    </w:pPr>
    <w:rPr>
      <w:rFonts w:ascii="Calibri" w:hAnsi="Calibri"/>
      <w:szCs w:val="22"/>
    </w:rPr>
  </w:style>
  <w:style w:type="paragraph" w:customStyle="1" w:styleId="82">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83">
    <w:name w:val="1列"/>
    <w:basedOn w:val="1"/>
    <w:qFormat/>
    <w:uiPriority w:val="0"/>
    <w:pPr>
      <w:spacing w:line="360" w:lineRule="auto"/>
      <w:ind w:left="401" w:hanging="401" w:hangingChars="191"/>
    </w:pPr>
    <w:rPr>
      <w:szCs w:val="24"/>
    </w:rPr>
  </w:style>
  <w:style w:type="paragraph" w:customStyle="1" w:styleId="84">
    <w:name w:val="Char Char Char Char Char Char Char"/>
    <w:basedOn w:val="1"/>
    <w:qFormat/>
    <w:uiPriority w:val="0"/>
    <w:rPr>
      <w:rFonts w:ascii="Verdana" w:hAnsi="Verdana"/>
      <w:kern w:val="0"/>
      <w:sz w:val="20"/>
      <w:lang w:eastAsia="en-US"/>
    </w:rPr>
  </w:style>
  <w:style w:type="paragraph" w:customStyle="1" w:styleId="85">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86">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88">
    <w:name w:val="二级列表 Char"/>
    <w:basedOn w:val="1"/>
    <w:qFormat/>
    <w:uiPriority w:val="0"/>
    <w:rPr>
      <w:rFonts w:ascii="Calibri" w:hAnsi="Calibri"/>
    </w:rPr>
  </w:style>
  <w:style w:type="paragraph" w:customStyle="1" w:styleId="8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90">
    <w:name w:val="纯文本 Char2"/>
    <w:qFormat/>
    <w:uiPriority w:val="0"/>
    <w:rPr>
      <w:rFonts w:ascii="宋体" w:hAnsi="Courier New" w:eastAsia="宋体"/>
      <w:kern w:val="2"/>
      <w:sz w:val="21"/>
      <w:lang w:val="en-US" w:eastAsia="zh-CN" w:bidi="ar-SA"/>
    </w:rPr>
  </w:style>
  <w:style w:type="character" w:customStyle="1" w:styleId="91">
    <w:name w:val="HR正文 Char1"/>
    <w:link w:val="92"/>
    <w:qFormat/>
    <w:uiPriority w:val="0"/>
    <w:rPr>
      <w:kern w:val="2"/>
      <w:sz w:val="24"/>
      <w:szCs w:val="24"/>
    </w:rPr>
  </w:style>
  <w:style w:type="paragraph" w:customStyle="1" w:styleId="92">
    <w:name w:val="HR正文"/>
    <w:basedOn w:val="1"/>
    <w:link w:val="91"/>
    <w:qFormat/>
    <w:uiPriority w:val="0"/>
    <w:pPr>
      <w:spacing w:line="300" w:lineRule="auto"/>
      <w:ind w:firstLine="200" w:firstLineChars="200"/>
    </w:pPr>
    <w:rPr>
      <w:sz w:val="24"/>
      <w:szCs w:val="24"/>
    </w:rPr>
  </w:style>
  <w:style w:type="character" w:customStyle="1" w:styleId="93">
    <w:name w:val="纯文本 Char1"/>
    <w:qFormat/>
    <w:uiPriority w:val="0"/>
    <w:rPr>
      <w:rFonts w:ascii="宋体" w:hAnsi="Courier New"/>
      <w:kern w:val="2"/>
      <w:sz w:val="21"/>
    </w:rPr>
  </w:style>
  <w:style w:type="character" w:customStyle="1" w:styleId="94">
    <w:name w:val="纯文本 字符2"/>
    <w:qFormat/>
    <w:uiPriority w:val="0"/>
    <w:rPr>
      <w:rFonts w:ascii="宋体" w:hAnsi="Courier New" w:eastAsia="宋体"/>
      <w:kern w:val="2"/>
      <w:sz w:val="21"/>
      <w:lang w:val="en-US" w:eastAsia="zh-CN" w:bidi="ar-SA"/>
    </w:rPr>
  </w:style>
  <w:style w:type="paragraph" w:customStyle="1" w:styleId="95">
    <w:name w:val="居中表格"/>
    <w:basedOn w:val="1"/>
    <w:qFormat/>
    <w:uiPriority w:val="0"/>
    <w:pPr>
      <w:jc w:val="center"/>
    </w:pPr>
    <w:rPr>
      <w:sz w:val="18"/>
    </w:rPr>
  </w:style>
  <w:style w:type="paragraph" w:customStyle="1" w:styleId="96">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97">
    <w:name w:val="List Paragraph1"/>
    <w:basedOn w:val="1"/>
    <w:qFormat/>
    <w:uiPriority w:val="99"/>
    <w:pPr>
      <w:ind w:firstLine="420" w:firstLineChars="200"/>
    </w:pPr>
    <w:rPr>
      <w:szCs w:val="24"/>
    </w:rPr>
  </w:style>
  <w:style w:type="character" w:customStyle="1" w:styleId="98">
    <w:name w:val="15"/>
    <w:basedOn w:val="34"/>
    <w:qFormat/>
    <w:uiPriority w:val="0"/>
    <w:rPr>
      <w:rFonts w:hint="eastAsia" w:ascii="宋体" w:hAnsi="宋体" w:eastAsia="宋体"/>
      <w:b/>
      <w:bCs/>
      <w:color w:val="000000"/>
      <w:sz w:val="20"/>
      <w:szCs w:val="20"/>
    </w:rPr>
  </w:style>
  <w:style w:type="character" w:customStyle="1" w:styleId="99">
    <w:name w:val="16"/>
    <w:basedOn w:val="34"/>
    <w:qFormat/>
    <w:uiPriority w:val="0"/>
    <w:rPr>
      <w:rFonts w:hint="eastAsia" w:ascii="宋体" w:hAnsi="宋体" w:eastAsia="宋体"/>
      <w:color w:val="000000"/>
      <w:sz w:val="22"/>
      <w:szCs w:val="22"/>
    </w:rPr>
  </w:style>
  <w:style w:type="character" w:customStyle="1" w:styleId="100">
    <w:name w:val="17"/>
    <w:basedOn w:val="34"/>
    <w:qFormat/>
    <w:uiPriority w:val="0"/>
    <w:rPr>
      <w:rFonts w:hint="eastAsia" w:ascii="宋体" w:hAnsi="宋体" w:eastAsia="宋体"/>
      <w:color w:val="FF0000"/>
      <w:sz w:val="22"/>
      <w:szCs w:val="22"/>
    </w:rPr>
  </w:style>
  <w:style w:type="character" w:customStyle="1" w:styleId="101">
    <w:name w:val="18"/>
    <w:basedOn w:val="34"/>
    <w:qFormat/>
    <w:uiPriority w:val="0"/>
    <w:rPr>
      <w:rFonts w:hint="eastAsia" w:ascii="宋体" w:hAnsi="宋体" w:eastAsia="宋体"/>
      <w:color w:val="000000"/>
      <w:sz w:val="22"/>
      <w:szCs w:val="22"/>
      <w:u w:val="single"/>
    </w:rPr>
  </w:style>
  <w:style w:type="character" w:customStyle="1" w:styleId="102">
    <w:name w:val="font01"/>
    <w:basedOn w:val="34"/>
    <w:qFormat/>
    <w:uiPriority w:val="0"/>
    <w:rPr>
      <w:rFonts w:hint="eastAsia" w:ascii="宋体" w:hAnsi="宋体" w:eastAsia="宋体" w:cs="宋体"/>
      <w:b/>
      <w:bCs/>
      <w:color w:val="000000"/>
      <w:sz w:val="20"/>
      <w:szCs w:val="20"/>
      <w:u w:val="none"/>
    </w:rPr>
  </w:style>
  <w:style w:type="character" w:customStyle="1" w:styleId="103">
    <w:name w:val="font51"/>
    <w:basedOn w:val="34"/>
    <w:qFormat/>
    <w:uiPriority w:val="0"/>
    <w:rPr>
      <w:rFonts w:hint="eastAsia" w:ascii="宋体" w:hAnsi="宋体" w:eastAsia="宋体" w:cs="宋体"/>
      <w:color w:val="FF0000"/>
      <w:sz w:val="22"/>
      <w:szCs w:val="22"/>
      <w:u w:val="none"/>
    </w:rPr>
  </w:style>
  <w:style w:type="character" w:customStyle="1" w:styleId="104">
    <w:name w:val="font21"/>
    <w:basedOn w:val="34"/>
    <w:qFormat/>
    <w:uiPriority w:val="0"/>
    <w:rPr>
      <w:rFonts w:hint="eastAsia" w:ascii="宋体" w:hAnsi="宋体" w:eastAsia="宋体" w:cs="宋体"/>
      <w:color w:val="000000"/>
      <w:sz w:val="22"/>
      <w:szCs w:val="22"/>
      <w:u w:val="none"/>
    </w:rPr>
  </w:style>
  <w:style w:type="character" w:customStyle="1" w:styleId="105">
    <w:name w:val="font31"/>
    <w:basedOn w:val="34"/>
    <w:qFormat/>
    <w:uiPriority w:val="0"/>
    <w:rPr>
      <w:rFonts w:hint="eastAsia" w:ascii="宋体" w:hAnsi="宋体" w:eastAsia="宋体" w:cs="宋体"/>
      <w:color w:val="00000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BA176D-2115-4C19-BEDB-83A673B2CD28}">
  <ds:schemaRefs/>
</ds:datastoreItem>
</file>

<file path=docProps/app.xml><?xml version="1.0" encoding="utf-8"?>
<Properties xmlns="http://schemas.openxmlformats.org/officeDocument/2006/extended-properties" xmlns:vt="http://schemas.openxmlformats.org/officeDocument/2006/docPropsVTypes">
  <Company>微软中国</Company>
  <Pages>42</Pages>
  <Words>17204</Words>
  <Characters>17760</Characters>
  <Lines>54</Lines>
  <Paragraphs>47</Paragraphs>
  <TotalTime>44</TotalTime>
  <ScaleCrop>false</ScaleCrop>
  <LinksUpToDate>false</LinksUpToDate>
  <CharactersWithSpaces>22486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2022-01-18T23:27:00Z</dcterms:created>
  <dc:creator>微软用户</dc:creator>
  <cp:lastModifiedBy>SIngle_Man</cp:lastModifiedBy>
  <cp:lastPrinted>2019-10-15T14:20:00Z</cp:lastPrinted>
  <dcterms:modified xsi:type="dcterms:W3CDTF">2023-07-05T01:35:45Z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2C2FA427C5E74715A34B0CF8F194AFCA</vt:lpwstr>
  </property>
</Properties>
</file>