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智能辅助驾驶L2+系统电气测试台架</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技改项目</w:t>
      </w:r>
      <w:r>
        <w:rPr>
          <w:rFonts w:ascii="Calibri" w:hAnsi="Calibri" w:eastAsia="宋体" w:cs="Times New Roman"/>
          <w:b/>
          <w:bCs/>
          <w:color w:val="000000"/>
          <w:spacing w:val="-8"/>
          <w:sz w:val="48"/>
          <w:szCs w:val="44"/>
        </w:rPr>
        <w:t xml:space="preserve"> </w:t>
      </w:r>
    </w:p>
    <w:p>
      <w:pPr>
        <w:jc w:val="right"/>
        <w:rPr>
          <w:rFonts w:hint="eastAsia" w:ascii="Calibri" w:hAnsi="Calibri" w:eastAsia="宋体" w:cs="Times New Roman"/>
          <w:color w:val="000000"/>
          <w:sz w:val="28"/>
          <w:szCs w:val="28"/>
          <w:lang w:eastAsia="zh-CN"/>
        </w:rPr>
      </w:pPr>
      <w:r>
        <w:rPr>
          <w:rFonts w:hint="eastAsia" w:ascii="Calibri" w:hAnsi="Calibri" w:eastAsia="宋体" w:cs="Times New Roman"/>
          <w:color w:val="000000"/>
          <w:sz w:val="28"/>
          <w:szCs w:val="28"/>
          <w:lang w:val="en-US" w:eastAsia="zh-CN"/>
        </w:rPr>
        <w:t xml:space="preserve">                                    </w:t>
      </w:r>
    </w:p>
    <w:p>
      <w:pPr>
        <w:pStyle w:val="2"/>
        <w:rPr>
          <w:rFonts w:hint="eastAsia"/>
          <w:lang w:eastAsia="zh-CN"/>
        </w:rPr>
      </w:pPr>
    </w:p>
    <w:p>
      <w:pPr>
        <w:pStyle w:val="2"/>
        <w:rPr>
          <w:rFonts w:hint="eastAsia"/>
          <w:lang w:eastAsia="zh-CN"/>
        </w:rPr>
      </w:pPr>
    </w:p>
    <w:p>
      <w:pPr>
        <w:pStyle w:val="2"/>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color w:val="auto"/>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_Toc29012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_Toc29012 \h </w:instrText>
          </w:r>
          <w:r>
            <w:rPr>
              <w:color w:val="auto"/>
            </w:rPr>
            <w:fldChar w:fldCharType="separate"/>
          </w:r>
          <w:r>
            <w:rPr>
              <w:color w:val="auto"/>
            </w:rPr>
            <w:t>3</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_Toc3580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w:t>
          </w:r>
          <w:r>
            <w:rPr>
              <w:rFonts w:hint="eastAsia" w:ascii="Calibri" w:hAnsi="Calibri" w:eastAsia="宋体" w:cs="Times New Roman"/>
              <w:bCs/>
              <w:color w:val="auto"/>
              <w:kern w:val="44"/>
              <w:szCs w:val="44"/>
              <w:lang w:val="en-US" w:eastAsia="zh-CN"/>
            </w:rPr>
            <w:t>二</w:t>
          </w:r>
          <w:r>
            <w:rPr>
              <w:rFonts w:hint="eastAsia" w:ascii="Calibri" w:hAnsi="Calibri" w:eastAsia="宋体" w:cs="Times New Roman"/>
              <w:bCs/>
              <w:color w:val="auto"/>
              <w:kern w:val="44"/>
              <w:szCs w:val="44"/>
            </w:rPr>
            <w:t>部分 投标须知</w:t>
          </w:r>
          <w:r>
            <w:rPr>
              <w:color w:val="auto"/>
            </w:rPr>
            <w:tab/>
          </w:r>
          <w:r>
            <w:rPr>
              <w:color w:val="auto"/>
            </w:rPr>
            <w:fldChar w:fldCharType="begin"/>
          </w:r>
          <w:r>
            <w:rPr>
              <w:color w:val="auto"/>
            </w:rPr>
            <w:instrText xml:space="preserve"> PAGEREF _Toc3580 \h </w:instrText>
          </w:r>
          <w:r>
            <w:rPr>
              <w:color w:val="auto"/>
            </w:rPr>
            <w:fldChar w:fldCharType="separate"/>
          </w:r>
          <w:r>
            <w:rPr>
              <w:color w:val="auto"/>
            </w:rPr>
            <w:t>7</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_Toc8916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lang w:val="en-US" w:eastAsia="zh-CN"/>
            </w:rPr>
            <w:t>第三部分</w:t>
          </w:r>
          <w:r>
            <w:rPr>
              <w:rFonts w:hint="eastAsia" w:ascii="Calibri" w:hAnsi="Calibri" w:eastAsia="宋体" w:cs="Times New Roman"/>
              <w:bCs/>
              <w:color w:val="auto"/>
              <w:kern w:val="44"/>
              <w:szCs w:val="44"/>
            </w:rPr>
            <w:t xml:space="preserve"> 投标文件编制</w:t>
          </w:r>
          <w:r>
            <w:rPr>
              <w:color w:val="auto"/>
            </w:rPr>
            <w:tab/>
          </w:r>
          <w:r>
            <w:rPr>
              <w:color w:val="auto"/>
            </w:rPr>
            <w:fldChar w:fldCharType="begin"/>
          </w:r>
          <w:r>
            <w:rPr>
              <w:color w:val="auto"/>
            </w:rPr>
            <w:instrText xml:space="preserve"> PAGEREF _Toc8916 \h </w:instrText>
          </w:r>
          <w:r>
            <w:rPr>
              <w:color w:val="auto"/>
            </w:rPr>
            <w:fldChar w:fldCharType="separate"/>
          </w:r>
          <w:r>
            <w:rPr>
              <w:color w:val="auto"/>
            </w:rPr>
            <w:t>13</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_Toc8576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w:t>
          </w:r>
          <w:r>
            <w:rPr>
              <w:rFonts w:hint="eastAsia" w:ascii="Calibri" w:hAnsi="Calibri" w:eastAsia="宋体" w:cs="Times New Roman"/>
              <w:bCs/>
              <w:color w:val="auto"/>
              <w:kern w:val="44"/>
              <w:szCs w:val="44"/>
              <w:lang w:val="en-US" w:eastAsia="zh-CN"/>
            </w:rPr>
            <w:t>四</w:t>
          </w:r>
          <w:r>
            <w:rPr>
              <w:rFonts w:hint="eastAsia" w:ascii="Calibri" w:hAnsi="Calibri" w:eastAsia="宋体" w:cs="Times New Roman"/>
              <w:bCs/>
              <w:color w:val="auto"/>
              <w:kern w:val="44"/>
              <w:szCs w:val="44"/>
            </w:rPr>
            <w:t>部分 技术标书</w:t>
          </w:r>
          <w:r>
            <w:rPr>
              <w:color w:val="auto"/>
            </w:rPr>
            <w:tab/>
          </w:r>
          <w:r>
            <w:rPr>
              <w:color w:val="auto"/>
            </w:rPr>
            <w:fldChar w:fldCharType="begin"/>
          </w:r>
          <w:r>
            <w:rPr>
              <w:color w:val="auto"/>
            </w:rPr>
            <w:instrText xml:space="preserve"> PAGEREF _Toc8576 \h </w:instrText>
          </w:r>
          <w:r>
            <w:rPr>
              <w:color w:val="auto"/>
            </w:rPr>
            <w:fldChar w:fldCharType="separate"/>
          </w:r>
          <w:r>
            <w:rPr>
              <w:color w:val="auto"/>
            </w:rPr>
            <w:t>16</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_Toc21201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一</w:t>
          </w:r>
          <w:r>
            <w:rPr>
              <w:rFonts w:hint="eastAsia"/>
              <w:color w:val="auto"/>
            </w:rPr>
            <w:t>章  采购货物概况</w:t>
          </w:r>
          <w:r>
            <w:rPr>
              <w:color w:val="auto"/>
            </w:rPr>
            <w:tab/>
          </w:r>
          <w:r>
            <w:rPr>
              <w:color w:val="auto"/>
            </w:rPr>
            <w:fldChar w:fldCharType="begin"/>
          </w:r>
          <w:r>
            <w:rPr>
              <w:color w:val="auto"/>
            </w:rPr>
            <w:instrText xml:space="preserve"> PAGEREF _Toc21201 \h </w:instrText>
          </w:r>
          <w:r>
            <w:rPr>
              <w:color w:val="auto"/>
            </w:rPr>
            <w:fldChar w:fldCharType="separate"/>
          </w:r>
          <w:r>
            <w:rPr>
              <w:color w:val="auto"/>
            </w:rPr>
            <w:t>17</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_Toc18454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二</w:t>
          </w:r>
          <w:r>
            <w:rPr>
              <w:rFonts w:hint="eastAsia"/>
              <w:color w:val="auto"/>
            </w:rPr>
            <w:t>章  技术要求</w:t>
          </w:r>
          <w:r>
            <w:rPr>
              <w:color w:val="auto"/>
            </w:rPr>
            <w:tab/>
          </w:r>
          <w:r>
            <w:rPr>
              <w:color w:val="auto"/>
            </w:rPr>
            <w:fldChar w:fldCharType="begin"/>
          </w:r>
          <w:r>
            <w:rPr>
              <w:color w:val="auto"/>
            </w:rPr>
            <w:instrText xml:space="preserve"> PAGEREF _Toc18454 \h </w:instrText>
          </w:r>
          <w:r>
            <w:rPr>
              <w:color w:val="auto"/>
            </w:rPr>
            <w:fldChar w:fldCharType="separate"/>
          </w:r>
          <w:r>
            <w:rPr>
              <w:color w:val="auto"/>
            </w:rPr>
            <w:t>19</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_Toc22796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三</w:t>
          </w:r>
          <w:r>
            <w:rPr>
              <w:rFonts w:hint="eastAsia"/>
              <w:color w:val="auto"/>
            </w:rPr>
            <w:t>章  供货范围及供货方式</w:t>
          </w:r>
          <w:r>
            <w:rPr>
              <w:color w:val="auto"/>
            </w:rPr>
            <w:tab/>
          </w:r>
          <w:r>
            <w:rPr>
              <w:color w:val="auto"/>
            </w:rPr>
            <w:fldChar w:fldCharType="begin"/>
          </w:r>
          <w:r>
            <w:rPr>
              <w:color w:val="auto"/>
            </w:rPr>
            <w:instrText xml:space="preserve"> PAGEREF _Toc22796 \h </w:instrText>
          </w:r>
          <w:r>
            <w:rPr>
              <w:color w:val="auto"/>
            </w:rPr>
            <w:fldChar w:fldCharType="separate"/>
          </w:r>
          <w:r>
            <w:rPr>
              <w:color w:val="auto"/>
            </w:rPr>
            <w:t>22</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_Toc28295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四</w:t>
          </w:r>
          <w:r>
            <w:rPr>
              <w:rFonts w:hint="eastAsia"/>
              <w:color w:val="auto"/>
            </w:rPr>
            <w:t>章  质保期及售后服务</w:t>
          </w:r>
          <w:r>
            <w:rPr>
              <w:color w:val="auto"/>
            </w:rPr>
            <w:tab/>
          </w:r>
          <w:r>
            <w:rPr>
              <w:color w:val="auto"/>
            </w:rPr>
            <w:fldChar w:fldCharType="begin"/>
          </w:r>
          <w:r>
            <w:rPr>
              <w:color w:val="auto"/>
            </w:rPr>
            <w:instrText xml:space="preserve"> PAGEREF _Toc28295 \h </w:instrText>
          </w:r>
          <w:r>
            <w:rPr>
              <w:color w:val="auto"/>
            </w:rPr>
            <w:fldChar w:fldCharType="separate"/>
          </w:r>
          <w:r>
            <w:rPr>
              <w:color w:val="auto"/>
            </w:rPr>
            <w:t>26</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_Toc17653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五</w:t>
          </w:r>
          <w:r>
            <w:rPr>
              <w:rFonts w:hint="eastAsia"/>
              <w:color w:val="auto"/>
            </w:rPr>
            <w:t>章  预验收和终验收</w:t>
          </w:r>
          <w:r>
            <w:rPr>
              <w:color w:val="auto"/>
            </w:rPr>
            <w:tab/>
          </w:r>
          <w:r>
            <w:rPr>
              <w:color w:val="auto"/>
            </w:rPr>
            <w:fldChar w:fldCharType="begin"/>
          </w:r>
          <w:r>
            <w:rPr>
              <w:color w:val="auto"/>
            </w:rPr>
            <w:instrText xml:space="preserve"> PAGEREF _Toc17653 \h </w:instrText>
          </w:r>
          <w:r>
            <w:rPr>
              <w:color w:val="auto"/>
            </w:rPr>
            <w:fldChar w:fldCharType="separate"/>
          </w:r>
          <w:r>
            <w:rPr>
              <w:color w:val="auto"/>
            </w:rPr>
            <w:t xml:space="preserve"> 28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_Toc27967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六</w:t>
          </w:r>
          <w:r>
            <w:rPr>
              <w:rFonts w:hint="eastAsia"/>
              <w:color w:val="auto"/>
            </w:rPr>
            <w:t>章  投标技术文件一般要求</w:t>
          </w:r>
          <w:r>
            <w:rPr>
              <w:color w:val="auto"/>
            </w:rPr>
            <w:tab/>
          </w:r>
          <w:r>
            <w:rPr>
              <w:color w:val="auto"/>
            </w:rPr>
            <w:fldChar w:fldCharType="begin"/>
          </w:r>
          <w:r>
            <w:rPr>
              <w:color w:val="auto"/>
            </w:rPr>
            <w:instrText xml:space="preserve"> PAGEREF _Toc27967 \h </w:instrText>
          </w:r>
          <w:r>
            <w:rPr>
              <w:color w:val="auto"/>
            </w:rPr>
            <w:fldChar w:fldCharType="separate"/>
          </w:r>
          <w:r>
            <w:rPr>
              <w:color w:val="auto"/>
            </w:rPr>
            <w:t xml:space="preserve"> 30</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ind w:firstLine="422" w:firstLineChars="200"/>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_Toc24849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eastAsia="zh-CN"/>
            </w:rPr>
            <w:t>七</w:t>
          </w:r>
          <w:r>
            <w:rPr>
              <w:rFonts w:hint="eastAsia"/>
              <w:color w:val="auto"/>
            </w:rPr>
            <w:t>章  其它要求及说明</w:t>
          </w:r>
          <w:r>
            <w:rPr>
              <w:color w:val="auto"/>
            </w:rPr>
            <w:tab/>
          </w:r>
          <w:r>
            <w:rPr>
              <w:color w:val="auto"/>
            </w:rPr>
            <w:fldChar w:fldCharType="begin"/>
          </w:r>
          <w:r>
            <w:rPr>
              <w:color w:val="auto"/>
            </w:rPr>
            <w:instrText xml:space="preserve"> PAGEREF _Toc24849 \h </w:instrText>
          </w:r>
          <w:r>
            <w:rPr>
              <w:color w:val="auto"/>
            </w:rPr>
            <w:fldChar w:fldCharType="separate"/>
          </w:r>
          <w:r>
            <w:rPr>
              <w:color w:val="auto"/>
            </w:rPr>
            <w:t>32</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_Toc12601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w:t>
          </w:r>
          <w:r>
            <w:rPr>
              <w:rFonts w:hint="eastAsia" w:ascii="宋体" w:hAnsi="宋体" w:eastAsia="宋体" w:cs="Times New Roman"/>
              <w:color w:val="auto"/>
              <w:szCs w:val="36"/>
              <w:lang w:val="en-US" w:eastAsia="zh-CN"/>
            </w:rPr>
            <w:t>五</w:t>
          </w:r>
          <w:r>
            <w:rPr>
              <w:rFonts w:hint="eastAsia" w:ascii="宋体" w:hAnsi="宋体" w:eastAsia="宋体" w:cs="Times New Roman"/>
              <w:color w:val="auto"/>
              <w:szCs w:val="36"/>
            </w:rPr>
            <w:t>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_Toc12601 \h </w:instrText>
          </w:r>
          <w:r>
            <w:rPr>
              <w:color w:val="auto"/>
            </w:rPr>
            <w:fldChar w:fldCharType="separate"/>
          </w:r>
          <w:r>
            <w:rPr>
              <w:color w:val="auto"/>
            </w:rPr>
            <w:t>34</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_Toc10455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w:t>
          </w:r>
          <w:r>
            <w:rPr>
              <w:rFonts w:hint="eastAsia" w:ascii="Calibri" w:hAnsi="Calibri" w:eastAsia="宋体" w:cs="Times New Roman"/>
              <w:bCs/>
              <w:color w:val="auto"/>
              <w:kern w:val="44"/>
              <w:szCs w:val="44"/>
              <w:lang w:val="en-US" w:eastAsia="zh-CN"/>
            </w:rPr>
            <w:t>六</w:t>
          </w:r>
          <w:r>
            <w:rPr>
              <w:rFonts w:hint="eastAsia" w:ascii="Calibri" w:hAnsi="Calibri" w:eastAsia="宋体" w:cs="Times New Roman"/>
              <w:bCs/>
              <w:color w:val="auto"/>
              <w:kern w:val="44"/>
              <w:szCs w:val="44"/>
            </w:rPr>
            <w:t>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_Toc10455 \h </w:instrText>
          </w:r>
          <w:r>
            <w:rPr>
              <w:color w:val="auto"/>
            </w:rPr>
            <w:fldChar w:fldCharType="separate"/>
          </w:r>
          <w:r>
            <w:rPr>
              <w:color w:val="auto"/>
            </w:rPr>
            <w:t>47</w:t>
          </w:r>
          <w:r>
            <w:rPr>
              <w:color w:val="auto"/>
            </w:rPr>
            <w:fldChar w:fldCharType="end"/>
          </w:r>
          <w:r>
            <w:rPr>
              <w:rFonts w:hint="eastAsia" w:ascii="Calibri" w:hAnsi="Calibri" w:eastAsia="宋体" w:cs="Times New Roman"/>
              <w:bCs/>
              <w:color w:val="auto"/>
              <w:kern w:val="44"/>
              <w:szCs w:val="44"/>
            </w:rPr>
            <w:fldChar w:fldCharType="end"/>
          </w:r>
        </w:p>
        <w:p>
          <w:pPr>
            <w:pStyle w:val="2"/>
            <w:spacing w:line="480" w:lineRule="auto"/>
            <w:jc w:val="center"/>
            <w:rPr>
              <w:rFonts w:ascii="Calibri" w:hAnsi="Calibri" w:eastAsia="宋体" w:cs="Times New Roman"/>
              <w:b/>
              <w:bCs/>
              <w:color w:val="auto"/>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w:t>
      </w:r>
      <w:bookmarkStart w:id="3" w:name="_Toc31722"/>
      <w:bookmarkStart w:id="4" w:name="_Toc29012"/>
      <w:r>
        <w:rPr>
          <w:rFonts w:hint="eastAsia" w:ascii="Calibri" w:hAnsi="Calibri" w:eastAsia="宋体" w:cs="Times New Roman"/>
          <w:b/>
          <w:bCs/>
          <w:kern w:val="44"/>
          <w:sz w:val="36"/>
          <w:szCs w:val="44"/>
        </w:rPr>
        <w:t>投标须知前附表</w:t>
      </w:r>
      <w:bookmarkEnd w:id="2"/>
      <w:bookmarkEnd w:id="3"/>
      <w:bookmarkEnd w:id="4"/>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5"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Times New Roman"/>
                <w:b w:val="0"/>
                <w:bCs w:val="0"/>
                <w:color w:val="000000"/>
                <w:spacing w:val="0"/>
                <w:sz w:val="24"/>
                <w:szCs w:val="24"/>
                <w:lang w:val="en-US" w:eastAsia="zh-CN"/>
              </w:rPr>
              <w:t>智能辅助驾驶L2+系统电气测试台架技改项目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ascii="宋体" w:hAnsi="宋体" w:eastAsia="宋体" w:cs="Times New Roman"/>
                <w:i w:val="0"/>
                <w:iCs w:val="0"/>
                <w:caps w:val="0"/>
                <w:color w:val="000000"/>
                <w:spacing w:val="0"/>
                <w:sz w:val="24"/>
                <w:szCs w:val="24"/>
                <w:shd w:val="clear"/>
              </w:rPr>
              <w:t>CGZX2023030248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default" w:ascii="宋体" w:hAnsi="宋体" w:eastAsia="宋体" w:cs="Times New Roman"/>
                <w:b w:val="0"/>
                <w:bCs w:val="0"/>
                <w:color w:val="000000"/>
                <w:spacing w:val="0"/>
                <w:sz w:val="24"/>
                <w:szCs w:val="24"/>
                <w:lang w:val="en-US"/>
              </w:rPr>
              <w:t>智能辅助驾驶L2+系统电气测试台架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pPr>
              <w:pStyle w:val="2"/>
              <w:ind w:firstLine="482" w:firstLineChars="200"/>
              <w:rPr>
                <w:rFonts w:hint="default"/>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yellow"/>
                <w:lang w:val="en-US" w:eastAsia="zh-CN"/>
              </w:rPr>
              <w:t>17860607157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yellow"/>
                <w:lang w:val="en-US" w:eastAsia="zh-CN"/>
              </w:rPr>
              <w:t>gaobo1@sinotruk.com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2019年1月1日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的公司财务报表（资产负债表、损益表、现金流量表）未显示异常；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default" w:hAnsi="宋体" w:eastAsia="宋体" w:cs="宋体"/>
                <w:color w:val="000000"/>
                <w:sz w:val="24"/>
                <w:szCs w:val="24"/>
                <w:highlight w:val="none"/>
                <w:lang w:val="en-US" w:eastAsia="zh-CN"/>
              </w:rPr>
            </w:pPr>
            <w:r>
              <w:rPr>
                <w:rFonts w:hint="eastAsia" w:hAnsi="宋体" w:eastAsia="宋体" w:cs="宋体"/>
                <w:b w:val="0"/>
                <w:bCs w:val="0"/>
                <w:color w:val="000000"/>
                <w:sz w:val="24"/>
                <w:szCs w:val="24"/>
                <w:highlight w:val="none"/>
                <w:lang w:val="en-US" w:eastAsia="zh-CN"/>
              </w:rPr>
              <w:t>13.本项目不接受联合体投标，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”（附件14）</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w:t>
            </w:r>
            <w:r>
              <w:rPr>
                <w:rFonts w:hint="eastAsia" w:eastAsia="宋体" w:cs="宋体"/>
                <w:b/>
                <w:color w:val="000000"/>
                <w:sz w:val="24"/>
                <w:szCs w:val="24"/>
                <w:highlight w:val="none"/>
                <w:lang w:val="en-US" w:eastAsia="zh-CN"/>
              </w:rPr>
              <w:t>5</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0</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6</w:t>
            </w:r>
            <w:r>
              <w:rPr>
                <w:rFonts w:hint="eastAsia" w:eastAsia="宋体" w:cs="宋体"/>
                <w:highlight w:val="yellow"/>
              </w:rPr>
              <w:t>月</w:t>
            </w:r>
            <w:r>
              <w:rPr>
                <w:rFonts w:hint="eastAsia" w:eastAsia="宋体" w:cs="宋体"/>
                <w:highlight w:val="yellow"/>
                <w:lang w:val="en-US" w:eastAsia="zh-CN"/>
              </w:rPr>
              <w:t>7</w:t>
            </w:r>
            <w:r>
              <w:rPr>
                <w:rFonts w:hint="eastAsia" w:eastAsia="宋体" w:cs="宋体"/>
                <w:highlight w:val="yellow"/>
              </w:rPr>
              <w:t>日</w:t>
            </w:r>
            <w:r>
              <w:rPr>
                <w:rFonts w:hint="eastAsia" w:eastAsia="宋体" w:cs="宋体"/>
                <w:highlight w:val="yellow"/>
                <w:lang w:val="en-US" w:eastAsia="zh-CN"/>
              </w:rPr>
              <w:t>17时17分00秒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正本一份，副本两份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w:t>
            </w:r>
            <w:r>
              <w:rPr>
                <w:rFonts w:hint="eastAsia" w:hAnsi="宋体" w:eastAsia="宋体" w:cs="Times New Roman"/>
                <w:color w:val="000000"/>
                <w:sz w:val="24"/>
                <w:szCs w:val="24"/>
                <w:highlight w:val="yellow"/>
                <w:lang w:eastAsia="zh-CN"/>
              </w:rPr>
              <w:t>高新区华奥路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6</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cyan"/>
              </w:rPr>
            </w:pPr>
            <w:r>
              <w:rPr>
                <w:rFonts w:hint="eastAsia" w:ascii="宋体" w:hAnsi="宋体" w:eastAsia="宋体" w:cs="宋体"/>
                <w:b/>
                <w:bCs/>
                <w:sz w:val="24"/>
                <w:szCs w:val="24"/>
                <w:highlight w:val="cyan"/>
              </w:rPr>
              <w:t>投标保证金的金额：</w:t>
            </w:r>
            <w:r>
              <w:rPr>
                <w:rFonts w:hint="eastAsia" w:ascii="宋体" w:hAnsi="宋体" w:eastAsia="宋体" w:cs="宋体"/>
                <w:sz w:val="24"/>
                <w:szCs w:val="24"/>
                <w:highlight w:val="cyan"/>
              </w:rPr>
              <w:t>人民币</w:t>
            </w:r>
            <w:r>
              <w:rPr>
                <w:rFonts w:hint="eastAsia" w:ascii="宋体" w:hAnsi="宋体" w:eastAsia="宋体" w:cs="宋体"/>
                <w:sz w:val="24"/>
                <w:szCs w:val="24"/>
                <w:highlight w:val="cyan"/>
                <w:lang w:val="en-US" w:eastAsia="zh-CN"/>
              </w:rPr>
              <w:t>5000</w:t>
            </w:r>
            <w:r>
              <w:rPr>
                <w:rFonts w:hint="eastAsia" w:ascii="宋体" w:hAnsi="宋体" w:eastAsia="宋体" w:cs="宋体"/>
                <w:sz w:val="24"/>
                <w:szCs w:val="24"/>
                <w:highlight w:val="cyan"/>
              </w:rPr>
              <w:t>.</w:t>
            </w:r>
            <w:r>
              <w:rPr>
                <w:rFonts w:hint="eastAsia" w:ascii="宋体" w:hAnsi="宋体" w:eastAsia="宋体" w:cs="宋体"/>
                <w:sz w:val="24"/>
                <w:szCs w:val="24"/>
                <w:highlight w:val="cyan"/>
                <w:lang w:val="en-US" w:eastAsia="zh-CN"/>
              </w:rPr>
              <w:t>00</w:t>
            </w:r>
            <w:r>
              <w:rPr>
                <w:rFonts w:hint="eastAsia" w:ascii="宋体" w:hAnsi="宋体" w:eastAsia="宋体" w:cs="宋体"/>
                <w:sz w:val="24"/>
                <w:szCs w:val="24"/>
                <w:highlight w:val="cyan"/>
              </w:rPr>
              <w:t>元</w:t>
            </w:r>
          </w:p>
          <w:p>
            <w:pPr>
              <w:tabs>
                <w:tab w:val="left" w:pos="932"/>
              </w:tabs>
              <w:ind w:firstLine="482" w:firstLineChars="200"/>
              <w:rPr>
                <w:rFonts w:ascii="宋体" w:hAnsi="宋体" w:eastAsia="宋体" w:cs="宋体"/>
                <w:color w:val="000000"/>
                <w:kern w:val="0"/>
                <w:sz w:val="24"/>
                <w:szCs w:val="24"/>
                <w:highlight w:val="cyan"/>
              </w:rPr>
            </w:pPr>
            <w:r>
              <w:rPr>
                <w:rFonts w:hint="eastAsia" w:ascii="宋体" w:hAnsi="宋体" w:eastAsia="宋体" w:cs="宋体"/>
                <w:b/>
                <w:bCs/>
                <w:color w:val="000000"/>
                <w:kern w:val="0"/>
                <w:sz w:val="24"/>
                <w:szCs w:val="24"/>
                <w:highlight w:val="cyan"/>
              </w:rPr>
              <w:t>开户名称：</w:t>
            </w:r>
            <w:r>
              <w:rPr>
                <w:rFonts w:hint="eastAsia" w:ascii="宋体" w:hAnsi="宋体" w:eastAsia="宋体" w:cs="宋体"/>
                <w:color w:val="000000"/>
                <w:kern w:val="0"/>
                <w:sz w:val="24"/>
                <w:szCs w:val="24"/>
                <w:highlight w:val="cyan"/>
              </w:rPr>
              <w:t>中国重汽集团济南动力有限公司</w:t>
            </w:r>
          </w:p>
          <w:p>
            <w:pPr>
              <w:tabs>
                <w:tab w:val="left" w:pos="932"/>
              </w:tabs>
              <w:ind w:firstLine="482" w:firstLineChars="200"/>
              <w:rPr>
                <w:rFonts w:ascii="宋体" w:hAnsi="宋体" w:eastAsia="宋体" w:cs="宋体"/>
                <w:color w:val="000000"/>
                <w:kern w:val="0"/>
                <w:sz w:val="24"/>
                <w:szCs w:val="24"/>
                <w:highlight w:val="cyan"/>
              </w:rPr>
            </w:pPr>
            <w:r>
              <w:rPr>
                <w:rFonts w:hint="eastAsia" w:ascii="宋体" w:hAnsi="宋体" w:eastAsia="宋体" w:cs="宋体"/>
                <w:b/>
                <w:bCs/>
                <w:color w:val="000000"/>
                <w:kern w:val="0"/>
                <w:sz w:val="24"/>
                <w:szCs w:val="24"/>
                <w:highlight w:val="cyan"/>
              </w:rPr>
              <w:t>开户银行：</w:t>
            </w:r>
            <w:r>
              <w:rPr>
                <w:rFonts w:hint="eastAsia" w:ascii="宋体" w:hAnsi="宋体" w:eastAsia="宋体" w:cs="宋体"/>
                <w:color w:val="000000"/>
                <w:kern w:val="0"/>
                <w:sz w:val="24"/>
                <w:szCs w:val="24"/>
                <w:highlight w:val="cyan"/>
              </w:rPr>
              <w:t>兴业银行股份有限公司济南分行营业部</w:t>
            </w:r>
          </w:p>
          <w:p>
            <w:pPr>
              <w:tabs>
                <w:tab w:val="left" w:pos="932"/>
              </w:tabs>
              <w:ind w:firstLine="482" w:firstLineChars="200"/>
              <w:rPr>
                <w:rFonts w:ascii="宋体" w:hAnsi="宋体" w:eastAsia="宋体" w:cs="宋体"/>
                <w:color w:val="000000"/>
                <w:kern w:val="0"/>
                <w:sz w:val="24"/>
                <w:szCs w:val="24"/>
                <w:highlight w:val="cyan"/>
              </w:rPr>
            </w:pPr>
            <w:r>
              <w:rPr>
                <w:rFonts w:hint="eastAsia" w:ascii="宋体" w:hAnsi="宋体" w:eastAsia="宋体" w:cs="宋体"/>
                <w:b/>
                <w:bCs/>
                <w:color w:val="000000"/>
                <w:kern w:val="0"/>
                <w:sz w:val="24"/>
                <w:szCs w:val="24"/>
                <w:highlight w:val="cyan"/>
              </w:rPr>
              <w:t>银行帐号：</w:t>
            </w:r>
            <w:r>
              <w:rPr>
                <w:rFonts w:hint="eastAsia" w:ascii="宋体" w:hAnsi="宋体" w:eastAsia="宋体" w:cs="宋体"/>
                <w:color w:val="000000"/>
                <w:kern w:val="0"/>
                <w:sz w:val="24"/>
                <w:szCs w:val="24"/>
                <w:highlight w:val="cyan"/>
              </w:rPr>
              <w:t>376010100101373547</w:t>
            </w:r>
          </w:p>
          <w:p>
            <w:pPr>
              <w:ind w:firstLine="482" w:firstLineChars="200"/>
              <w:rPr>
                <w:rFonts w:ascii="宋体" w:hAnsi="宋体" w:eastAsia="宋体" w:cs="宋体"/>
                <w:sz w:val="24"/>
                <w:szCs w:val="24"/>
                <w:highlight w:val="cyan"/>
              </w:rPr>
            </w:pPr>
            <w:r>
              <w:rPr>
                <w:rFonts w:hint="eastAsia" w:ascii="宋体" w:hAnsi="宋体" w:eastAsia="宋体" w:cs="宋体"/>
                <w:b/>
                <w:bCs/>
                <w:color w:val="000000"/>
                <w:kern w:val="0"/>
                <w:sz w:val="24"/>
                <w:szCs w:val="24"/>
                <w:highlight w:val="cyan"/>
              </w:rPr>
              <w:t>开户行联号：</w:t>
            </w:r>
            <w:r>
              <w:rPr>
                <w:rFonts w:hint="eastAsia" w:ascii="宋体" w:hAnsi="宋体" w:eastAsia="宋体" w:cs="宋体"/>
                <w:color w:val="000000"/>
                <w:kern w:val="0"/>
                <w:sz w:val="24"/>
                <w:szCs w:val="24"/>
                <w:highlight w:val="cyan"/>
              </w:rPr>
              <w:t>309451013018</w:t>
            </w:r>
          </w:p>
          <w:p>
            <w:pPr>
              <w:ind w:firstLine="480" w:firstLineChars="200"/>
              <w:rPr>
                <w:rFonts w:hint="eastAsia" w:ascii="宋体" w:hAnsi="宋体" w:eastAsia="宋体" w:cs="宋体"/>
                <w:sz w:val="24"/>
                <w:szCs w:val="24"/>
                <w:highlight w:val="cyan"/>
              </w:rPr>
            </w:pPr>
            <w:r>
              <w:rPr>
                <w:rFonts w:hint="eastAsia" w:ascii="宋体" w:hAnsi="宋体" w:eastAsia="宋体" w:cs="宋体"/>
                <w:sz w:val="24"/>
                <w:szCs w:val="24"/>
                <w:highlight w:val="cyan"/>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cyan"/>
              </w:rPr>
              <w:t>转账附言：公司名称+项目名称+投标保证金</w:t>
            </w:r>
            <w:r>
              <w:rPr>
                <w:rFonts w:hint="eastAsia" w:eastAsia="宋体" w:cs="Times New Roman"/>
                <w:sz w:val="24"/>
                <w:szCs w:val="28"/>
                <w:highlight w:val="cyan"/>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w:t>
            </w:r>
            <w:bookmarkStart w:id="176" w:name="_GoBack"/>
            <w:bookmarkEnd w:id="176"/>
            <w:r>
              <w:rPr>
                <w:rFonts w:hint="eastAsia" w:ascii="宋体" w:hAnsi="宋体" w:cs="宋体"/>
                <w:sz w:val="24"/>
                <w:szCs w:val="24"/>
                <w:highlight w:val="none"/>
              </w:rPr>
              <w:t>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kern w:val="0"/>
                <w:sz w:val="24"/>
                <w:szCs w:val="24"/>
                <w:highlight w:val="yellow"/>
              </w:rPr>
              <w:t>同投标文件递交截止时间。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济南市高新区华奥路777号重汽科技大厦2610会议室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资质标审核→商务标评审。选取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具体详见</w:t>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w:t>
            </w:r>
            <w:r>
              <w:rPr>
                <w:rFonts w:hint="eastAsia" w:hAnsi="宋体" w:eastAsia="宋体" w:cs="宋体"/>
                <w:color w:val="000000"/>
                <w:sz w:val="24"/>
                <w:szCs w:val="24"/>
                <w:highlight w:val="none"/>
              </w:rPr>
              <w:t>超过</w:t>
            </w:r>
            <w:r>
              <w:rPr>
                <w:rFonts w:hint="eastAsia" w:hAnsi="宋体" w:eastAsia="宋体" w:cs="宋体"/>
                <w:color w:val="000000"/>
                <w:sz w:val="24"/>
                <w:szCs w:val="24"/>
                <w:highlight w:val="none"/>
                <w:lang w:val="en-US" w:eastAsia="zh-CN"/>
              </w:rPr>
              <w:t>10天</w:t>
            </w:r>
            <w:r>
              <w:rPr>
                <w:rFonts w:hint="eastAsia" w:hAnsi="宋体" w:eastAsia="宋体" w:cs="宋体"/>
                <w:color w:val="000000"/>
                <w:sz w:val="24"/>
                <w:szCs w:val="24"/>
                <w:highlight w:val="none"/>
              </w:rPr>
              <w:t>的</w:t>
            </w:r>
            <w:r>
              <w:rPr>
                <w:rFonts w:hint="eastAsia" w:hAnsi="宋体" w:eastAsia="宋体" w:cs="宋体"/>
                <w:color w:val="000000"/>
                <w:sz w:val="24"/>
                <w:szCs w:val="24"/>
              </w:rPr>
              <w:t>，投标人应当随标书提供详细的工期计划。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w:t>
            </w:r>
            <w:r>
              <w:rPr>
                <w:rFonts w:hint="eastAsia" w:hAnsi="宋体" w:eastAsia="宋体" w:cs="宋体"/>
                <w:color w:val="000000"/>
                <w:sz w:val="24"/>
                <w:szCs w:val="24"/>
              </w:rPr>
              <w:t>点：济南市高新区华奥路777号重汽科技大厦。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none"/>
              </w:rPr>
              <w:t>：</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（1）设备全部到齐，经现场安装调试验收合格交付使用后，卖方提交金额为合同价款90%的收据并附带下列单据，经买方依照财务制度审核无误后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工作日内支付合同价款的</w:t>
            </w:r>
            <w:r>
              <w:rPr>
                <w:rFonts w:hint="eastAsia" w:hAnsi="宋体" w:eastAsia="宋体" w:cs="宋体"/>
                <w:b/>
                <w:bCs/>
                <w:color w:val="000000"/>
                <w:sz w:val="24"/>
                <w:szCs w:val="24"/>
                <w:highlight w:val="none"/>
              </w:rPr>
              <w:t>90%</w:t>
            </w:r>
            <w:r>
              <w:rPr>
                <w:rFonts w:hint="eastAsia" w:hAnsi="宋体" w:eastAsia="宋体" w:cs="宋体"/>
                <w:color w:val="000000"/>
                <w:sz w:val="24"/>
                <w:szCs w:val="24"/>
                <w:highlight w:val="none"/>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rPr>
              <w:t>100%</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宋体" w:eastAsia="宋体" w:cs="宋体"/>
                <w:bCs/>
                <w:sz w:val="24"/>
                <w:szCs w:val="24"/>
                <w:highlight w:val="none"/>
              </w:rPr>
              <w:t>(2)</w:t>
            </w:r>
            <w:r>
              <w:rPr>
                <w:rFonts w:hint="eastAsia" w:ascii="宋体" w:hAnsi="Courier New" w:eastAsia="宋体" w:cs="Times New Roman"/>
                <w:color w:val="000000"/>
                <w:sz w:val="24"/>
                <w:szCs w:val="24"/>
                <w:highlight w:val="none"/>
              </w:rPr>
              <w:t>合同总价款的10%作为本合同约定设备的质量保证金，质量保证金在质量保证期内不计利息。待每套合同设备质量保证期满，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w:t>
            </w:r>
            <w:r>
              <w:rPr>
                <w:rFonts w:hint="eastAsia" w:ascii="宋体" w:hAnsi="宋体" w:eastAsia="宋体" w:cs="宋体"/>
                <w:sz w:val="24"/>
                <w:szCs w:val="24"/>
              </w:rPr>
              <w:t>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5"/>
    </w:tbl>
    <w:p>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6" w:name="_Toc3580"/>
      <w:bookmarkStart w:id="7" w:name="_Toc15609"/>
      <w:bookmarkStart w:id="8" w:name="_Toc19718"/>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6"/>
      <w:bookmarkEnd w:id="7"/>
      <w:bookmarkEnd w:id="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9" w:name="OLE_LINK1"/>
      <w:r>
        <w:rPr>
          <w:rFonts w:hint="eastAsia" w:ascii="宋体" w:hAnsi="宋体" w:eastAsia="宋体" w:cs="宋体"/>
          <w:color w:val="000000"/>
          <w:sz w:val="24"/>
          <w:szCs w:val="24"/>
          <w:highlight w:val="none"/>
        </w:rPr>
        <w:t>见《投标须知前附表》。</w:t>
      </w:r>
    </w:p>
    <w:bookmarkEnd w:id="9"/>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按照中国重汽e采通“SRM非生产供应商注册手册（附件14）”进行注册</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10准备资料并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w:t>
      </w:r>
      <w:r>
        <w:rPr>
          <w:rFonts w:hint="eastAsia" w:ascii="宋体" w:hAnsi="宋体" w:eastAsia="宋体" w:cs="宋体"/>
          <w:sz w:val="24"/>
          <w:szCs w:val="24"/>
          <w:highlight w:val="none"/>
        </w:rPr>
        <w:t>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w:t>
      </w:r>
      <w:r>
        <w:rPr>
          <w:rFonts w:hint="eastAsia" w:ascii="宋体" w:hAnsi="宋体" w:eastAsia="宋体" w:cs="宋体"/>
          <w:sz w:val="24"/>
          <w:szCs w:val="24"/>
          <w:highlight w:val="none"/>
        </w:rPr>
        <w:t>名方式：见《投标须知前附表》2.3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highlight w:val="none"/>
        </w:rPr>
      </w:pPr>
      <w:bookmarkStart w:id="10" w:name="_Toc33266627"/>
      <w:bookmarkStart w:id="11" w:name="_Toc33285487"/>
      <w:bookmarkStart w:id="12" w:name="_Toc33266950"/>
      <w:bookmarkStart w:id="13" w:name="_Toc33265752"/>
      <w:bookmarkStart w:id="14" w:name="_Toc33265653"/>
      <w:bookmarkStart w:id="15" w:name="_Toc33267001"/>
      <w:bookmarkStart w:id="16" w:name="_Toc33266914"/>
      <w:r>
        <w:rPr>
          <w:rFonts w:hint="eastAsia" w:ascii="宋体" w:hAnsi="宋体" w:eastAsia="宋体" w:cs="宋体"/>
          <w:b/>
          <w:bCs w:val="0"/>
          <w:sz w:val="24"/>
          <w:szCs w:val="24"/>
          <w:highlight w:val="none"/>
        </w:rPr>
        <w:t>六、评价原则</w:t>
      </w:r>
      <w:bookmarkEnd w:id="10"/>
      <w:bookmarkEnd w:id="11"/>
      <w:bookmarkEnd w:id="12"/>
      <w:bookmarkEnd w:id="13"/>
      <w:bookmarkEnd w:id="14"/>
      <w:bookmarkEnd w:id="15"/>
      <w:bookmarkEnd w:id="16"/>
      <w:bookmarkStart w:id="17" w:name="_Toc395116633"/>
    </w:p>
    <w:bookmarkEnd w:id="17"/>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合理最低价中标</w:t>
      </w:r>
      <w:bookmarkStart w:id="18" w:name="_Toc33266951"/>
      <w:bookmarkStart w:id="19" w:name="_Toc33265654"/>
      <w:bookmarkStart w:id="20" w:name="_Toc33265753"/>
      <w:bookmarkStart w:id="21" w:name="_Toc33285489"/>
      <w:bookmarkStart w:id="22" w:name="_Toc395116634"/>
      <w:bookmarkStart w:id="23" w:name="_Toc33266628"/>
      <w:bookmarkStart w:id="24" w:name="_Toc33266915"/>
      <w:bookmarkStart w:id="25" w:name="_Toc33267002"/>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满足技术要求</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8"/>
    <w:bookmarkEnd w:id="19"/>
    <w:bookmarkEnd w:id="20"/>
    <w:bookmarkEnd w:id="21"/>
    <w:bookmarkEnd w:id="22"/>
    <w:bookmarkEnd w:id="23"/>
    <w:bookmarkEnd w:id="24"/>
    <w:bookmarkEnd w:id="25"/>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w:t>
      </w:r>
      <w:r>
        <w:rPr>
          <w:rFonts w:hint="eastAsia" w:ascii="宋体" w:hAnsi="宋体" w:eastAsia="宋体" w:cs="宋体"/>
          <w:b/>
          <w:bCs/>
          <w:color w:val="000000"/>
          <w:sz w:val="24"/>
          <w:szCs w:val="24"/>
          <w:highlight w:val="yellow"/>
        </w:rPr>
        <w:t>1.1-1.</w:t>
      </w:r>
      <w:r>
        <w:rPr>
          <w:rFonts w:hint="eastAsia" w:ascii="宋体" w:hAnsi="宋体" w:eastAsia="宋体" w:cs="宋体"/>
          <w:b/>
          <w:bCs/>
          <w:color w:val="000000"/>
          <w:sz w:val="24"/>
          <w:szCs w:val="24"/>
          <w:highlight w:val="yellow"/>
          <w:lang w:val="en-US" w:eastAsia="zh-CN"/>
        </w:rPr>
        <w:t>10</w:t>
      </w:r>
      <w:r>
        <w:rPr>
          <w:rFonts w:hint="eastAsia" w:ascii="宋体" w:hAnsi="宋体" w:eastAsia="宋体" w:cs="宋体"/>
          <w:b/>
          <w:bCs/>
          <w:color w:val="000000"/>
          <w:sz w:val="24"/>
          <w:szCs w:val="24"/>
          <w:highlight w:val="none"/>
          <w:lang w:val="en-US" w:eastAsia="zh-CN"/>
        </w:rPr>
        <w:t>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按照“SRM系统供应商用户手册（附件15）”，在重汽e采通平台投递电子标书（包含资质标、技术标、商务标）；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1"/>
          <w:numId w:val="0"/>
        </w:numPr>
        <w:spacing w:line="360" w:lineRule="auto"/>
        <w:ind w:left="0" w:firstLine="482" w:firstLineChars="20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2.中标人确定</w:t>
      </w:r>
    </w:p>
    <w:p>
      <w:pPr>
        <w:numPr>
          <w:ilvl w:val="-1"/>
          <w:numId w:val="0"/>
        </w:numPr>
        <w:spacing w:line="360" w:lineRule="auto"/>
        <w:ind w:left="0"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合理最低价中标</w:t>
      </w:r>
      <w:r>
        <w:rPr>
          <w:rFonts w:hint="eastAsia" w:ascii="宋体" w:hAnsi="宋体" w:eastAsia="宋体" w:cs="宋体"/>
          <w:b/>
          <w:bCs/>
          <w:color w:val="000000"/>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6" w:name="OLE_LINK25"/>
      <w:bookmarkStart w:id="27" w:name="OLE_LINK28"/>
      <w:bookmarkStart w:id="28" w:name="OLE_LINK26"/>
      <w:bookmarkStart w:id="29" w:name="OLE_LINK29"/>
      <w:bookmarkStart w:id="30" w:name="OLE_LINK27"/>
      <w:r>
        <w:rPr>
          <w:rFonts w:hint="eastAsia" w:ascii="宋体" w:hAnsi="宋体" w:eastAsia="宋体" w:cs="宋体"/>
          <w:bCs/>
          <w:sz w:val="24"/>
          <w:szCs w:val="24"/>
        </w:rPr>
        <w:t>；</w:t>
      </w:r>
      <w:bookmarkEnd w:id="26"/>
      <w:bookmarkEnd w:id="27"/>
      <w:bookmarkEnd w:id="28"/>
      <w:bookmarkEnd w:id="29"/>
      <w:bookmarkEnd w:id="30"/>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31" w:name="_Toc8916"/>
      <w:bookmarkStart w:id="32" w:name="_Toc31850"/>
      <w:bookmarkStart w:id="33"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31"/>
      <w:bookmarkEnd w:id="32"/>
      <w:bookmarkEnd w:id="33"/>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1.4近三年财务报表（资产负债表、损益表、现金流量表）复印件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1.10投标保证金缴纳凭证。</w:t>
      </w:r>
    </w:p>
    <w:p>
      <w:pPr>
        <w:spacing w:line="360" w:lineRule="auto"/>
        <w:ind w:firstLine="482" w:firstLineChars="200"/>
        <w:rPr>
          <w:rFonts w:hint="eastAsia" w:ascii="宋体" w:hAnsi="宋体" w:eastAsia="宋体" w:cs="宋体"/>
          <w:b/>
          <w:bCs/>
          <w:sz w:val="24"/>
          <w:szCs w:val="24"/>
          <w:highlight w:val="none"/>
        </w:rPr>
      </w:pPr>
      <w:bookmarkStart w:id="34"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34"/>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提供2019年1月1日以来同类产品的制造销售业绩</w:t>
      </w: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）填写</w:t>
      </w:r>
      <w:r>
        <w:rPr>
          <w:rFonts w:hint="eastAsia" w:ascii="宋体" w:hAnsi="宋体" w:eastAsia="宋体" w:cs="宋体"/>
          <w:color w:val="000000"/>
          <w:sz w:val="24"/>
          <w:szCs w:val="24"/>
        </w:rPr>
        <w:t>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w:t>
      </w:r>
      <w:r>
        <w:rPr>
          <w:rFonts w:hint="eastAsia" w:ascii="宋体" w:hAnsi="宋体" w:eastAsia="宋体" w:cs="宋体"/>
          <w:color w:val="000000"/>
          <w:sz w:val="24"/>
          <w:szCs w:val="24"/>
          <w:lang w:eastAsia="zh-CN"/>
        </w:rPr>
        <w:t>详细方案（含方案图纸）、</w:t>
      </w:r>
      <w:r>
        <w:rPr>
          <w:rFonts w:hint="eastAsia" w:ascii="宋体" w:hAnsi="宋体" w:eastAsia="宋体" w:cs="宋体"/>
          <w:color w:val="000000"/>
          <w:sz w:val="24"/>
          <w:szCs w:val="24"/>
        </w:rPr>
        <w:t>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35" w:name="_Toc536542319"/>
      <w:r>
        <w:rPr>
          <w:rFonts w:hint="eastAsia" w:ascii="宋体" w:hAnsi="宋体" w:eastAsia="宋体" w:cs="宋体"/>
          <w:color w:val="000000"/>
          <w:sz w:val="24"/>
          <w:szCs w:val="24"/>
        </w:rPr>
        <w:t>2.6投标产品技术支持材料</w:t>
      </w:r>
      <w:bookmarkEnd w:id="35"/>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6" w:name="OLE_LINK18"/>
      <w:bookmarkStart w:id="37" w:name="OLE_LINK19"/>
      <w:r>
        <w:rPr>
          <w:rFonts w:hint="eastAsia" w:ascii="宋体" w:hAnsi="宋体" w:eastAsia="宋体" w:cs="宋体"/>
          <w:b/>
          <w:color w:val="000000"/>
          <w:sz w:val="24"/>
          <w:szCs w:val="24"/>
        </w:rPr>
        <w:t>；</w:t>
      </w:r>
      <w:bookmarkEnd w:id="36"/>
      <w:bookmarkEnd w:id="37"/>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8" w:name="_Toc995"/>
      <w:bookmarkStart w:id="39" w:name="_Toc9849"/>
      <w:bookmarkStart w:id="40" w:name="_Toc8576"/>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8"/>
      <w:bookmarkEnd w:id="39"/>
      <w:bookmarkEnd w:id="40"/>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智能辅助驾驶L2+系统电气测试台架</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技改项目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5</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pStyle w:val="130"/>
        <w:rPr>
          <w:rFonts w:hint="eastAsia"/>
        </w:rPr>
      </w:pPr>
      <w:bookmarkStart w:id="41" w:name="_Toc21201"/>
      <w:bookmarkStart w:id="42" w:name="_Toc17530"/>
      <w:bookmarkStart w:id="43" w:name="_Toc169605877"/>
      <w:r>
        <w:rPr>
          <w:rFonts w:hint="eastAsia"/>
        </w:rPr>
        <w:t>第</w:t>
      </w:r>
      <w:r>
        <w:rPr>
          <w:rFonts w:hint="eastAsia"/>
          <w:lang w:eastAsia="zh-CN"/>
        </w:rPr>
        <w:t>一</w:t>
      </w:r>
      <w:r>
        <w:rPr>
          <w:rFonts w:hint="eastAsia"/>
        </w:rPr>
        <w:t>章  采购货物概况</w:t>
      </w:r>
      <w:bookmarkEnd w:id="41"/>
      <w:bookmarkEnd w:id="42"/>
    </w:p>
    <w:p>
      <w:pPr>
        <w:pStyle w:val="112"/>
        <w:rPr>
          <w:rFonts w:hint="eastAsia"/>
        </w:rPr>
      </w:pPr>
      <w:bookmarkStart w:id="44" w:name="_Toc465187639"/>
      <w:r>
        <w:rPr>
          <w:rFonts w:hint="eastAsia"/>
        </w:rPr>
        <w:t>第一节  使用环境</w:t>
      </w:r>
      <w:bookmarkEnd w:id="44"/>
    </w:p>
    <w:p>
      <w:pPr>
        <w:spacing w:line="600" w:lineRule="exact"/>
        <w:ind w:firstLine="455" w:firstLineChars="217"/>
        <w:rPr>
          <w:rFonts w:ascii="黑体" w:hAnsi="宋体" w:eastAsia="黑体"/>
          <w:color w:val="000000"/>
        </w:rPr>
      </w:pPr>
      <w:r>
        <w:rPr>
          <w:rFonts w:hint="eastAsia" w:ascii="黑体" w:hAnsi="宋体" w:eastAsia="黑体"/>
          <w:color w:val="000000"/>
        </w:rPr>
        <w:t>一、项目名称：</w:t>
      </w:r>
      <w:r>
        <w:rPr>
          <w:rFonts w:hint="eastAsia" w:ascii="黑体" w:hAnsi="宋体" w:eastAsia="黑体"/>
          <w:color w:val="000000"/>
          <w:u w:val="single"/>
        </w:rPr>
        <w:t xml:space="preserve">    </w:t>
      </w:r>
      <w:r>
        <w:rPr>
          <w:rFonts w:hint="eastAsia" w:ascii="黑体" w:hAnsi="宋体" w:eastAsia="黑体"/>
          <w:color w:val="000000"/>
          <w:u w:val="single"/>
          <w:shd w:val="pct10" w:color="auto" w:fill="FFFFFF"/>
        </w:rPr>
        <w:t xml:space="preserve">  </w:t>
      </w:r>
      <w:r>
        <w:rPr>
          <w:rFonts w:hint="eastAsia" w:ascii="黑体" w:hAnsi="宋体" w:eastAsia="黑体"/>
          <w:color w:val="000000"/>
          <w:u w:val="single"/>
          <w:shd w:val="pct10" w:color="auto" w:fill="FFFFFF"/>
          <w:lang w:eastAsia="zh-CN"/>
        </w:rPr>
        <w:t>智能辅助驾驶L2+系统电气测试台架技改项目</w:t>
      </w:r>
      <w:r>
        <w:rPr>
          <w:rFonts w:hint="eastAsia" w:ascii="黑体" w:hAnsi="宋体" w:eastAsia="黑体"/>
          <w:color w:val="000000"/>
          <w:u w:val="single"/>
          <w:shd w:val="pct10" w:color="auto" w:fill="FFFFFF"/>
        </w:rPr>
        <w:t xml:space="preserve">       </w:t>
      </w:r>
    </w:p>
    <w:p>
      <w:pPr>
        <w:spacing w:line="420" w:lineRule="exact"/>
        <w:ind w:firstLine="420" w:firstLineChars="200"/>
        <w:rPr>
          <w:rFonts w:ascii="黑体" w:hAnsi="宋体" w:eastAsia="黑体"/>
          <w:color w:val="000000"/>
        </w:rPr>
      </w:pPr>
      <w:r>
        <w:rPr>
          <w:rFonts w:hint="eastAsia" w:ascii="黑体" w:hAnsi="宋体" w:eastAsia="黑体"/>
          <w:color w:val="000000"/>
        </w:rPr>
        <w:t>二、建设地点：</w:t>
      </w:r>
      <w:r>
        <w:rPr>
          <w:rFonts w:hint="eastAsia" w:ascii="黑体" w:hAnsi="宋体" w:eastAsia="黑体"/>
          <w:color w:val="000000"/>
          <w:u w:val="single"/>
        </w:rPr>
        <w:t xml:space="preserve">      </w:t>
      </w:r>
      <w:r>
        <w:rPr>
          <w:rFonts w:hint="eastAsia" w:ascii="黑体" w:hAnsi="宋体" w:eastAsia="黑体"/>
          <w:color w:val="000000"/>
          <w:u w:val="single"/>
          <w:shd w:val="pct10" w:color="auto" w:fill="FFFFFF"/>
        </w:rPr>
        <w:t>中国重汽集团济南动力有限公司</w:t>
      </w:r>
      <w:r>
        <w:rPr>
          <w:rFonts w:hint="eastAsia" w:ascii="黑体" w:hAnsi="宋体" w:eastAsia="黑体"/>
          <w:color w:val="000000"/>
          <w:u w:val="single"/>
          <w:shd w:val="pct10" w:color="auto" w:fill="FFFFFF"/>
          <w:lang w:val="en-US" w:eastAsia="zh-CN"/>
        </w:rPr>
        <w:t>汽车研究总院</w:t>
      </w:r>
      <w:r>
        <w:rPr>
          <w:rFonts w:hint="eastAsia" w:ascii="黑体" w:hAnsi="宋体" w:eastAsia="黑体"/>
          <w:color w:val="000000"/>
          <w:u w:val="single"/>
          <w:shd w:val="pct10" w:color="auto" w:fill="FFFFFF"/>
        </w:rPr>
        <w:t xml:space="preserve">  </w:t>
      </w:r>
    </w:p>
    <w:p>
      <w:pPr>
        <w:spacing w:line="420" w:lineRule="exact"/>
        <w:ind w:firstLine="420" w:firstLineChars="200"/>
        <w:rPr>
          <w:rFonts w:ascii="宋体" w:hAnsi="宋体" w:eastAsia="黑体"/>
          <w:color w:val="000000"/>
        </w:rPr>
      </w:pPr>
      <w:r>
        <w:rPr>
          <w:rFonts w:hint="eastAsia" w:ascii="黑体" w:hAnsi="宋体" w:eastAsia="黑体"/>
          <w:color w:val="000000"/>
        </w:rPr>
        <w:t>三、存放地点：</w:t>
      </w:r>
      <w:r>
        <w:rPr>
          <w:rFonts w:hint="eastAsia" w:ascii="黑体" w:hAnsi="宋体" w:eastAsia="黑体"/>
          <w:color w:val="000000"/>
          <w:u w:val="single"/>
        </w:rPr>
        <w:t xml:space="preserve">    </w:t>
      </w:r>
      <w:r>
        <w:rPr>
          <w:rFonts w:hint="eastAsia" w:ascii="黑体" w:hAnsi="宋体" w:eastAsia="黑体"/>
          <w:color w:val="000000"/>
          <w:u w:val="single"/>
          <w:shd w:val="pct10" w:color="auto" w:fill="FFFFFF"/>
          <w:lang w:val="en-US" w:eastAsia="zh-CN"/>
        </w:rPr>
        <w:t>济南市高新区华奥路777号</w:t>
      </w:r>
      <w:r>
        <w:rPr>
          <w:rFonts w:hint="eastAsia" w:ascii="黑体" w:hAnsi="宋体" w:eastAsia="黑体"/>
          <w:color w:val="000000"/>
          <w:u w:val="single"/>
          <w:shd w:val="pct10" w:color="auto" w:fill="FFFFFF"/>
        </w:rPr>
        <w:t xml:space="preserve">       </w:t>
      </w:r>
    </w:p>
    <w:p>
      <w:pPr>
        <w:spacing w:line="420" w:lineRule="exact"/>
        <w:ind w:firstLine="420" w:firstLineChars="200"/>
        <w:rPr>
          <w:rFonts w:hint="eastAsia" w:ascii="宋体" w:hAnsi="宋体"/>
          <w:color w:val="000000"/>
        </w:rPr>
      </w:pPr>
      <w:r>
        <w:rPr>
          <w:rFonts w:hint="eastAsia" w:ascii="黑体" w:hAnsi="宋体" w:eastAsia="黑体"/>
          <w:color w:val="000000"/>
        </w:rPr>
        <w:t>四、工作制度：</w:t>
      </w:r>
      <w:r>
        <w:rPr>
          <w:rFonts w:hint="eastAsia" w:ascii="宋体" w:hAnsi="宋体"/>
          <w:color w:val="000000"/>
        </w:rPr>
        <w:t>全年工作</w:t>
      </w:r>
      <w:r>
        <w:rPr>
          <w:rFonts w:hint="eastAsia" w:ascii="宋体" w:hAnsi="宋体"/>
          <w:color w:val="000000"/>
          <w:u w:val="single"/>
          <w:shd w:val="pct10" w:color="auto" w:fill="FFFFFF"/>
        </w:rPr>
        <w:t xml:space="preserve"> 350</w:t>
      </w:r>
      <w:r>
        <w:rPr>
          <w:rFonts w:hint="eastAsia" w:ascii="宋体" w:hAnsi="宋体"/>
          <w:color w:val="000000"/>
        </w:rPr>
        <w:t>天、</w:t>
      </w:r>
      <w:r>
        <w:rPr>
          <w:rFonts w:hint="eastAsia" w:ascii="宋体" w:hAnsi="宋体"/>
          <w:color w:val="000000"/>
          <w:u w:val="single"/>
          <w:shd w:val="pct10" w:color="auto" w:fill="FFFFFF"/>
        </w:rPr>
        <w:t xml:space="preserve"> </w:t>
      </w:r>
      <w:r>
        <w:rPr>
          <w:rFonts w:hint="eastAsia" w:ascii="宋体" w:hAnsi="宋体"/>
          <w:color w:val="000000"/>
          <w:u w:val="single"/>
          <w:shd w:val="pct10" w:color="auto" w:fill="FFFFFF"/>
          <w:lang w:val="en-US" w:eastAsia="zh-CN"/>
        </w:rPr>
        <w:t>一</w:t>
      </w:r>
      <w:r>
        <w:rPr>
          <w:rFonts w:hint="eastAsia" w:ascii="宋体" w:hAnsi="宋体"/>
          <w:color w:val="000000"/>
          <w:u w:val="single"/>
          <w:shd w:val="pct10" w:color="auto" w:fill="FFFFFF"/>
        </w:rPr>
        <w:t xml:space="preserve"> </w:t>
      </w:r>
      <w:r>
        <w:rPr>
          <w:rFonts w:hint="eastAsia" w:ascii="宋体" w:hAnsi="宋体"/>
          <w:color w:val="000000"/>
        </w:rPr>
        <w:t>班制、设备年时基数</w:t>
      </w:r>
      <w:r>
        <w:rPr>
          <w:rFonts w:hint="eastAsia" w:ascii="宋体" w:hAnsi="宋体"/>
          <w:color w:val="000000"/>
          <w:u w:val="single"/>
          <w:shd w:val="pct10" w:color="auto" w:fill="FFFFFF"/>
        </w:rPr>
        <w:t xml:space="preserve"> </w:t>
      </w:r>
      <w:r>
        <w:rPr>
          <w:rFonts w:hint="eastAsia" w:ascii="宋体" w:hAnsi="宋体"/>
          <w:color w:val="000000"/>
          <w:u w:val="single"/>
          <w:shd w:val="pct10" w:color="auto" w:fill="FFFFFF"/>
          <w:lang w:val="en-US" w:eastAsia="zh-CN"/>
        </w:rPr>
        <w:t>2800</w:t>
      </w:r>
      <w:r>
        <w:rPr>
          <w:rFonts w:hint="eastAsia" w:ascii="宋体" w:hAnsi="宋体"/>
          <w:color w:val="000000"/>
          <w:u w:val="single"/>
          <w:shd w:val="pct10" w:color="auto" w:fill="FFFFFF"/>
        </w:rPr>
        <w:t xml:space="preserve"> </w:t>
      </w:r>
      <w:r>
        <w:rPr>
          <w:rFonts w:hint="eastAsia" w:ascii="宋体" w:hAnsi="宋体"/>
          <w:color w:val="000000"/>
        </w:rPr>
        <w:t>小时</w:t>
      </w:r>
    </w:p>
    <w:p>
      <w:pPr>
        <w:spacing w:line="420" w:lineRule="exact"/>
        <w:ind w:firstLine="420" w:firstLineChars="200"/>
        <w:rPr>
          <w:rFonts w:hint="eastAsia" w:ascii="宋体" w:hAnsi="宋体"/>
          <w:color w:val="000000"/>
        </w:rPr>
      </w:pPr>
      <w:r>
        <w:rPr>
          <w:rFonts w:hint="eastAsia" w:ascii="黑体" w:hAnsi="宋体" w:eastAsia="黑体"/>
          <w:color w:val="000000"/>
        </w:rPr>
        <w:t>五、使用地点区域自然环境：</w:t>
      </w:r>
      <w:r>
        <w:rPr>
          <w:rFonts w:hint="eastAsia" w:ascii="宋体" w:hAnsi="宋体"/>
          <w:color w:val="000000"/>
        </w:rPr>
        <w:t xml:space="preserve"> </w:t>
      </w:r>
    </w:p>
    <w:p>
      <w:pPr>
        <w:spacing w:line="420" w:lineRule="exact"/>
        <w:ind w:firstLine="420" w:firstLineChars="200"/>
        <w:rPr>
          <w:rFonts w:hint="eastAsia" w:ascii="宋体" w:hAnsi="宋体"/>
          <w:bCs/>
          <w:color w:val="000000"/>
        </w:rPr>
      </w:pPr>
      <w:r>
        <w:rPr>
          <w:rFonts w:hint="eastAsia" w:ascii="宋体" w:hAnsi="宋体"/>
          <w:bCs/>
          <w:color w:val="000000"/>
        </w:rPr>
        <w:t>1、海拔高度：4000</w:t>
      </w:r>
      <w:r>
        <w:rPr>
          <w:rFonts w:ascii="宋体" w:hAnsi="宋体"/>
          <w:bCs/>
          <w:color w:val="000000"/>
        </w:rPr>
        <w:t>m</w:t>
      </w:r>
      <w:r>
        <w:rPr>
          <w:rFonts w:hint="eastAsia" w:ascii="宋体" w:hAnsi="宋体"/>
          <w:bCs/>
          <w:color w:val="000000"/>
        </w:rPr>
        <w:t>以下</w:t>
      </w:r>
    </w:p>
    <w:p>
      <w:pPr>
        <w:spacing w:line="420" w:lineRule="exact"/>
        <w:ind w:firstLine="420" w:firstLineChars="200"/>
        <w:rPr>
          <w:rFonts w:hint="eastAsia" w:ascii="宋体" w:hAnsi="宋体"/>
          <w:bCs/>
          <w:color w:val="000000"/>
        </w:rPr>
      </w:pPr>
      <w:r>
        <w:rPr>
          <w:rFonts w:hint="eastAsia" w:ascii="宋体" w:hAnsi="宋体"/>
          <w:bCs/>
          <w:color w:val="000000"/>
        </w:rPr>
        <w:t>2、环境温度：极端最低温度-12℃、极端最高温度45℃。</w:t>
      </w:r>
    </w:p>
    <w:p>
      <w:pPr>
        <w:spacing w:line="420" w:lineRule="exact"/>
        <w:ind w:firstLine="420" w:firstLineChars="200"/>
        <w:rPr>
          <w:rFonts w:hint="eastAsia" w:ascii="宋体" w:hAnsi="宋体"/>
          <w:bCs/>
          <w:color w:val="000000"/>
        </w:rPr>
      </w:pPr>
      <w:r>
        <w:rPr>
          <w:rFonts w:hint="eastAsia" w:ascii="宋体" w:hAnsi="宋体"/>
          <w:bCs/>
          <w:color w:val="000000"/>
        </w:rPr>
        <w:t>3、相对湿度：最大95%、最小15%。</w:t>
      </w:r>
    </w:p>
    <w:p>
      <w:pPr>
        <w:pStyle w:val="112"/>
        <w:rPr>
          <w:rFonts w:hint="eastAsia"/>
        </w:rPr>
      </w:pPr>
      <w:bookmarkStart w:id="45" w:name="_Toc465187640"/>
      <w:r>
        <w:rPr>
          <w:rFonts w:hint="eastAsia"/>
        </w:rPr>
        <w:t>第二节  采购货物概况</w:t>
      </w:r>
      <w:bookmarkEnd w:id="45"/>
    </w:p>
    <w:p>
      <w:pPr>
        <w:spacing w:line="420" w:lineRule="exact"/>
        <w:ind w:firstLine="420" w:firstLineChars="200"/>
        <w:rPr>
          <w:rFonts w:hint="eastAsia" w:ascii="宋体" w:hAnsi="宋体"/>
          <w:color w:val="000000"/>
        </w:rPr>
      </w:pPr>
      <w:r>
        <w:rPr>
          <w:rFonts w:hint="eastAsia" w:ascii="宋体" w:hAnsi="宋体"/>
          <w:b/>
          <w:color w:val="000000"/>
        </w:rPr>
        <w:t>一、货物名称：汽车研究总院智能辅助驾驶L2+系统电气测试台架</w:t>
      </w:r>
      <w:r>
        <w:rPr>
          <w:rFonts w:hint="eastAsia" w:ascii="宋体" w:hAnsi="宋体"/>
          <w:color w:val="000000"/>
        </w:rPr>
        <w:t xml:space="preserve">（详见下表）      </w:t>
      </w:r>
    </w:p>
    <w:p>
      <w:pPr>
        <w:spacing w:line="420" w:lineRule="exact"/>
        <w:ind w:firstLine="420" w:firstLineChars="200"/>
        <w:rPr>
          <w:rFonts w:hint="eastAsia" w:ascii="宋体" w:hAnsi="宋体"/>
          <w:color w:val="000000"/>
        </w:rPr>
      </w:pPr>
      <w:r>
        <w:rPr>
          <w:rFonts w:hint="eastAsia" w:ascii="宋体" w:hAnsi="宋体"/>
          <w:b/>
          <w:color w:val="000000"/>
        </w:rPr>
        <w:t>二、货物数量：</w:t>
      </w:r>
      <w:r>
        <w:rPr>
          <w:rFonts w:hint="eastAsia" w:ascii="宋体" w:hAnsi="宋体"/>
          <w:color w:val="000000"/>
          <w:u w:val="single"/>
          <w:shd w:val="pct10" w:color="auto" w:fill="FFFFFF"/>
        </w:rPr>
        <w:t xml:space="preserve"> 一套 </w:t>
      </w:r>
    </w:p>
    <w:p>
      <w:pPr>
        <w:spacing w:line="420" w:lineRule="exact"/>
        <w:ind w:firstLine="420" w:firstLineChars="200"/>
        <w:rPr>
          <w:rFonts w:hint="eastAsia" w:ascii="宋体" w:hAnsi="宋体"/>
          <w:color w:val="000000"/>
          <w:u w:val="single"/>
        </w:rPr>
      </w:pPr>
      <w:r>
        <w:rPr>
          <w:rFonts w:hint="eastAsia" w:ascii="宋体" w:hAnsi="宋体"/>
          <w:b/>
          <w:color w:val="000000"/>
        </w:rPr>
        <w:t>三、分投分中：不允许</w:t>
      </w:r>
    </w:p>
    <w:p>
      <w:pPr>
        <w:spacing w:line="420" w:lineRule="exact"/>
        <w:jc w:val="center"/>
        <w:rPr>
          <w:rFonts w:hint="eastAsia" w:ascii="宋体" w:hAnsi="宋体"/>
          <w:color w:val="000000"/>
        </w:rPr>
      </w:pPr>
      <w:r>
        <w:rPr>
          <w:rFonts w:hint="eastAsia" w:ascii="宋体" w:hAnsi="宋体"/>
          <w:color w:val="000000"/>
        </w:rPr>
        <w:t>采购货物主要构成一览表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157"/>
        <w:gridCol w:w="2979"/>
        <w:gridCol w:w="689"/>
        <w:gridCol w:w="709"/>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color w:val="000000"/>
              </w:rPr>
            </w:pPr>
            <w:r>
              <w:rPr>
                <w:rFonts w:hint="eastAsia" w:ascii="宋体" w:hAnsi="宋体"/>
                <w:color w:val="000000"/>
              </w:rPr>
              <w:t>序号</w:t>
            </w:r>
          </w:p>
        </w:tc>
        <w:tc>
          <w:tcPr>
            <w:tcW w:w="1157" w:type="dxa"/>
            <w:noWrap w:val="0"/>
            <w:vAlign w:val="center"/>
          </w:tcPr>
          <w:p>
            <w:pPr>
              <w:spacing w:line="360" w:lineRule="exact"/>
              <w:jc w:val="center"/>
              <w:rPr>
                <w:rFonts w:hint="eastAsia" w:ascii="宋体" w:hAnsi="宋体"/>
                <w:color w:val="000000"/>
              </w:rPr>
            </w:pPr>
            <w:r>
              <w:rPr>
                <w:rFonts w:hint="eastAsia" w:ascii="宋体" w:hAnsi="宋体"/>
                <w:color w:val="000000"/>
              </w:rPr>
              <w:t>名称</w:t>
            </w:r>
          </w:p>
        </w:tc>
        <w:tc>
          <w:tcPr>
            <w:tcW w:w="2979" w:type="dxa"/>
            <w:noWrap w:val="0"/>
            <w:vAlign w:val="center"/>
          </w:tcPr>
          <w:p>
            <w:pPr>
              <w:spacing w:line="360" w:lineRule="exact"/>
              <w:jc w:val="center"/>
              <w:rPr>
                <w:rFonts w:hint="eastAsia" w:ascii="宋体" w:hAnsi="宋体"/>
                <w:color w:val="000000"/>
              </w:rPr>
            </w:pPr>
            <w:r>
              <w:rPr>
                <w:rFonts w:hint="eastAsia" w:ascii="宋体" w:hAnsi="宋体"/>
                <w:color w:val="000000"/>
              </w:rPr>
              <w:t>规格</w:t>
            </w:r>
          </w:p>
        </w:tc>
        <w:tc>
          <w:tcPr>
            <w:tcW w:w="689" w:type="dxa"/>
            <w:noWrap w:val="0"/>
            <w:vAlign w:val="center"/>
          </w:tcPr>
          <w:p>
            <w:pPr>
              <w:spacing w:line="360" w:lineRule="exact"/>
              <w:jc w:val="center"/>
              <w:rPr>
                <w:rFonts w:hint="eastAsia" w:ascii="宋体" w:hAnsi="宋体"/>
                <w:color w:val="000000"/>
              </w:rPr>
            </w:pPr>
            <w:r>
              <w:rPr>
                <w:rFonts w:hint="eastAsia" w:ascii="宋体" w:hAnsi="宋体"/>
                <w:color w:val="000000"/>
              </w:rPr>
              <w:t>单位</w:t>
            </w:r>
          </w:p>
        </w:tc>
        <w:tc>
          <w:tcPr>
            <w:tcW w:w="709" w:type="dxa"/>
            <w:noWrap w:val="0"/>
            <w:vAlign w:val="center"/>
          </w:tcPr>
          <w:p>
            <w:pPr>
              <w:spacing w:line="360" w:lineRule="exact"/>
              <w:jc w:val="center"/>
              <w:rPr>
                <w:rFonts w:hint="eastAsia" w:ascii="宋体" w:hAnsi="宋体"/>
                <w:color w:val="000000"/>
              </w:rPr>
            </w:pPr>
            <w:r>
              <w:rPr>
                <w:rFonts w:hint="eastAsia" w:ascii="宋体" w:hAnsi="宋体"/>
                <w:color w:val="000000"/>
              </w:rPr>
              <w:t>数量</w:t>
            </w:r>
          </w:p>
        </w:tc>
        <w:tc>
          <w:tcPr>
            <w:tcW w:w="3100" w:type="dxa"/>
            <w:noWrap w:val="0"/>
            <w:vAlign w:val="center"/>
          </w:tcPr>
          <w:p>
            <w:pPr>
              <w:spacing w:line="360" w:lineRule="exact"/>
              <w:jc w:val="center"/>
              <w:rPr>
                <w:rFonts w:hint="eastAsia" w:ascii="宋体" w:hAnsi="宋体"/>
                <w:color w:val="000000"/>
              </w:rPr>
            </w:pPr>
            <w:r>
              <w:rPr>
                <w:rFonts w:hint="eastAsia" w:ascii="宋体" w:hAnsi="宋体"/>
                <w:color w:val="000000"/>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color w:val="000000"/>
              </w:rPr>
            </w:pPr>
            <w:r>
              <w:rPr>
                <w:rFonts w:hint="eastAsia" w:ascii="宋体" w:hAnsi="宋体"/>
                <w:color w:val="000000"/>
              </w:rPr>
              <w:t>1</w:t>
            </w:r>
          </w:p>
        </w:tc>
        <w:tc>
          <w:tcPr>
            <w:tcW w:w="1157"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电气测试台架实体</w:t>
            </w:r>
          </w:p>
        </w:tc>
        <w:tc>
          <w:tcPr>
            <w:tcW w:w="2979" w:type="dxa"/>
            <w:noWrap w:val="0"/>
            <w:vAlign w:val="center"/>
          </w:tcPr>
          <w:p>
            <w:pPr>
              <w:spacing w:line="360" w:lineRule="exact"/>
              <w:jc w:val="center"/>
              <w:rPr>
                <w:rFonts w:hint="eastAsia" w:ascii="宋体" w:hAnsi="宋体" w:eastAsia="宋体"/>
                <w:color w:val="000000"/>
                <w:lang w:val="en-US" w:eastAsia="zh-CN"/>
              </w:rPr>
            </w:pPr>
            <w:r>
              <w:rPr>
                <w:rFonts w:hint="eastAsia" w:ascii="宋体" w:hAnsi="宋体" w:eastAsia="宋体"/>
                <w:b/>
                <w:bCs/>
                <w:color w:val="000000"/>
                <w:lang w:val="en-US" w:eastAsia="zh-CN"/>
              </w:rPr>
              <w:t>见第二章技术要求</w:t>
            </w:r>
          </w:p>
        </w:tc>
        <w:tc>
          <w:tcPr>
            <w:tcW w:w="68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台</w:t>
            </w:r>
          </w:p>
        </w:tc>
        <w:tc>
          <w:tcPr>
            <w:tcW w:w="70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1</w:t>
            </w:r>
          </w:p>
        </w:tc>
        <w:tc>
          <w:tcPr>
            <w:tcW w:w="3100"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color w:val="000000"/>
                <w:lang w:val="en-US" w:eastAsia="zh-CN"/>
              </w:rPr>
              <w:t>济南</w:t>
            </w:r>
            <w:r>
              <w:rPr>
                <w:rFonts w:hint="eastAsia" w:ascii="宋体" w:hAnsi="宋体" w:eastAsia="宋体"/>
                <w:color w:val="000000"/>
              </w:rPr>
              <w:t>/中国重汽集团济南动力有限公司</w:t>
            </w:r>
            <w:r>
              <w:rPr>
                <w:rFonts w:hint="eastAsia" w:ascii="宋体" w:hAnsi="宋体" w:eastAsia="宋体"/>
                <w:color w:val="000000"/>
                <w:lang w:val="en-US" w:eastAsia="zh-CN"/>
              </w:rPr>
              <w:t>汽车研究总院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2</w:t>
            </w:r>
          </w:p>
        </w:tc>
        <w:tc>
          <w:tcPr>
            <w:tcW w:w="1157" w:type="dxa"/>
            <w:noWrap w:val="0"/>
            <w:vAlign w:val="center"/>
          </w:tcPr>
          <w:p>
            <w:pPr>
              <w:spacing w:line="360" w:lineRule="exact"/>
              <w:jc w:val="center"/>
              <w:rPr>
                <w:rFonts w:hint="eastAsia" w:ascii="宋体" w:hAnsi="宋体" w:eastAsia="宋体"/>
                <w:color w:val="000000"/>
              </w:rPr>
            </w:pPr>
            <w:r>
              <w:rPr>
                <w:rFonts w:hint="eastAsia"/>
              </w:rPr>
              <w:t>电源模块</w:t>
            </w:r>
          </w:p>
        </w:tc>
        <w:tc>
          <w:tcPr>
            <w:tcW w:w="2979"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b/>
                <w:bCs/>
                <w:color w:val="000000"/>
                <w:lang w:val="en-US" w:eastAsia="zh-CN"/>
              </w:rPr>
              <w:t>见第二章技术要求</w:t>
            </w:r>
          </w:p>
        </w:tc>
        <w:tc>
          <w:tcPr>
            <w:tcW w:w="68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台</w:t>
            </w:r>
          </w:p>
        </w:tc>
        <w:tc>
          <w:tcPr>
            <w:tcW w:w="70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1</w:t>
            </w:r>
          </w:p>
        </w:tc>
        <w:tc>
          <w:tcPr>
            <w:tcW w:w="3100"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lang w:val="en-US" w:eastAsia="zh-CN"/>
              </w:rPr>
              <w:t>济南</w:t>
            </w:r>
            <w:r>
              <w:rPr>
                <w:rFonts w:hint="eastAsia" w:ascii="宋体" w:hAnsi="宋体" w:eastAsia="宋体"/>
                <w:color w:val="000000"/>
              </w:rPr>
              <w:t>/中国重汽集团济南动力有限公司</w:t>
            </w:r>
            <w:r>
              <w:rPr>
                <w:rFonts w:hint="eastAsia" w:ascii="宋体" w:hAnsi="宋体" w:eastAsia="宋体"/>
                <w:color w:val="000000"/>
                <w:lang w:val="en-US" w:eastAsia="zh-CN"/>
              </w:rPr>
              <w:t>汽车研究总院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3</w:t>
            </w:r>
          </w:p>
        </w:tc>
        <w:tc>
          <w:tcPr>
            <w:tcW w:w="1157" w:type="dxa"/>
            <w:noWrap w:val="0"/>
            <w:vAlign w:val="center"/>
          </w:tcPr>
          <w:p>
            <w:pPr>
              <w:spacing w:line="360" w:lineRule="exact"/>
              <w:jc w:val="center"/>
              <w:rPr>
                <w:rFonts w:hint="eastAsia" w:ascii="宋体" w:hAnsi="宋体" w:eastAsia="宋体"/>
                <w:color w:val="000000"/>
                <w:lang w:val="en-US" w:eastAsia="zh-CN"/>
              </w:rPr>
            </w:pPr>
            <w:r>
              <w:rPr>
                <w:rFonts w:hint="eastAsia"/>
              </w:rPr>
              <w:t>C</w:t>
            </w:r>
            <w:r>
              <w:t>AN</w:t>
            </w:r>
            <w:r>
              <w:rPr>
                <w:rFonts w:hint="eastAsia"/>
              </w:rPr>
              <w:t>分析</w:t>
            </w:r>
            <w:r>
              <w:rPr>
                <w:rFonts w:hint="eastAsia"/>
                <w:lang w:val="en-US" w:eastAsia="zh-CN"/>
              </w:rPr>
              <w:t>模块</w:t>
            </w:r>
          </w:p>
        </w:tc>
        <w:tc>
          <w:tcPr>
            <w:tcW w:w="2979"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b/>
                <w:bCs/>
                <w:color w:val="000000"/>
                <w:lang w:val="en-US" w:eastAsia="zh-CN"/>
              </w:rPr>
              <w:t>见第二章技术要求</w:t>
            </w:r>
          </w:p>
        </w:tc>
        <w:tc>
          <w:tcPr>
            <w:tcW w:w="68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台</w:t>
            </w:r>
          </w:p>
        </w:tc>
        <w:tc>
          <w:tcPr>
            <w:tcW w:w="70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1</w:t>
            </w:r>
          </w:p>
        </w:tc>
        <w:tc>
          <w:tcPr>
            <w:tcW w:w="3100"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lang w:val="en-US" w:eastAsia="zh-CN"/>
              </w:rPr>
              <w:t>济南</w:t>
            </w:r>
            <w:r>
              <w:rPr>
                <w:rFonts w:hint="eastAsia" w:ascii="宋体" w:hAnsi="宋体" w:eastAsia="宋体"/>
                <w:color w:val="000000"/>
              </w:rPr>
              <w:t>/中国重汽集团济南动力有限公司</w:t>
            </w:r>
            <w:r>
              <w:rPr>
                <w:rFonts w:hint="eastAsia" w:ascii="宋体" w:hAnsi="宋体" w:eastAsia="宋体"/>
                <w:color w:val="000000"/>
                <w:lang w:val="en-US" w:eastAsia="zh-CN"/>
              </w:rPr>
              <w:t>汽车研究总院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4</w:t>
            </w:r>
          </w:p>
        </w:tc>
        <w:tc>
          <w:tcPr>
            <w:tcW w:w="1157"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color w:val="000000"/>
                <w:lang w:val="en-US" w:eastAsia="zh-CN"/>
              </w:rPr>
              <w:t>附件工具</w:t>
            </w:r>
          </w:p>
        </w:tc>
        <w:tc>
          <w:tcPr>
            <w:tcW w:w="2979" w:type="dxa"/>
            <w:noWrap w:val="0"/>
            <w:vAlign w:val="center"/>
          </w:tcPr>
          <w:p>
            <w:pPr>
              <w:spacing w:line="360" w:lineRule="exact"/>
              <w:jc w:val="center"/>
              <w:rPr>
                <w:rFonts w:hint="default" w:ascii="宋体" w:hAnsi="宋体"/>
                <w:sz w:val="21"/>
                <w:szCs w:val="21"/>
                <w:lang w:val="en-US" w:eastAsia="zh-CN"/>
              </w:rPr>
            </w:pPr>
            <w:r>
              <w:rPr>
                <w:rFonts w:hint="eastAsia" w:ascii="宋体" w:hAnsi="宋体" w:eastAsia="宋体"/>
                <w:b/>
                <w:bCs/>
                <w:color w:val="000000"/>
                <w:lang w:val="en-US" w:eastAsia="zh-CN"/>
              </w:rPr>
              <w:t>见第二章技术要求</w:t>
            </w:r>
          </w:p>
        </w:tc>
        <w:tc>
          <w:tcPr>
            <w:tcW w:w="68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套</w:t>
            </w:r>
          </w:p>
        </w:tc>
        <w:tc>
          <w:tcPr>
            <w:tcW w:w="709"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1</w:t>
            </w:r>
          </w:p>
        </w:tc>
        <w:tc>
          <w:tcPr>
            <w:tcW w:w="3100"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lang w:val="en-US" w:eastAsia="zh-CN"/>
              </w:rPr>
              <w:t>济南</w:t>
            </w:r>
            <w:r>
              <w:rPr>
                <w:rFonts w:hint="eastAsia" w:ascii="宋体" w:hAnsi="宋体" w:eastAsia="宋体"/>
                <w:color w:val="000000"/>
              </w:rPr>
              <w:t>/中国重汽集团济南动力有限公司</w:t>
            </w:r>
            <w:r>
              <w:rPr>
                <w:rFonts w:hint="eastAsia" w:ascii="宋体" w:hAnsi="宋体" w:eastAsia="宋体"/>
                <w:color w:val="000000"/>
                <w:lang w:val="en-US" w:eastAsia="zh-CN"/>
              </w:rPr>
              <w:t>汽车研究总院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5</w:t>
            </w:r>
          </w:p>
        </w:tc>
        <w:tc>
          <w:tcPr>
            <w:tcW w:w="1157"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color w:val="000000"/>
                <w:lang w:val="en-US" w:eastAsia="zh-CN"/>
              </w:rPr>
              <w:t>激光雷达模块</w:t>
            </w:r>
          </w:p>
        </w:tc>
        <w:tc>
          <w:tcPr>
            <w:tcW w:w="2979"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b/>
                <w:bCs/>
                <w:color w:val="000000"/>
                <w:lang w:val="en-US" w:eastAsia="zh-CN"/>
              </w:rPr>
              <w:t>见第二章技术要求</w:t>
            </w:r>
          </w:p>
        </w:tc>
        <w:tc>
          <w:tcPr>
            <w:tcW w:w="68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套</w:t>
            </w:r>
          </w:p>
        </w:tc>
        <w:tc>
          <w:tcPr>
            <w:tcW w:w="70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1</w:t>
            </w:r>
          </w:p>
        </w:tc>
        <w:tc>
          <w:tcPr>
            <w:tcW w:w="3100"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lang w:val="en-US" w:eastAsia="zh-CN"/>
              </w:rPr>
              <w:t>济南</w:t>
            </w:r>
            <w:r>
              <w:rPr>
                <w:rFonts w:hint="eastAsia" w:ascii="宋体" w:hAnsi="宋体" w:eastAsia="宋体"/>
                <w:color w:val="000000"/>
              </w:rPr>
              <w:t>/中国重汽集团济南动力有限公司</w:t>
            </w:r>
            <w:r>
              <w:rPr>
                <w:rFonts w:hint="eastAsia" w:ascii="宋体" w:hAnsi="宋体" w:eastAsia="宋体"/>
                <w:color w:val="000000"/>
                <w:lang w:val="en-US" w:eastAsia="zh-CN"/>
              </w:rPr>
              <w:t>汽车研究总院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rPr>
              <w:t>6</w:t>
            </w:r>
          </w:p>
        </w:tc>
        <w:tc>
          <w:tcPr>
            <w:tcW w:w="1157"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color w:val="000000"/>
                <w:lang w:val="en-US" w:eastAsia="zh-CN"/>
              </w:rPr>
              <w:t>域控制器模块</w:t>
            </w:r>
          </w:p>
        </w:tc>
        <w:tc>
          <w:tcPr>
            <w:tcW w:w="2979" w:type="dxa"/>
            <w:noWrap w:val="0"/>
            <w:vAlign w:val="center"/>
          </w:tcPr>
          <w:p>
            <w:pPr>
              <w:spacing w:line="360" w:lineRule="exact"/>
              <w:jc w:val="center"/>
              <w:rPr>
                <w:rFonts w:hint="default" w:ascii="宋体" w:hAnsi="宋体" w:eastAsia="宋体"/>
                <w:color w:val="000000"/>
                <w:lang w:val="en-US" w:eastAsia="zh-CN"/>
              </w:rPr>
            </w:pPr>
            <w:r>
              <w:rPr>
                <w:rFonts w:hint="eastAsia" w:ascii="宋体" w:hAnsi="宋体" w:eastAsia="宋体"/>
                <w:b/>
                <w:bCs/>
                <w:color w:val="000000"/>
                <w:lang w:val="en-US" w:eastAsia="zh-CN"/>
              </w:rPr>
              <w:t>见第二章技术要求</w:t>
            </w:r>
          </w:p>
        </w:tc>
        <w:tc>
          <w:tcPr>
            <w:tcW w:w="68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套</w:t>
            </w:r>
          </w:p>
        </w:tc>
        <w:tc>
          <w:tcPr>
            <w:tcW w:w="709" w:type="dxa"/>
            <w:noWrap w:val="0"/>
            <w:vAlign w:val="center"/>
          </w:tcPr>
          <w:p>
            <w:pPr>
              <w:spacing w:line="360" w:lineRule="exact"/>
              <w:jc w:val="center"/>
              <w:rPr>
                <w:rFonts w:hint="eastAsia" w:ascii="宋体" w:hAnsi="宋体" w:eastAsia="宋体"/>
                <w:color w:val="000000"/>
                <w:lang w:eastAsia="zh-CN"/>
              </w:rPr>
            </w:pPr>
            <w:r>
              <w:rPr>
                <w:rFonts w:hint="eastAsia" w:ascii="宋体" w:hAnsi="宋体" w:eastAsia="宋体"/>
                <w:color w:val="000000"/>
                <w:lang w:val="en-US" w:eastAsia="zh-CN"/>
              </w:rPr>
              <w:t>1</w:t>
            </w:r>
          </w:p>
        </w:tc>
        <w:tc>
          <w:tcPr>
            <w:tcW w:w="3100" w:type="dxa"/>
            <w:noWrap w:val="0"/>
            <w:vAlign w:val="center"/>
          </w:tcPr>
          <w:p>
            <w:pPr>
              <w:spacing w:line="360" w:lineRule="exact"/>
              <w:jc w:val="center"/>
              <w:rPr>
                <w:rFonts w:hint="eastAsia" w:ascii="宋体" w:hAnsi="宋体" w:eastAsia="宋体"/>
                <w:color w:val="000000"/>
              </w:rPr>
            </w:pPr>
            <w:r>
              <w:rPr>
                <w:rFonts w:hint="eastAsia" w:ascii="宋体" w:hAnsi="宋体" w:eastAsia="宋体"/>
                <w:color w:val="000000"/>
                <w:lang w:val="en-US" w:eastAsia="zh-CN"/>
              </w:rPr>
              <w:t>济南</w:t>
            </w:r>
            <w:r>
              <w:rPr>
                <w:rFonts w:hint="eastAsia" w:ascii="宋体" w:hAnsi="宋体" w:eastAsia="宋体"/>
                <w:color w:val="000000"/>
              </w:rPr>
              <w:t>/中国重汽集团济南动力有限公司</w:t>
            </w:r>
            <w:r>
              <w:rPr>
                <w:rFonts w:hint="eastAsia" w:ascii="宋体" w:hAnsi="宋体" w:eastAsia="宋体"/>
                <w:color w:val="000000"/>
                <w:lang w:val="en-US" w:eastAsia="zh-CN"/>
              </w:rPr>
              <w:t>汽车研究总院</w:t>
            </w:r>
          </w:p>
        </w:tc>
      </w:tr>
    </w:tbl>
    <w:p>
      <w:pPr>
        <w:spacing w:line="420" w:lineRule="exact"/>
        <w:ind w:firstLine="420" w:firstLineChars="200"/>
        <w:rPr>
          <w:rFonts w:hint="eastAsia"/>
          <w:color w:val="000000"/>
          <w:szCs w:val="21"/>
        </w:rPr>
      </w:pPr>
      <w:r>
        <w:rPr>
          <w:rFonts w:hint="eastAsia" w:ascii="宋体" w:hAnsi="宋体"/>
          <w:color w:val="000000"/>
          <w:szCs w:val="21"/>
        </w:rPr>
        <w:t>备注1：本表所列采购货物仅为货物的主要构成部分，应配套供货以及招标方所列其它货物（或设备）和服务，请投标方认真阅读“供货范围”。</w:t>
      </w:r>
      <w:r>
        <w:rPr>
          <w:rFonts w:hint="eastAsia"/>
          <w:color w:val="000000"/>
          <w:szCs w:val="21"/>
        </w:rPr>
        <w:t>若有异议，不管是多么微小，都应在投标文件“商务偏离”章节中予以详细说明。</w:t>
      </w:r>
    </w:p>
    <w:p>
      <w:pPr>
        <w:spacing w:line="420" w:lineRule="exact"/>
        <w:ind w:firstLine="420" w:firstLineChars="200"/>
        <w:rPr>
          <w:rFonts w:hint="eastAsia" w:ascii="宋体" w:hAnsi="宋体"/>
          <w:b/>
          <w:color w:val="000000"/>
        </w:rPr>
      </w:pPr>
      <w:r>
        <w:rPr>
          <w:rFonts w:hint="eastAsia" w:ascii="宋体" w:hAnsi="宋体"/>
          <w:b/>
          <w:color w:val="000000"/>
        </w:rPr>
        <w:t>四、采购货物特别说明</w:t>
      </w:r>
    </w:p>
    <w:p>
      <w:pPr>
        <w:spacing w:line="420" w:lineRule="exact"/>
        <w:ind w:firstLine="420" w:firstLineChars="200"/>
        <w:rPr>
          <w:rFonts w:hint="eastAsia" w:ascii="宋体" w:hAnsi="宋体"/>
          <w:color w:val="000000"/>
        </w:rPr>
      </w:pPr>
      <w:r>
        <w:rPr>
          <w:rFonts w:hint="eastAsia" w:ascii="宋体" w:hAnsi="宋体"/>
          <w:color w:val="000000"/>
        </w:rPr>
        <w:t>招标方所列货物的名称和规格型号，如为某一供应商所特有，则该名称和规格型号可作参考；但要求投标方所提供的货物必须满足本技术标书实质性要求。</w:t>
      </w:r>
    </w:p>
    <w:p>
      <w:pPr>
        <w:pStyle w:val="130"/>
        <w:rPr>
          <w:rFonts w:hint="eastAsia"/>
        </w:rPr>
      </w:pPr>
      <w:r>
        <w:rPr>
          <w:rFonts w:ascii="宋体" w:hAnsi="宋体"/>
        </w:rPr>
        <w:br w:type="page"/>
      </w:r>
      <w:bookmarkStart w:id="46" w:name="_Toc30179"/>
      <w:bookmarkStart w:id="47" w:name="_Toc18454"/>
      <w:bookmarkStart w:id="48" w:name="_Toc465187641"/>
      <w:r>
        <w:rPr>
          <w:rFonts w:hint="eastAsia"/>
        </w:rPr>
        <w:t>第</w:t>
      </w:r>
      <w:r>
        <w:rPr>
          <w:rFonts w:hint="eastAsia"/>
          <w:lang w:eastAsia="zh-CN"/>
        </w:rPr>
        <w:t>二</w:t>
      </w:r>
      <w:r>
        <w:rPr>
          <w:rFonts w:hint="eastAsia"/>
        </w:rPr>
        <w:t>章  技术要求</w:t>
      </w:r>
      <w:bookmarkEnd w:id="46"/>
      <w:bookmarkEnd w:id="47"/>
    </w:p>
    <w:p>
      <w:pPr>
        <w:pStyle w:val="112"/>
      </w:pPr>
      <w:r>
        <w:rPr>
          <w:rFonts w:hint="eastAsia"/>
        </w:rPr>
        <w:t>一、特别提示</w:t>
      </w:r>
    </w:p>
    <w:p>
      <w:pPr>
        <w:spacing w:line="360" w:lineRule="auto"/>
        <w:ind w:firstLine="420" w:firstLineChars="200"/>
        <w:rPr>
          <w:rFonts w:ascii="宋体" w:hAnsi="宋体"/>
          <w:color w:val="000000"/>
        </w:rPr>
      </w:pPr>
      <w:r>
        <w:rPr>
          <w:rFonts w:hint="eastAsia" w:ascii="宋体" w:hAnsi="宋体"/>
          <w:color w:val="000000"/>
        </w:rPr>
        <w:t>1、本章技术要求，仅对功能、设计、结构、性能、安装和试验检验等方面，提出了最低和一般性的技术要求，并未对一切技术细节作出规定。</w:t>
      </w:r>
    </w:p>
    <w:p>
      <w:pPr>
        <w:spacing w:line="360" w:lineRule="auto"/>
        <w:ind w:firstLine="420" w:firstLineChars="200"/>
        <w:rPr>
          <w:rFonts w:ascii="黑体" w:hAnsi="宋体" w:eastAsia="黑体"/>
          <w:color w:val="000000"/>
        </w:rPr>
      </w:pPr>
      <w:r>
        <w:rPr>
          <w:rFonts w:hint="eastAsia" w:ascii="宋体" w:hAnsi="宋体"/>
          <w:color w:val="000000"/>
        </w:rPr>
        <w:t>2、本技术要求所使用的标准、规范等，如与投标方所执行的标准、规范不一致时，应按高于本技术要求所列的标准、规范执行。</w:t>
      </w:r>
    </w:p>
    <w:p>
      <w:pPr>
        <w:spacing w:line="360" w:lineRule="auto"/>
        <w:ind w:firstLine="420" w:firstLineChars="200"/>
        <w:rPr>
          <w:rFonts w:hint="eastAsia" w:ascii="黑体" w:hAnsi="宋体" w:eastAsia="黑体"/>
          <w:color w:val="000000"/>
        </w:rPr>
      </w:pPr>
      <w:r>
        <w:rPr>
          <w:rFonts w:hint="eastAsia" w:ascii="宋体" w:hAnsi="宋体"/>
          <w:color w:val="000000"/>
        </w:rPr>
        <w:t>3、投标方认为所供货物必需由招标方配备、解决或提供的其它要求，如设备基础隔振和减振设施、软化水、洁净气源等，均应在投标文件“技术偏离”中予以充分说明。</w:t>
      </w:r>
    </w:p>
    <w:p>
      <w:pPr>
        <w:spacing w:line="360" w:lineRule="auto"/>
        <w:ind w:firstLine="420" w:firstLineChars="200"/>
        <w:rPr>
          <w:rFonts w:ascii="宋体" w:hAnsi="宋体"/>
          <w:color w:val="000000"/>
        </w:rPr>
      </w:pPr>
      <w:r>
        <w:rPr>
          <w:rFonts w:hint="eastAsia" w:ascii="宋体" w:hAnsi="宋体"/>
          <w:bCs/>
          <w:color w:val="000000"/>
        </w:rPr>
        <w:t>4、投标方应根据招投标货物具体要求，提出</w:t>
      </w:r>
      <w:r>
        <w:rPr>
          <w:rFonts w:hint="eastAsia" w:ascii="宋体" w:hAnsi="宋体"/>
          <w:color w:val="000000"/>
        </w:rPr>
        <w:t>对厂房、设备基础（或安装平台）、公用设施、消防、环保等超出招标文件、投标文件、答疑文件、技术交流文件、技术协议书和合同等规定的、有特殊需要的解释、说明和要求。</w:t>
      </w:r>
    </w:p>
    <w:p>
      <w:pPr>
        <w:spacing w:line="360" w:lineRule="auto"/>
        <w:ind w:firstLine="420" w:firstLineChars="200"/>
        <w:rPr>
          <w:rFonts w:ascii="宋体" w:hAnsi="宋体"/>
          <w:color w:val="000000"/>
        </w:rPr>
      </w:pPr>
      <w:r>
        <w:rPr>
          <w:rFonts w:hint="eastAsia"/>
          <w:color w:val="000000"/>
        </w:rPr>
        <w:t>5、无论是否有技术偏离，投标方均应在投标文件“技术偏离”中明确</w:t>
      </w:r>
      <w:r>
        <w:rPr>
          <w:rFonts w:hint="eastAsia" w:ascii="宋体" w:hAnsi="宋体"/>
          <w:color w:val="000000"/>
        </w:rPr>
        <w:t>作出有无说明。</w:t>
      </w:r>
      <w:r>
        <w:rPr>
          <w:rFonts w:hint="eastAsia"/>
          <w:color w:val="000000"/>
        </w:rPr>
        <w:t>若有异议，不管是多么微小，</w:t>
      </w:r>
      <w:r>
        <w:rPr>
          <w:rFonts w:hint="eastAsia" w:ascii="宋体" w:hAnsi="宋体"/>
          <w:color w:val="000000"/>
        </w:rPr>
        <w:t>投标方必须予以明确和详细的说明或澄清。</w:t>
      </w:r>
    </w:p>
    <w:p>
      <w:pPr>
        <w:spacing w:line="360" w:lineRule="auto"/>
        <w:ind w:firstLine="420" w:firstLineChars="200"/>
        <w:rPr>
          <w:rFonts w:ascii="宋体" w:hAnsi="宋体"/>
          <w:color w:val="000000"/>
        </w:rPr>
      </w:pPr>
      <w:r>
        <w:rPr>
          <w:rFonts w:hint="eastAsia" w:ascii="宋体" w:hAnsi="宋体"/>
          <w:color w:val="000000"/>
        </w:rPr>
        <w:t>6、为避免投标方优势在招标评审时漏项，质保期超出本技术标书要求的，应当在投标文件“技术偏离”中特别注明。</w:t>
      </w:r>
    </w:p>
    <w:p>
      <w:pPr>
        <w:pStyle w:val="112"/>
        <w:rPr>
          <w:rFonts w:hint="eastAsia"/>
        </w:rPr>
      </w:pPr>
      <w:r>
        <w:rPr>
          <w:rFonts w:hint="eastAsia"/>
        </w:rPr>
        <w:t>二、基本要求</w:t>
      </w:r>
    </w:p>
    <w:p>
      <w:pPr>
        <w:spacing w:line="360" w:lineRule="auto"/>
        <w:ind w:firstLine="420" w:firstLineChars="200"/>
        <w:rPr>
          <w:rFonts w:hint="eastAsia" w:ascii="宋体" w:hAnsi="宋体"/>
          <w:color w:val="000000"/>
        </w:rPr>
      </w:pPr>
      <w:r>
        <w:rPr>
          <w:rFonts w:hint="eastAsia" w:ascii="宋体" w:hAnsi="宋体"/>
          <w:color w:val="000000"/>
        </w:rPr>
        <w:t>1、投标方所供的货物，必须符合中国最新版的法律、法规和相关标准、规范的要求，符合项目所在地政府有关特殊要求。</w:t>
      </w:r>
    </w:p>
    <w:p>
      <w:pPr>
        <w:spacing w:line="360" w:lineRule="auto"/>
        <w:ind w:firstLine="420" w:firstLineChars="200"/>
        <w:rPr>
          <w:rFonts w:hint="eastAsia" w:ascii="宋体" w:hAnsi="宋体"/>
          <w:color w:val="000000"/>
        </w:rPr>
      </w:pPr>
      <w:r>
        <w:rPr>
          <w:rFonts w:hint="eastAsia" w:ascii="宋体" w:hAnsi="宋体"/>
          <w:color w:val="000000"/>
        </w:rPr>
        <w:t>2、投标方所供货物涉及的专利权技术以及知识产权保护的其它技术等，应保证招标方不因此受到任何侵权指控以及实际损失。</w:t>
      </w:r>
    </w:p>
    <w:p>
      <w:pPr>
        <w:spacing w:line="360" w:lineRule="auto"/>
        <w:ind w:firstLine="420" w:firstLineChars="200"/>
        <w:rPr>
          <w:rFonts w:hint="eastAsia" w:ascii="宋体" w:hAnsi="宋体"/>
          <w:color w:val="000000"/>
        </w:rPr>
      </w:pPr>
      <w:r>
        <w:rPr>
          <w:rFonts w:hint="eastAsia" w:ascii="宋体" w:hAnsi="宋体"/>
          <w:color w:val="000000"/>
        </w:rPr>
        <w:t>3、投标方应保证所供货物的先进性、可靠性、经济性和实用性，并为全新货物（或设备）。</w:t>
      </w:r>
    </w:p>
    <w:p>
      <w:pPr>
        <w:spacing w:line="360" w:lineRule="auto"/>
        <w:ind w:firstLine="420" w:firstLineChars="200"/>
        <w:rPr>
          <w:rFonts w:hint="eastAsia" w:ascii="宋体" w:hAnsi="宋体"/>
          <w:color w:val="000000"/>
        </w:rPr>
      </w:pPr>
      <w:r>
        <w:rPr>
          <w:rFonts w:hint="eastAsia" w:ascii="宋体" w:hAnsi="宋体"/>
          <w:color w:val="000000"/>
        </w:rPr>
        <w:t>4、投标方应满足招标方提出的各项技术要求，必要时应当免费提供技术承诺或担保。</w:t>
      </w:r>
    </w:p>
    <w:p>
      <w:pPr>
        <w:spacing w:line="360" w:lineRule="auto"/>
        <w:ind w:firstLine="420" w:firstLineChars="200"/>
        <w:rPr>
          <w:rFonts w:hint="eastAsia" w:ascii="宋体" w:hAnsi="宋体"/>
          <w:color w:val="000000"/>
        </w:rPr>
      </w:pPr>
      <w:r>
        <w:rPr>
          <w:rFonts w:hint="eastAsia" w:ascii="宋体" w:hAnsi="宋体"/>
          <w:color w:val="000000"/>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20" w:firstLineChars="200"/>
        <w:rPr>
          <w:rFonts w:hint="eastAsia" w:ascii="宋体" w:hAnsi="宋体"/>
          <w:color w:val="000000"/>
        </w:rPr>
      </w:pPr>
      <w:r>
        <w:rPr>
          <w:rFonts w:hint="eastAsia" w:ascii="宋体" w:hAnsi="宋体"/>
          <w:color w:val="000000"/>
        </w:rPr>
        <w:t>6、投标方应保证所供货物的完整性和成套性，能保证货物的正常运行、使用。</w:t>
      </w:r>
    </w:p>
    <w:p>
      <w:pPr>
        <w:spacing w:line="360" w:lineRule="auto"/>
        <w:ind w:firstLine="420" w:firstLineChars="200"/>
        <w:rPr>
          <w:rFonts w:ascii="宋体" w:hAnsi="宋体"/>
          <w:color w:val="000000"/>
        </w:rPr>
      </w:pPr>
      <w:r>
        <w:rPr>
          <w:rFonts w:hint="eastAsia" w:ascii="宋体" w:hAnsi="宋体"/>
          <w:color w:val="000000"/>
        </w:rPr>
        <w:t>7、投标方应对招标方采购的货物所涉及的技术、产能等信息负有保密义务，招标方拥有追究投标方泄密责任的权利；招标方如有需要，投标方应无条件签署保密协议。</w:t>
      </w:r>
    </w:p>
    <w:p>
      <w:pPr>
        <w:pStyle w:val="112"/>
        <w:rPr>
          <w:color w:val="000000"/>
        </w:rPr>
      </w:pPr>
      <w:r>
        <w:rPr>
          <w:rFonts w:hint="eastAsia"/>
        </w:rPr>
        <w:t>三、技术要求</w:t>
      </w:r>
      <w:r>
        <w:rPr>
          <w:rFonts w:hint="eastAsia"/>
          <w:color w:val="000000"/>
        </w:rPr>
        <w:t>：</w:t>
      </w:r>
    </w:p>
    <w:p>
      <w:pPr>
        <w:pStyle w:val="117"/>
        <w:rPr>
          <w:rFonts w:hint="eastAsia"/>
        </w:rPr>
      </w:pPr>
      <w:r>
        <w:rPr>
          <w:rFonts w:hint="eastAsia"/>
        </w:rPr>
        <w:t>3.1、电气测试台架实体技术要求</w:t>
      </w:r>
    </w:p>
    <w:p>
      <w:pPr>
        <w:pStyle w:val="111"/>
        <w:rPr>
          <w:rFonts w:hint="eastAsia" w:eastAsia="宋体" w:cs="Times New Roman"/>
          <w:color w:val="000000"/>
          <w:kern w:val="2"/>
          <w:sz w:val="21"/>
          <w:szCs w:val="20"/>
          <w:lang w:val="en-US" w:eastAsia="zh-CN" w:bidi="ar-SA"/>
        </w:rPr>
      </w:pPr>
      <w:r>
        <w:rPr>
          <w:rFonts w:hint="eastAsia" w:ascii="宋体" w:hAnsi="宋体" w:eastAsia="宋体" w:cs="Times New Roman"/>
          <w:color w:val="000000"/>
          <w:kern w:val="2"/>
          <w:sz w:val="21"/>
          <w:szCs w:val="20"/>
          <w:lang w:val="en-US" w:eastAsia="zh-CN" w:bidi="ar-SA"/>
        </w:rPr>
        <w:t>电气测试台架实体</w:t>
      </w:r>
      <w:r>
        <w:rPr>
          <w:rFonts w:hint="eastAsia" w:eastAsia="宋体" w:cs="Times New Roman"/>
          <w:color w:val="000000"/>
          <w:kern w:val="2"/>
          <w:sz w:val="21"/>
          <w:szCs w:val="20"/>
          <w:lang w:val="en-US" w:eastAsia="zh-CN" w:bidi="ar-SA"/>
        </w:rPr>
        <w:t>采用黄板车的设计方案，整体外形如下图:</w:t>
      </w:r>
    </w:p>
    <w:p>
      <w:pPr>
        <w:pStyle w:val="111"/>
        <w:jc w:val="both"/>
        <w:rPr>
          <w:rFonts w:hint="default" w:eastAsia="宋体" w:cs="Times New Roman"/>
          <w:color w:val="000000"/>
          <w:kern w:val="2"/>
          <w:sz w:val="21"/>
          <w:szCs w:val="20"/>
          <w:lang w:val="en-US" w:eastAsia="zh-CN" w:bidi="ar-SA"/>
        </w:rPr>
      </w:pPr>
      <w:r>
        <w:rPr>
          <w:rFonts w:hint="eastAsia"/>
        </w:rPr>
        <w:drawing>
          <wp:anchor distT="0" distB="0" distL="114300" distR="114300" simplePos="0" relativeHeight="251659264" behindDoc="0" locked="0" layoutInCell="1" allowOverlap="1">
            <wp:simplePos x="0" y="0"/>
            <wp:positionH relativeFrom="column">
              <wp:posOffset>1090930</wp:posOffset>
            </wp:positionH>
            <wp:positionV relativeFrom="paragraph">
              <wp:posOffset>15240</wp:posOffset>
            </wp:positionV>
            <wp:extent cx="3863340" cy="3296285"/>
            <wp:effectExtent l="0" t="0" r="3810" b="18415"/>
            <wp:wrapTopAndBottom/>
            <wp:docPr id="17" name="图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age"/>
                    <pic:cNvPicPr>
                      <a:picLocks noChangeAspect="1"/>
                    </pic:cNvPicPr>
                  </pic:nvPicPr>
                  <pic:blipFill>
                    <a:blip r:embed="rId36"/>
                    <a:srcRect l="-1596" t="2350"/>
                    <a:stretch>
                      <a:fillRect/>
                    </a:stretch>
                  </pic:blipFill>
                  <pic:spPr>
                    <a:xfrm>
                      <a:off x="0" y="0"/>
                      <a:ext cx="3863340" cy="3296285"/>
                    </a:xfrm>
                    <a:prstGeom prst="rect">
                      <a:avLst/>
                    </a:prstGeom>
                    <a:noFill/>
                    <a:ln>
                      <a:noFill/>
                    </a:ln>
                  </pic:spPr>
                </pic:pic>
              </a:graphicData>
            </a:graphic>
          </wp:anchor>
        </w:drawing>
      </w:r>
      <w:r>
        <w:rPr>
          <w:rFonts w:hint="eastAsia" w:eastAsia="宋体" w:cs="Times New Roman"/>
          <w:color w:val="000000"/>
          <w:kern w:val="2"/>
          <w:sz w:val="21"/>
          <w:szCs w:val="20"/>
          <w:lang w:val="en-US" w:eastAsia="zh-CN" w:bidi="ar-SA"/>
        </w:rPr>
        <w:t xml:space="preserve">                              </w:t>
      </w:r>
      <w:r>
        <w:rPr>
          <w:rFonts w:hint="eastAsia" w:eastAsia="宋体" w:cs="Times New Roman"/>
          <w:b/>
          <w:bCs/>
          <w:color w:val="000000"/>
          <w:kern w:val="2"/>
          <w:sz w:val="21"/>
          <w:szCs w:val="20"/>
          <w:lang w:val="en-US" w:eastAsia="zh-CN" w:bidi="ar-SA"/>
        </w:rPr>
        <w:t>电气测试台架外形</w:t>
      </w:r>
    </w:p>
    <w:p>
      <w:pPr>
        <w:pStyle w:val="111"/>
        <w:rPr>
          <w:rFonts w:hint="default" w:eastAsia="宋体" w:cs="Times New Roman"/>
          <w:color w:val="000000"/>
          <w:kern w:val="2"/>
          <w:sz w:val="21"/>
          <w:szCs w:val="20"/>
          <w:lang w:val="en-US" w:eastAsia="zh-CN" w:bidi="ar-SA"/>
        </w:rPr>
      </w:pPr>
      <w:r>
        <w:rPr>
          <w:rFonts w:hint="eastAsia" w:eastAsia="宋体" w:cs="Times New Roman"/>
          <w:color w:val="000000"/>
          <w:kern w:val="2"/>
          <w:sz w:val="21"/>
          <w:szCs w:val="20"/>
          <w:lang w:val="en-US" w:eastAsia="zh-CN" w:bidi="ar-SA"/>
        </w:rPr>
        <w:t>电气测试台架的主要技术参数及要求如下：</w:t>
      </w:r>
    </w:p>
    <w:tbl>
      <w:tblPr>
        <w:tblStyle w:val="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5"/>
        <w:gridCol w:w="6221"/>
        <w:gridCol w:w="23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pPr>
            <w:r>
              <w:rPr>
                <w:rFonts w:hint="eastAsia" w:ascii="宋体" w:hAnsi="宋体" w:eastAsia="宋体" w:cs="宋体"/>
              </w:rPr>
              <w:t>序号</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default" w:eastAsia="宋体"/>
                <w:lang w:val="en-US" w:eastAsia="zh-CN"/>
              </w:rPr>
            </w:pPr>
            <w:r>
              <w:rPr>
                <w:rFonts w:hint="eastAsia" w:ascii="宋体" w:hAnsi="宋体" w:eastAsia="宋体" w:cs="宋体"/>
              </w:rPr>
              <w:t>主要技术参数</w:t>
            </w:r>
            <w:r>
              <w:rPr>
                <w:rFonts w:hint="eastAsia" w:ascii="宋体" w:hAnsi="宋体" w:eastAsia="宋体" w:cs="宋体"/>
                <w:lang w:val="en-US" w:eastAsia="zh-CN"/>
              </w:rPr>
              <w:t>及要求</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1</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hAnsi="Courier New" w:eastAsia="宋体"/>
                <w:b w:val="0"/>
                <w:lang w:eastAsia="zh-CN"/>
              </w:rPr>
            </w:pPr>
            <w:r>
              <w:rPr>
                <w:rFonts w:hint="eastAsia" w:hAnsi="Courier New"/>
                <w:b w:val="0"/>
              </w:rPr>
              <w:t>台架的整体尺寸为：长度在2200mm左右，宽度在1700mm左右，高度在1600mm左右</w:t>
            </w:r>
            <w:r>
              <w:rPr>
                <w:rFonts w:hint="eastAsia" w:hAnsi="Courier New"/>
                <w:b w:val="0"/>
                <w:lang w:eastAsia="zh-CN"/>
              </w:rPr>
              <w:t>。</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2</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Ansi="Courier New"/>
                <w:b w:val="0"/>
              </w:rPr>
            </w:pPr>
            <w:r>
              <w:rPr>
                <w:rFonts w:hint="eastAsia" w:ascii="Times New Roman" w:hAnsi="Courier New" w:eastAsia="宋体" w:cs="Times New Roman"/>
                <w:b w:val="0"/>
                <w:bCs/>
              </w:rPr>
              <w:t>台架内部安装汽车专用座椅一个，承重不低于80kg。</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3</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ascii="宋体" w:hAnsi="宋体" w:eastAsia="宋体" w:cs="宋体"/>
                <w:b w:val="0"/>
              </w:rPr>
              <w:t>台架底部做成双层板，底部有滑轮。</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4</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ascii="Times New Roman" w:hAnsi="Courier New" w:eastAsia="宋体" w:cs="Times New Roman"/>
                <w:b w:val="0"/>
                <w:bCs/>
              </w:rPr>
              <w:t>提供激光雷达的安装孔，侧面板的承重不低于5kg。</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5</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Ansi="Courier New"/>
                <w:b w:val="0"/>
              </w:rPr>
            </w:pPr>
            <w:r>
              <w:rPr>
                <w:rFonts w:hint="eastAsia" w:hAnsi="Courier New"/>
                <w:b w:val="0"/>
              </w:rPr>
              <w:t>提供域控制器的安装孔</w:t>
            </w:r>
            <w:r>
              <w:rPr>
                <w:rFonts w:hint="eastAsia" w:hAnsi="Courier New"/>
                <w:b w:val="0"/>
                <w:lang w:eastAsia="zh-CN"/>
              </w:rPr>
              <w:t>，</w:t>
            </w:r>
            <w:r>
              <w:rPr>
                <w:rFonts w:hint="eastAsia" w:hAnsi="Courier New"/>
                <w:b w:val="0"/>
              </w:rPr>
              <w:t>域控制器的支撑板承重不低于10kg。</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eastAsia="宋体"/>
                <w:b w:val="0"/>
                <w:lang w:val="en-US" w:eastAsia="zh-CN"/>
              </w:rPr>
            </w:pPr>
            <w:r>
              <w:rPr>
                <w:rFonts w:hint="eastAsia"/>
                <w:b w:val="0"/>
                <w:lang w:val="en-US" w:eastAsia="zh-CN"/>
              </w:rPr>
              <w:t>6</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default" w:hAnsi="Courier New" w:eastAsia="宋体"/>
                <w:b w:val="0"/>
                <w:lang w:val="en-US" w:eastAsia="zh-CN"/>
              </w:rPr>
            </w:pPr>
            <w:r>
              <w:rPr>
                <w:rFonts w:hint="eastAsia" w:hAnsi="Courier New"/>
                <w:b w:val="0"/>
                <w:lang w:val="en-US" w:eastAsia="zh-CN"/>
              </w:rPr>
              <w:t>材料采用铝合金，台架表面光滑无毛刺。</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bl>
    <w:p>
      <w:pPr>
        <w:pStyle w:val="117"/>
      </w:pPr>
      <w:r>
        <w:rPr>
          <w:rFonts w:hint="eastAsia"/>
        </w:rPr>
        <w:t>3.2、配件技术要求</w:t>
      </w:r>
      <w:r>
        <w:rPr>
          <w:rFonts w:hint="eastAsia"/>
        </w:rPr>
        <w:tab/>
      </w:r>
    </w:p>
    <w:tbl>
      <w:tblPr>
        <w:tblStyle w:val="35"/>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5"/>
        <w:gridCol w:w="6221"/>
        <w:gridCol w:w="23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pPr>
            <w:r>
              <w:rPr>
                <w:rFonts w:hint="eastAsia" w:ascii="宋体" w:hAnsi="宋体" w:eastAsia="宋体" w:cs="宋体"/>
              </w:rPr>
              <w:t>序号</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default" w:eastAsia="宋体"/>
                <w:lang w:val="en-US" w:eastAsia="zh-CN"/>
              </w:rPr>
            </w:pPr>
            <w:r>
              <w:rPr>
                <w:rFonts w:hint="eastAsia" w:ascii="宋体" w:hAnsi="宋体" w:eastAsia="宋体" w:cs="宋体"/>
              </w:rPr>
              <w:t>主要技术参数</w:t>
            </w:r>
            <w:r>
              <w:rPr>
                <w:rFonts w:hint="eastAsia" w:ascii="宋体" w:hAnsi="宋体" w:eastAsia="宋体" w:cs="宋体"/>
                <w:lang w:val="en-US" w:eastAsia="zh-CN"/>
              </w:rPr>
              <w:t>及要求</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1</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eastAsia="宋体"/>
                <w:b w:val="0"/>
                <w:lang w:val="en-US" w:eastAsia="zh-CN"/>
              </w:rPr>
            </w:pPr>
            <w:r>
              <w:rPr>
                <w:rFonts w:hint="eastAsia"/>
                <w:b w:val="0"/>
              </w:rPr>
              <w:t>电源模块</w:t>
            </w:r>
            <w:r>
              <w:rPr>
                <w:rFonts w:hint="eastAsia"/>
                <w:b w:val="0"/>
                <w:lang w:eastAsia="zh-CN"/>
              </w:rPr>
              <w:t>：</w:t>
            </w:r>
            <w:r>
              <w:rPr>
                <w:rFonts w:hint="eastAsia" w:ascii="Times New Roman" w:hAnsi="Times New Roman" w:eastAsia="宋体" w:cs="Times New Roman"/>
                <w:b w:val="0"/>
                <w:sz w:val="21"/>
                <w:szCs w:val="20"/>
              </w:rPr>
              <w:t>220V交流电转24V直流电，功率不低于800W，输出直流电压可调节范围满足9-36V</w:t>
            </w:r>
            <w:r>
              <w:rPr>
                <w:rFonts w:hint="eastAsia"/>
                <w:b w:val="0"/>
                <w:lang w:val="en-US" w:eastAsia="zh-CN"/>
              </w:rPr>
              <w:t>。</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ascii="Times New Roman" w:hAnsi="Times New Roman" w:eastAsia="宋体" w:cs="Times New Roman"/>
                <w:b w:val="0"/>
                <w:sz w:val="21"/>
                <w:szCs w:val="20"/>
              </w:rPr>
              <w:t>建议品牌及型号：力源电源LY-2000，德士数字电源PSF-800L，德士数字电源PSF-1200L</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2</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CAN分析模块：支持CAN、CANFD网络的信号分析。</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ascii="Times New Roman" w:hAnsi="Times New Roman" w:eastAsia="宋体" w:cs="Times New Roman"/>
                <w:b w:val="0"/>
                <w:sz w:val="21"/>
                <w:szCs w:val="20"/>
              </w:rPr>
              <w:t>建议品牌及型号：Kingst LA5016，Hantek MPO6204D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3</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附件工具</w:t>
            </w:r>
            <w:r>
              <w:rPr>
                <w:rFonts w:hint="eastAsia" w:ascii="Times New Roman" w:hAnsi="Times New Roman" w:eastAsia="宋体" w:cs="Times New Roman"/>
                <w:b w:val="0"/>
                <w:bCs/>
                <w:lang w:eastAsia="zh-CN"/>
              </w:rPr>
              <w:t>：</w:t>
            </w:r>
            <w:r>
              <w:rPr>
                <w:rFonts w:hint="eastAsia" w:cs="Times New Roman"/>
                <w:b w:val="0"/>
                <w:bCs/>
                <w:lang w:eastAsia="zh-CN"/>
              </w:rPr>
              <w:t>万用表：</w:t>
            </w:r>
            <w:r>
              <w:rPr>
                <w:rFonts w:hint="eastAsia" w:ascii="Times New Roman" w:hAnsi="Times New Roman" w:eastAsia="宋体" w:cs="Times New Roman"/>
                <w:b w:val="0"/>
                <w:bCs/>
                <w:lang w:val="en-US" w:eastAsia="zh-CN"/>
              </w:rPr>
              <w:t>支持测量直流电压0-36V，电阻0-120Ω；</w:t>
            </w:r>
          </w:p>
          <w:p>
            <w:pPr>
              <w:pStyle w:val="114"/>
              <w:rPr>
                <w:rFonts w:hint="default" w:ascii="Times New Roman" w:hAnsi="Times New Roman" w:eastAsia="宋体" w:cs="Times New Roman"/>
                <w:b w:val="0"/>
                <w:bCs/>
                <w:lang w:val="en-US" w:eastAsia="zh-CN"/>
              </w:rPr>
            </w:pPr>
            <w:r>
              <w:rPr>
                <w:rFonts w:hint="eastAsia" w:cs="Times New Roman"/>
                <w:b w:val="0"/>
                <w:bCs/>
                <w:lang w:val="en-US" w:eastAsia="zh-CN"/>
              </w:rPr>
              <w:t>工具箱：</w:t>
            </w:r>
            <w:r>
              <w:rPr>
                <w:rFonts w:hint="eastAsia" w:ascii="Times New Roman" w:hAnsi="Times New Roman" w:eastAsia="宋体" w:cs="Times New Roman"/>
                <w:b w:val="0"/>
                <w:bCs/>
                <w:sz w:val="21"/>
                <w:szCs w:val="20"/>
              </w:rPr>
              <w:t>万用表，支持测量直流电压0-32V，电阻0-120Ω；工具箱，包含内六角扳手、活动扳手、十字螺丝刀、一字螺丝刀、卷尺等，支持拆卸安装支架</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4</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ascii="Times New Roman" w:hAnsi="Times New Roman" w:eastAsia="宋体" w:cs="Times New Roman"/>
                <w:b w:val="0"/>
                <w:bCs/>
                <w:lang w:eastAsia="zh-CN"/>
              </w:rPr>
            </w:pPr>
            <w:r>
              <w:rPr>
                <w:rFonts w:hint="eastAsia" w:ascii="Times New Roman" w:hAnsi="Times New Roman" w:eastAsia="宋体" w:cs="Times New Roman"/>
                <w:b w:val="0"/>
                <w:bCs/>
              </w:rPr>
              <w:t>激光雷达</w:t>
            </w:r>
            <w:r>
              <w:rPr>
                <w:rFonts w:hint="eastAsia" w:ascii="Times New Roman" w:hAnsi="Times New Roman" w:eastAsia="宋体" w:cs="Times New Roman"/>
                <w:b w:val="0"/>
                <w:bCs/>
                <w:lang w:val="en-US" w:eastAsia="zh-CN"/>
              </w:rPr>
              <w:t>模块</w:t>
            </w:r>
            <w:r>
              <w:rPr>
                <w:rFonts w:hint="eastAsia" w:ascii="Times New Roman" w:hAnsi="Times New Roman" w:eastAsia="宋体" w:cs="Times New Roman"/>
                <w:b w:val="0"/>
                <w:bCs/>
                <w:lang w:eastAsia="zh-CN"/>
              </w:rPr>
              <w:t>：感知FOV</w:t>
            </w:r>
            <w:r>
              <w:rPr>
                <w:rFonts w:hint="eastAsia" w:ascii="Times New Roman" w:hAnsi="Times New Roman" w:eastAsia="宋体" w:cs="Times New Roman"/>
                <w:b w:val="0"/>
                <w:bCs/>
                <w:lang w:val="en-US" w:eastAsia="zh-CN"/>
              </w:rPr>
              <w:t xml:space="preserve"> </w:t>
            </w:r>
            <w:r>
              <w:rPr>
                <w:rFonts w:hint="eastAsia" w:ascii="Times New Roman" w:hAnsi="Times New Roman" w:eastAsia="宋体" w:cs="Times New Roman"/>
                <w:b w:val="0"/>
                <w:bCs/>
                <w:lang w:eastAsia="zh-CN"/>
              </w:rPr>
              <w:t>120°* 25°，感知距离250m @10%，</w:t>
            </w:r>
          </w:p>
          <w:p>
            <w:pPr>
              <w:pStyle w:val="114"/>
              <w:rPr>
                <w:rFonts w:hint="eastAsia" w:ascii="Times New Roman" w:hAnsi="Times New Roman" w:eastAsia="宋体" w:cs="Times New Roman"/>
                <w:b w:val="0"/>
                <w:bCs/>
                <w:lang w:eastAsia="zh-CN"/>
              </w:rPr>
            </w:pPr>
            <w:r>
              <w:rPr>
                <w:rFonts w:hint="eastAsia" w:ascii="Times New Roman" w:hAnsi="Times New Roman" w:eastAsia="宋体" w:cs="Times New Roman"/>
                <w:b w:val="0"/>
                <w:bCs/>
                <w:lang w:eastAsia="zh-CN"/>
              </w:rPr>
              <w:t>输出频率10Hz。</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品牌及型号：图达通Falcon K2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eastAsia="宋体"/>
                <w:b w:val="0"/>
                <w:lang w:val="en-US" w:eastAsia="zh-CN"/>
              </w:rPr>
            </w:pPr>
            <w:r>
              <w:rPr>
                <w:rFonts w:hint="eastAsia"/>
                <w:b w:val="0"/>
                <w:lang w:val="en-US" w:eastAsia="zh-CN"/>
              </w:rPr>
              <w:t>5</w:t>
            </w:r>
          </w:p>
        </w:tc>
        <w:tc>
          <w:tcPr>
            <w:tcW w:w="3349" w:type="pct"/>
            <w:tcBorders>
              <w:top w:val="single" w:color="auto" w:sz="4" w:space="0"/>
              <w:left w:val="single" w:color="auto" w:sz="4" w:space="0"/>
              <w:bottom w:val="single" w:color="auto" w:sz="4" w:space="0"/>
              <w:right w:val="single" w:color="auto" w:sz="4" w:space="0"/>
            </w:tcBorders>
            <w:noWrap w:val="0"/>
            <w:vAlign w:val="top"/>
          </w:tcPr>
          <w:p>
            <w:pPr>
              <w:pStyle w:val="114"/>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域控制器模块：输入电压9V-36V，空载总功耗小于120W，</w:t>
            </w:r>
          </w:p>
          <w:p>
            <w:pPr>
              <w:pStyle w:val="114"/>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支持6路车载以太网、12路can、20路GMSL2视频输入。</w:t>
            </w:r>
          </w:p>
        </w:tc>
        <w:tc>
          <w:tcPr>
            <w:tcW w:w="1238" w:type="pct"/>
            <w:tcBorders>
              <w:top w:val="single" w:color="auto" w:sz="4" w:space="0"/>
              <w:left w:val="single" w:color="auto" w:sz="4" w:space="0"/>
              <w:bottom w:val="single" w:color="auto" w:sz="4" w:space="0"/>
              <w:right w:val="single" w:color="auto" w:sz="4" w:space="0"/>
            </w:tcBorders>
            <w:noWrap w:val="0"/>
            <w:vAlign w:val="top"/>
          </w:tcPr>
          <w:p>
            <w:pPr>
              <w:pStyle w:val="114"/>
              <w:rPr>
                <w:b w:val="0"/>
              </w:rPr>
            </w:pPr>
            <w:r>
              <w:rPr>
                <w:rFonts w:hint="eastAsia"/>
                <w:b w:val="0"/>
              </w:rPr>
              <w:t>品牌及型号：天准科技TADC-2J5-TC397</w:t>
            </w:r>
            <w:r>
              <w:rPr>
                <w:rFonts w:hint="eastAsia"/>
                <w:b w:val="0"/>
                <w:lang w:val="en-US" w:eastAsia="zh-CN"/>
              </w:rPr>
              <w:t xml:space="preserve"> </w:t>
            </w:r>
            <w:r>
              <w:rPr>
                <w:rFonts w:hint="eastAsia"/>
                <w:b w:val="0"/>
              </w:rPr>
              <w:t xml:space="preserve"> 2.0 X9U版</w:t>
            </w:r>
          </w:p>
        </w:tc>
      </w:tr>
    </w:tbl>
    <w:p>
      <w:pPr>
        <w:pStyle w:val="112"/>
        <w:rPr>
          <w:rFonts w:hint="eastAsia"/>
        </w:rPr>
      </w:pPr>
      <w:r>
        <w:rPr>
          <w:rFonts w:hint="eastAsia"/>
        </w:rPr>
        <w:t>四、执行标准</w:t>
      </w:r>
    </w:p>
    <w:p>
      <w:pPr>
        <w:spacing w:line="360" w:lineRule="auto"/>
        <w:ind w:firstLine="420" w:firstLineChars="200"/>
        <w:rPr>
          <w:rFonts w:hint="eastAsia" w:ascii="宋体" w:hAnsi="宋体"/>
          <w:color w:val="000000"/>
        </w:rPr>
      </w:pPr>
      <w:r>
        <w:rPr>
          <w:rFonts w:hint="eastAsia" w:ascii="宋体" w:hAnsi="宋体"/>
          <w:color w:val="000000"/>
        </w:rPr>
        <w:t>1、招标方此处所列标准仅为涉及的主要标准，而且不保证其为最新版执行标准；投标方应当在投标文件中认真予以填写、补充和修改完善。</w:t>
      </w:r>
    </w:p>
    <w:p>
      <w:pPr>
        <w:spacing w:line="360" w:lineRule="auto"/>
        <w:ind w:firstLine="420" w:firstLineChars="200"/>
        <w:rPr>
          <w:rFonts w:hint="eastAsia" w:ascii="宋体" w:hAnsi="宋体"/>
          <w:color w:val="000000"/>
        </w:rPr>
      </w:pPr>
      <w:r>
        <w:rPr>
          <w:rFonts w:hint="eastAsia" w:ascii="宋体" w:hAnsi="宋体"/>
          <w:color w:val="000000"/>
        </w:rPr>
        <w:t>2、投标方需要执行的标准，应当采用所供货物通过买方组织的最终验收之日已经开始执行的最新标准。</w:t>
      </w:r>
    </w:p>
    <w:p>
      <w:pPr>
        <w:spacing w:line="360" w:lineRule="auto"/>
        <w:ind w:firstLine="420" w:firstLineChars="200"/>
        <w:rPr>
          <w:rFonts w:hint="eastAsia" w:ascii="宋体" w:hAnsi="宋体"/>
          <w:color w:val="000000"/>
        </w:rPr>
      </w:pPr>
      <w:r>
        <w:rPr>
          <w:rFonts w:hint="eastAsia" w:ascii="宋体" w:hAnsi="宋体"/>
          <w:color w:val="000000"/>
        </w:rPr>
        <w:t>3、采购货物的产品质量、技术标准如在招投标文件中无相应说明，则按中华人民共和国有关部门颁发的最新的国标或专业（部）标准执行及相应的国际标准。</w:t>
      </w:r>
    </w:p>
    <w:p>
      <w:pPr>
        <w:spacing w:line="360" w:lineRule="auto"/>
        <w:ind w:firstLine="420" w:firstLineChars="200"/>
        <w:rPr>
          <w:rFonts w:hint="eastAsia" w:ascii="宋体" w:hAnsi="宋体"/>
          <w:color w:val="000000"/>
        </w:rPr>
      </w:pPr>
      <w:r>
        <w:rPr>
          <w:rFonts w:hint="eastAsia" w:ascii="宋体" w:hAnsi="宋体"/>
          <w:color w:val="000000"/>
        </w:rPr>
        <w:t>4、采购货物没有国家或专业（部）标准的，按企业标准执行时，卖方应在合同签署之前，将所涉及的企业标准提供给买方确认。</w:t>
      </w:r>
    </w:p>
    <w:p>
      <w:pPr>
        <w:spacing w:line="360" w:lineRule="auto"/>
        <w:ind w:firstLine="420" w:firstLineChars="200"/>
        <w:rPr>
          <w:rFonts w:hint="eastAsia" w:ascii="宋体" w:hAnsi="宋体"/>
          <w:color w:val="000000"/>
        </w:rPr>
      </w:pPr>
      <w:r>
        <w:rPr>
          <w:rFonts w:hint="eastAsia" w:ascii="宋体" w:hAnsi="宋体"/>
          <w:color w:val="000000"/>
        </w:rPr>
        <w:t>5、采购货物如果采用国际标准，其执行标准由投标方提供、招标方确认。</w:t>
      </w:r>
    </w:p>
    <w:p>
      <w:pPr>
        <w:spacing w:line="360" w:lineRule="auto"/>
        <w:ind w:firstLine="420" w:firstLineChars="200"/>
        <w:rPr>
          <w:rFonts w:hint="eastAsia" w:ascii="宋体" w:hAnsi="宋体"/>
          <w:color w:val="000000"/>
        </w:rPr>
      </w:pPr>
      <w:r>
        <w:rPr>
          <w:rFonts w:hint="eastAsia" w:ascii="宋体" w:hAnsi="宋体"/>
          <w:color w:val="000000"/>
        </w:rPr>
        <w:t>6、采购货物所涉及的标准不统一时，原则上按照最严格标准执行。</w:t>
      </w:r>
    </w:p>
    <w:p>
      <w:pPr>
        <w:spacing w:line="360" w:lineRule="auto"/>
        <w:ind w:firstLine="420" w:firstLineChars="200"/>
        <w:rPr>
          <w:rFonts w:hint="eastAsia" w:ascii="宋体" w:hAnsi="宋体"/>
          <w:color w:val="000000"/>
        </w:rPr>
      </w:pPr>
      <w:r>
        <w:rPr>
          <w:rFonts w:hint="eastAsia" w:ascii="宋体" w:hAnsi="宋体"/>
          <w:color w:val="000000"/>
        </w:rPr>
        <w:t xml:space="preserve">7、涉及的主要标准表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3402"/>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spacing w:line="360" w:lineRule="auto"/>
              <w:jc w:val="center"/>
              <w:rPr>
                <w:rFonts w:hint="eastAsia" w:ascii="宋体" w:hAnsi="宋体"/>
                <w:b/>
                <w:color w:val="000000"/>
              </w:rPr>
            </w:pPr>
            <w:r>
              <w:rPr>
                <w:rFonts w:hint="eastAsia" w:ascii="宋体" w:hAnsi="宋体"/>
                <w:b/>
                <w:color w:val="000000"/>
              </w:rPr>
              <w:t>序号</w:t>
            </w:r>
          </w:p>
        </w:tc>
        <w:tc>
          <w:tcPr>
            <w:tcW w:w="3675" w:type="dxa"/>
            <w:noWrap w:val="0"/>
            <w:vAlign w:val="center"/>
          </w:tcPr>
          <w:p>
            <w:pPr>
              <w:spacing w:line="360" w:lineRule="auto"/>
              <w:jc w:val="center"/>
              <w:rPr>
                <w:rFonts w:hint="eastAsia" w:ascii="宋体" w:hAnsi="宋体"/>
                <w:b/>
                <w:color w:val="000000"/>
              </w:rPr>
            </w:pPr>
            <w:r>
              <w:rPr>
                <w:rFonts w:hint="eastAsia" w:ascii="宋体" w:hAnsi="宋体"/>
                <w:b/>
                <w:color w:val="000000"/>
              </w:rPr>
              <w:t>标准名称</w:t>
            </w:r>
          </w:p>
        </w:tc>
        <w:tc>
          <w:tcPr>
            <w:tcW w:w="3402" w:type="dxa"/>
            <w:noWrap w:val="0"/>
            <w:vAlign w:val="center"/>
          </w:tcPr>
          <w:p>
            <w:pPr>
              <w:spacing w:line="360" w:lineRule="auto"/>
              <w:jc w:val="center"/>
              <w:rPr>
                <w:rFonts w:hint="eastAsia" w:ascii="宋体" w:hAnsi="宋体"/>
                <w:b/>
                <w:color w:val="000000"/>
              </w:rPr>
            </w:pPr>
            <w:r>
              <w:rPr>
                <w:rFonts w:hint="eastAsia" w:ascii="宋体" w:hAnsi="宋体"/>
                <w:b/>
                <w:color w:val="000000"/>
              </w:rPr>
              <w:t>标准编号</w:t>
            </w:r>
          </w:p>
        </w:tc>
        <w:tc>
          <w:tcPr>
            <w:tcW w:w="1098" w:type="dxa"/>
            <w:noWrap w:val="0"/>
            <w:vAlign w:val="center"/>
          </w:tcPr>
          <w:p>
            <w:pPr>
              <w:spacing w:line="360" w:lineRule="auto"/>
              <w:jc w:val="center"/>
              <w:rPr>
                <w:rFonts w:hint="eastAsia" w:ascii="宋体" w:hAnsi="宋体"/>
                <w:b/>
                <w:color w:val="000000"/>
              </w:rPr>
            </w:pPr>
            <w:r>
              <w:rPr>
                <w:rFonts w:hint="eastAsia" w:ascii="宋体"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pPr>
              <w:spacing w:line="360" w:lineRule="auto"/>
              <w:jc w:val="center"/>
              <w:rPr>
                <w:rFonts w:hint="eastAsia" w:ascii="宋体" w:hAnsi="宋体"/>
                <w:color w:val="000000"/>
              </w:rPr>
            </w:pPr>
            <w:r>
              <w:rPr>
                <w:rFonts w:hint="eastAsia" w:ascii="宋体" w:hAnsi="宋体"/>
                <w:color w:val="000000"/>
              </w:rPr>
              <w:t>1</w:t>
            </w:r>
          </w:p>
        </w:tc>
        <w:tc>
          <w:tcPr>
            <w:tcW w:w="3675" w:type="dxa"/>
            <w:noWrap w:val="0"/>
            <w:vAlign w:val="center"/>
          </w:tcPr>
          <w:p>
            <w:pPr>
              <w:spacing w:line="360" w:lineRule="auto"/>
              <w:jc w:val="left"/>
              <w:rPr>
                <w:rFonts w:hint="eastAsia" w:ascii="宋体" w:hAnsi="宋体" w:eastAsia="宋体"/>
                <w:color w:val="000000"/>
              </w:rPr>
            </w:pPr>
            <w:r>
              <w:rPr>
                <w:rFonts w:hint="eastAsia" w:ascii="宋体" w:hAnsi="宋体" w:eastAsia="宋体"/>
                <w:color w:val="000000"/>
              </w:rPr>
              <w:t>卖方提供企业标准</w:t>
            </w:r>
          </w:p>
        </w:tc>
        <w:tc>
          <w:tcPr>
            <w:tcW w:w="3402" w:type="dxa"/>
            <w:noWrap w:val="0"/>
            <w:vAlign w:val="center"/>
          </w:tcPr>
          <w:p>
            <w:pPr>
              <w:spacing w:line="360" w:lineRule="auto"/>
              <w:jc w:val="center"/>
              <w:rPr>
                <w:rFonts w:hint="eastAsia" w:ascii="宋体" w:hAnsi="宋体"/>
                <w:color w:val="000000"/>
              </w:rPr>
            </w:pPr>
          </w:p>
        </w:tc>
        <w:tc>
          <w:tcPr>
            <w:tcW w:w="1098" w:type="dxa"/>
            <w:noWrap w:val="0"/>
            <w:vAlign w:val="center"/>
          </w:tcPr>
          <w:p>
            <w:pPr>
              <w:spacing w:line="360" w:lineRule="auto"/>
              <w:jc w:val="center"/>
              <w:rPr>
                <w:rFonts w:hint="eastAsia" w:ascii="宋体" w:hAnsi="宋体"/>
                <w:color w:val="000000"/>
              </w:rPr>
            </w:pPr>
            <w:r>
              <w:rPr>
                <w:rFonts w:hint="eastAsia"/>
                <w:bCs/>
                <w:color w:val="000000"/>
                <w:szCs w:val="21"/>
              </w:rPr>
              <w:t>买方确认</w:t>
            </w:r>
          </w:p>
        </w:tc>
      </w:tr>
      <w:bookmarkEnd w:id="48"/>
    </w:tbl>
    <w:p>
      <w:pPr>
        <w:pStyle w:val="130"/>
        <w:rPr>
          <w:rFonts w:hint="eastAsia"/>
        </w:rPr>
      </w:pPr>
      <w:r>
        <w:br w:type="page"/>
      </w:r>
      <w:bookmarkStart w:id="49" w:name="_Toc22796"/>
      <w:bookmarkStart w:id="50" w:name="_Toc24459"/>
      <w:bookmarkStart w:id="51" w:name="_Toc465187642"/>
      <w:r>
        <w:rPr>
          <w:rFonts w:hint="eastAsia"/>
        </w:rPr>
        <w:t>第</w:t>
      </w:r>
      <w:r>
        <w:rPr>
          <w:rFonts w:hint="eastAsia"/>
          <w:lang w:eastAsia="zh-CN"/>
        </w:rPr>
        <w:t>三</w:t>
      </w:r>
      <w:r>
        <w:rPr>
          <w:rFonts w:hint="eastAsia"/>
        </w:rPr>
        <w:t>章  供货范围及供货方式</w:t>
      </w:r>
      <w:bookmarkEnd w:id="49"/>
      <w:bookmarkEnd w:id="50"/>
      <w:bookmarkEnd w:id="51"/>
    </w:p>
    <w:p>
      <w:pPr>
        <w:pStyle w:val="112"/>
        <w:rPr>
          <w:rFonts w:hint="eastAsia"/>
        </w:rPr>
      </w:pPr>
      <w:bookmarkStart w:id="52" w:name="_Toc465187643"/>
      <w:r>
        <w:rPr>
          <w:rFonts w:hint="eastAsia"/>
        </w:rPr>
        <w:t>第一节  供货范围</w:t>
      </w:r>
      <w:bookmarkEnd w:id="52"/>
    </w:p>
    <w:p>
      <w:pPr>
        <w:spacing w:line="420" w:lineRule="exact"/>
        <w:ind w:firstLine="420" w:firstLineChars="200"/>
        <w:rPr>
          <w:rFonts w:hint="eastAsia" w:ascii="黑体" w:hAnsi="宋体" w:eastAsia="黑体"/>
          <w:color w:val="000000"/>
        </w:rPr>
      </w:pPr>
      <w:r>
        <w:rPr>
          <w:rFonts w:hint="eastAsia" w:ascii="黑体" w:hAnsi="宋体" w:eastAsia="黑体"/>
          <w:color w:val="000000"/>
        </w:rPr>
        <w:t>一、供货范围</w:t>
      </w:r>
    </w:p>
    <w:p>
      <w:pPr>
        <w:spacing w:line="420" w:lineRule="exact"/>
        <w:ind w:firstLine="420" w:firstLineChars="200"/>
        <w:rPr>
          <w:rFonts w:hint="eastAsia" w:ascii="宋体" w:hAnsi="宋体"/>
          <w:b/>
          <w:color w:val="000000"/>
        </w:rPr>
      </w:pPr>
      <w:r>
        <w:rPr>
          <w:rFonts w:hint="eastAsia" w:ascii="宋体" w:hAnsi="宋体"/>
          <w:b/>
          <w:color w:val="000000"/>
        </w:rPr>
        <w:t>（一）一般界定</w:t>
      </w:r>
    </w:p>
    <w:p>
      <w:pPr>
        <w:spacing w:line="420" w:lineRule="exact"/>
        <w:ind w:firstLine="420" w:firstLineChars="200"/>
        <w:rPr>
          <w:rFonts w:hint="eastAsia" w:ascii="宋体" w:hAnsi="宋体"/>
          <w:color w:val="000000"/>
        </w:rPr>
      </w:pPr>
      <w:r>
        <w:rPr>
          <w:rFonts w:hint="eastAsia" w:ascii="宋体" w:hAnsi="宋体"/>
          <w:color w:val="000000"/>
        </w:rPr>
        <w:t>1、包括本技术标书所列明的主要货物以及货物正常运行所必需的全套连线设备、材料等。</w:t>
      </w:r>
    </w:p>
    <w:p>
      <w:pPr>
        <w:spacing w:line="420" w:lineRule="exact"/>
        <w:ind w:firstLine="420" w:firstLineChars="200"/>
        <w:rPr>
          <w:rFonts w:hint="eastAsia" w:ascii="宋体" w:hAnsi="宋体"/>
          <w:color w:val="000000"/>
        </w:rPr>
      </w:pPr>
      <w:r>
        <w:rPr>
          <w:rFonts w:hint="eastAsia" w:ascii="宋体" w:hAnsi="宋体"/>
          <w:color w:val="000000"/>
        </w:rPr>
        <w:t>2、包括为保证货物正常安装、调试和验收完成及以前所必需的整套配件、附件及材料等。</w:t>
      </w:r>
    </w:p>
    <w:p>
      <w:pPr>
        <w:spacing w:line="420" w:lineRule="exact"/>
        <w:ind w:firstLine="420" w:firstLineChars="200"/>
        <w:rPr>
          <w:rFonts w:hint="eastAsia" w:ascii="宋体" w:hAnsi="宋体"/>
          <w:color w:val="000000"/>
        </w:rPr>
      </w:pPr>
      <w:r>
        <w:rPr>
          <w:rFonts w:hint="eastAsia" w:ascii="宋体" w:hAnsi="宋体"/>
          <w:color w:val="000000"/>
        </w:rPr>
        <w:t>如果终验收完成后，卖方有需要收回的配件、附件、材料等，应当在投标文件的技术偏离条款中，予以详细说明；否则视同包括在供货范围之内。</w:t>
      </w:r>
    </w:p>
    <w:p>
      <w:pPr>
        <w:spacing w:line="420" w:lineRule="exact"/>
        <w:ind w:firstLine="420" w:firstLineChars="200"/>
        <w:rPr>
          <w:rFonts w:hint="eastAsia" w:ascii="宋体" w:hAnsi="宋体"/>
          <w:color w:val="000000"/>
        </w:rPr>
      </w:pPr>
      <w:r>
        <w:rPr>
          <w:rFonts w:hint="eastAsia" w:ascii="宋体" w:hAnsi="宋体"/>
          <w:color w:val="000000"/>
        </w:rPr>
        <w:t>3、包括货物维护维修所必需的专用工具。</w:t>
      </w:r>
    </w:p>
    <w:p>
      <w:pPr>
        <w:spacing w:line="420" w:lineRule="exact"/>
        <w:ind w:firstLine="420" w:firstLineChars="200"/>
        <w:rPr>
          <w:rFonts w:hint="eastAsia" w:ascii="宋体" w:hAnsi="宋体"/>
          <w:color w:val="000000"/>
        </w:rPr>
      </w:pPr>
      <w:r>
        <w:rPr>
          <w:rFonts w:hint="eastAsia" w:ascii="宋体" w:hAnsi="宋体"/>
          <w:color w:val="000000"/>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20" w:firstLineChars="200"/>
        <w:rPr>
          <w:rFonts w:hint="eastAsia" w:ascii="宋体" w:hAnsi="宋体"/>
          <w:color w:val="000000"/>
        </w:rPr>
      </w:pPr>
      <w:r>
        <w:rPr>
          <w:rFonts w:hint="eastAsia" w:ascii="宋体" w:hAnsi="宋体"/>
          <w:color w:val="000000"/>
        </w:rPr>
        <w:t>包括为保证货物自身正常运行所必需的、满足使用地点环境条件的通风、冷却、降温等必需设施。</w:t>
      </w:r>
    </w:p>
    <w:p>
      <w:pPr>
        <w:spacing w:line="420" w:lineRule="exact"/>
        <w:ind w:firstLine="420" w:firstLineChars="200"/>
        <w:rPr>
          <w:rFonts w:hint="eastAsia" w:ascii="宋体" w:hAnsi="宋体"/>
          <w:color w:val="000000"/>
        </w:rPr>
      </w:pPr>
      <w:r>
        <w:rPr>
          <w:rFonts w:hint="eastAsia" w:ascii="宋体" w:hAnsi="宋体"/>
          <w:color w:val="000000"/>
        </w:rPr>
        <w:t>如投标方难以提供或无优势提供以及属于选用配置的，则应当在投标文件的技术偏离条款中，予以详细说明并注明投标报价未包含该部分的货值。</w:t>
      </w:r>
    </w:p>
    <w:p>
      <w:pPr>
        <w:spacing w:line="420" w:lineRule="exact"/>
        <w:ind w:firstLine="420" w:firstLineChars="200"/>
        <w:rPr>
          <w:rFonts w:hint="eastAsia" w:ascii="宋体" w:hAnsi="宋体"/>
          <w:b/>
          <w:color w:val="000000"/>
        </w:rPr>
      </w:pPr>
      <w:r>
        <w:rPr>
          <w:rFonts w:hint="eastAsia" w:ascii="宋体" w:hAnsi="宋体"/>
          <w:b/>
          <w:color w:val="000000"/>
        </w:rPr>
        <w:t>（二）供货范围边界界定</w:t>
      </w:r>
    </w:p>
    <w:p>
      <w:pPr>
        <w:spacing w:line="420" w:lineRule="exact"/>
        <w:ind w:firstLine="420" w:firstLineChars="200"/>
        <w:rPr>
          <w:rFonts w:hint="eastAsia" w:ascii="宋体" w:hAnsi="宋体"/>
          <w:color w:val="000000"/>
        </w:rPr>
      </w:pPr>
      <w:r>
        <w:rPr>
          <w:rFonts w:hint="eastAsia" w:ascii="宋体" w:hAnsi="宋体"/>
          <w:color w:val="000000"/>
        </w:rPr>
        <w:t>1、买方提供货物所需的建筑物（如厂房等）和构筑物（如混凝土池、砼基础等），包含正常安装施工所需的预埋件（如穿管、预埋螺栓、螺母及垫片）。</w:t>
      </w:r>
    </w:p>
    <w:p>
      <w:pPr>
        <w:spacing w:line="420" w:lineRule="exact"/>
        <w:ind w:firstLine="420" w:firstLineChars="200"/>
        <w:rPr>
          <w:rFonts w:hint="eastAsia" w:ascii="宋体" w:hAnsi="宋体"/>
          <w:color w:val="000000"/>
        </w:rPr>
      </w:pPr>
      <w:r>
        <w:rPr>
          <w:rFonts w:hint="eastAsia" w:ascii="宋体" w:hAnsi="宋体"/>
          <w:color w:val="000000"/>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20" w:firstLineChars="200"/>
        <w:rPr>
          <w:rFonts w:hint="eastAsia" w:ascii="宋体" w:hAnsi="宋体"/>
          <w:color w:val="000000"/>
        </w:rPr>
      </w:pPr>
      <w:r>
        <w:rPr>
          <w:rFonts w:hint="eastAsia" w:ascii="宋体" w:hAnsi="宋体"/>
          <w:color w:val="000000"/>
        </w:rPr>
        <w:t>如果投标方认为能源系统接口地点以及操控地点之间的货物数量不清或难以界定，应当以书面方式询标或以单价方式报价；否则视同满足招标方要求。</w:t>
      </w:r>
    </w:p>
    <w:p>
      <w:pPr>
        <w:spacing w:line="420" w:lineRule="exact"/>
        <w:ind w:firstLine="420" w:firstLineChars="200"/>
        <w:rPr>
          <w:rFonts w:hint="eastAsia" w:ascii="宋体" w:hAnsi="宋体"/>
          <w:color w:val="000000"/>
        </w:rPr>
      </w:pPr>
      <w:r>
        <w:rPr>
          <w:rFonts w:hint="eastAsia" w:ascii="宋体" w:hAnsi="宋体"/>
          <w:color w:val="000000"/>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20" w:firstLineChars="200"/>
        <w:rPr>
          <w:rFonts w:hint="eastAsia" w:ascii="宋体" w:hAnsi="宋体"/>
          <w:color w:val="000000"/>
        </w:rPr>
      </w:pPr>
      <w:r>
        <w:rPr>
          <w:rFonts w:hint="eastAsia" w:ascii="宋体" w:hAnsi="宋体"/>
          <w:color w:val="000000"/>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spacing w:line="420" w:lineRule="exact"/>
        <w:ind w:firstLine="420" w:firstLineChars="200"/>
        <w:rPr>
          <w:rFonts w:hint="eastAsia" w:ascii="黑体" w:hAnsi="宋体" w:eastAsia="黑体"/>
          <w:color w:val="000000"/>
        </w:rPr>
      </w:pPr>
      <w:r>
        <w:rPr>
          <w:rFonts w:hint="eastAsia" w:ascii="黑体" w:hAnsi="宋体" w:eastAsia="黑体"/>
          <w:color w:val="000000"/>
        </w:rPr>
        <w:t>二、备品备件、易损件和专用耗材供货范围</w:t>
      </w:r>
    </w:p>
    <w:p>
      <w:pPr>
        <w:spacing w:line="420" w:lineRule="exact"/>
        <w:ind w:firstLine="420" w:firstLineChars="200"/>
        <w:rPr>
          <w:rFonts w:hint="eastAsia" w:ascii="宋体" w:hAnsi="宋体"/>
          <w:color w:val="000000"/>
        </w:rPr>
      </w:pPr>
      <w:r>
        <w:rPr>
          <w:rFonts w:hint="eastAsia" w:ascii="宋体" w:hAnsi="宋体"/>
          <w:color w:val="000000"/>
        </w:rPr>
        <w:t>1、备品备件、易损件和专用耗材是招标方为保证货物质保期之后正常运行一年所自备自用的备品备件、易损件和专用耗材。</w:t>
      </w:r>
    </w:p>
    <w:p>
      <w:pPr>
        <w:spacing w:line="420" w:lineRule="exact"/>
        <w:ind w:firstLine="420" w:firstLineChars="200"/>
        <w:rPr>
          <w:rFonts w:hint="eastAsia" w:ascii="宋体" w:hAnsi="宋体"/>
          <w:color w:val="000000"/>
        </w:rPr>
      </w:pPr>
      <w:r>
        <w:rPr>
          <w:rFonts w:hint="eastAsia" w:ascii="宋体" w:hAnsi="宋体"/>
          <w:color w:val="000000"/>
        </w:rPr>
        <w:t>质保期之内正常需要的备品备件、易损件和专用耗材全部包括在供货范围之内而不属于本条款界定的范围（应有明细）。</w:t>
      </w:r>
    </w:p>
    <w:p>
      <w:pPr>
        <w:spacing w:line="420" w:lineRule="exact"/>
        <w:ind w:firstLine="420" w:firstLineChars="200"/>
        <w:rPr>
          <w:rFonts w:hint="eastAsia" w:ascii="宋体" w:hAnsi="宋体"/>
          <w:color w:val="000000"/>
        </w:rPr>
      </w:pPr>
      <w:r>
        <w:rPr>
          <w:rFonts w:hint="eastAsia" w:ascii="宋体" w:hAnsi="宋体"/>
          <w:color w:val="000000"/>
        </w:rPr>
        <w:t>2、供货范围包括易损件和专用耗材的制造图纸及其技术要求等资料，如涉及专有技术或无法提供，应在投标文件中予以澄清或说明。</w:t>
      </w:r>
    </w:p>
    <w:p>
      <w:pPr>
        <w:spacing w:line="420" w:lineRule="exact"/>
        <w:ind w:firstLine="420" w:firstLineChars="200"/>
        <w:rPr>
          <w:rFonts w:hint="eastAsia" w:ascii="黑体" w:hAnsi="宋体" w:eastAsia="黑体"/>
          <w:color w:val="000000"/>
        </w:rPr>
      </w:pPr>
      <w:r>
        <w:rPr>
          <w:rFonts w:hint="eastAsia" w:ascii="黑体" w:hAnsi="宋体" w:eastAsia="黑体"/>
          <w:color w:val="000000"/>
        </w:rPr>
        <w:t>三、技术资料供货范围</w:t>
      </w:r>
    </w:p>
    <w:p>
      <w:pPr>
        <w:spacing w:line="420" w:lineRule="exact"/>
        <w:ind w:firstLine="420" w:firstLineChars="200"/>
        <w:rPr>
          <w:rFonts w:hint="eastAsia" w:ascii="宋体" w:hAnsi="宋体"/>
          <w:color w:val="000000"/>
        </w:rPr>
      </w:pPr>
      <w:r>
        <w:rPr>
          <w:rFonts w:hint="eastAsia" w:ascii="宋体" w:hAnsi="宋体"/>
          <w:color w:val="000000"/>
        </w:rPr>
        <w:t>技术资料供货范围包括：</w:t>
      </w:r>
    </w:p>
    <w:p>
      <w:pPr>
        <w:spacing w:line="420" w:lineRule="exact"/>
        <w:ind w:firstLine="420" w:firstLineChars="200"/>
        <w:rPr>
          <w:rFonts w:hint="eastAsia" w:ascii="宋体" w:hAnsi="宋体"/>
          <w:bCs/>
          <w:color w:val="000000"/>
        </w:rPr>
      </w:pPr>
      <w:r>
        <w:rPr>
          <w:rFonts w:hint="eastAsia" w:ascii="宋体" w:hAnsi="宋体"/>
          <w:color w:val="000000"/>
        </w:rPr>
        <w:t>1、在</w:t>
      </w:r>
      <w:r>
        <w:rPr>
          <w:rFonts w:hint="eastAsia" w:ascii="宋体" w:hAnsi="宋体"/>
          <w:bCs/>
          <w:color w:val="000000"/>
        </w:rPr>
        <w:t>合同签订后</w:t>
      </w:r>
      <w:r>
        <w:rPr>
          <w:rFonts w:hint="eastAsia" w:ascii="宋体" w:hAnsi="宋体"/>
          <w:bCs/>
          <w:color w:val="000000"/>
          <w:u w:val="single"/>
          <w:shd w:val="pct10" w:color="auto" w:fill="FFFFFF"/>
        </w:rPr>
        <w:t xml:space="preserve"> 30 </w:t>
      </w:r>
      <w:r>
        <w:rPr>
          <w:rFonts w:hint="eastAsia" w:ascii="宋体" w:hAnsi="宋体"/>
          <w:bCs/>
          <w:color w:val="000000"/>
        </w:rPr>
        <w:t>个日历日内，提供货物基础及相关的设计、制作所需的纸质及电子版资料；电子版文件应当能够使用常用版本软件可以阅读甚至使用，进口货物、设备应有中外文对照。</w:t>
      </w:r>
    </w:p>
    <w:p>
      <w:pPr>
        <w:spacing w:line="420" w:lineRule="exact"/>
        <w:ind w:firstLine="420" w:firstLineChars="200"/>
        <w:rPr>
          <w:rFonts w:hint="eastAsia" w:ascii="宋体" w:hAnsi="宋体"/>
          <w:color w:val="000000"/>
        </w:rPr>
      </w:pPr>
      <w:r>
        <w:rPr>
          <w:rFonts w:hint="eastAsia" w:ascii="宋体" w:hAnsi="宋体"/>
          <w:color w:val="000000"/>
        </w:rPr>
        <w:t>2、在预验收前，</w:t>
      </w:r>
      <w:r>
        <w:rPr>
          <w:rFonts w:hint="eastAsia" w:ascii="宋体" w:hAnsi="宋体"/>
          <w:bCs/>
          <w:color w:val="000000"/>
        </w:rPr>
        <w:t>提供货物各部分的功能描述文件、图片、影像等资料（进口、设备应有中外文对照）。</w:t>
      </w:r>
    </w:p>
    <w:p>
      <w:pPr>
        <w:spacing w:line="420" w:lineRule="exact"/>
        <w:ind w:firstLine="420" w:firstLineChars="200"/>
        <w:rPr>
          <w:rFonts w:hint="eastAsia" w:ascii="宋体" w:hAnsi="宋体"/>
          <w:color w:val="000000"/>
        </w:rPr>
      </w:pPr>
      <w:r>
        <w:rPr>
          <w:rFonts w:hint="eastAsia" w:ascii="宋体" w:hAnsi="宋体"/>
          <w:color w:val="000000"/>
        </w:rPr>
        <w:t>3、在终验收前，提供为保证货物后续正常运行所需的工装、吊（挂）具明细及其图纸、具体技术要求等资料（如果供货范围包含该部分实物）。</w:t>
      </w:r>
    </w:p>
    <w:p>
      <w:pPr>
        <w:spacing w:line="420" w:lineRule="exact"/>
        <w:ind w:firstLine="420" w:firstLineChars="200"/>
        <w:rPr>
          <w:rFonts w:hint="eastAsia" w:ascii="宋体" w:hAnsi="宋体"/>
          <w:color w:val="000000"/>
        </w:rPr>
      </w:pPr>
      <w:r>
        <w:rPr>
          <w:rFonts w:hint="eastAsia" w:ascii="宋体" w:hAnsi="宋体"/>
          <w:color w:val="000000"/>
        </w:rPr>
        <w:t>4、在终验收前，提供确定的维修所需要且买方可以自行采购的外购件、外协件、电气元件及主要原材料的供货厂家明细表。</w:t>
      </w:r>
    </w:p>
    <w:p>
      <w:pPr>
        <w:spacing w:line="420" w:lineRule="exact"/>
        <w:ind w:firstLine="420" w:firstLineChars="200"/>
        <w:rPr>
          <w:rFonts w:hint="eastAsia" w:ascii="宋体" w:hAnsi="宋体"/>
          <w:color w:val="000000"/>
        </w:rPr>
      </w:pPr>
      <w:r>
        <w:rPr>
          <w:rFonts w:hint="eastAsia" w:ascii="宋体" w:hAnsi="宋体"/>
          <w:color w:val="000000"/>
        </w:rPr>
        <w:t>5、在终验收后、终验收后的第一笔货款支付日之前，提供包括货物的备品备件、易损件和专用耗材的图纸及技术参数、技术要求等资料。</w:t>
      </w:r>
    </w:p>
    <w:p>
      <w:pPr>
        <w:spacing w:line="420" w:lineRule="exact"/>
        <w:ind w:firstLine="420" w:firstLineChars="200"/>
        <w:rPr>
          <w:rFonts w:hint="eastAsia" w:ascii="宋体" w:hAnsi="宋体"/>
          <w:color w:val="000000"/>
        </w:rPr>
      </w:pPr>
      <w:r>
        <w:rPr>
          <w:rFonts w:hint="eastAsia" w:ascii="宋体" w:hAnsi="宋体"/>
          <w:color w:val="000000"/>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20" w:firstLineChars="200"/>
        <w:rPr>
          <w:rFonts w:hint="eastAsia" w:ascii="宋体" w:hAnsi="宋体"/>
          <w:color w:val="000000"/>
        </w:rPr>
      </w:pPr>
      <w:r>
        <w:rPr>
          <w:rFonts w:hint="eastAsia" w:ascii="宋体" w:hAnsi="宋体"/>
          <w:color w:val="000000"/>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20" w:firstLineChars="200"/>
        <w:rPr>
          <w:rFonts w:hint="eastAsia" w:ascii="宋体" w:hAnsi="宋体"/>
          <w:color w:val="000000"/>
        </w:rPr>
      </w:pPr>
      <w:r>
        <w:rPr>
          <w:rFonts w:hint="eastAsia" w:ascii="宋体" w:hAnsi="宋体"/>
          <w:color w:val="000000"/>
        </w:rPr>
        <w:t>8、本条款所列的技术资料、图片、影像等，投标方应各提供5套，其中2套为电子版光（软）盘；每份技术文件应装有目录清单。</w:t>
      </w:r>
    </w:p>
    <w:p>
      <w:pPr>
        <w:spacing w:line="420" w:lineRule="exact"/>
        <w:ind w:firstLine="420" w:firstLineChars="200"/>
        <w:rPr>
          <w:rFonts w:hint="eastAsia" w:ascii="宋体" w:hAnsi="宋体"/>
          <w:color w:val="000000"/>
        </w:rPr>
      </w:pPr>
      <w:r>
        <w:rPr>
          <w:rFonts w:hint="eastAsia" w:ascii="宋体" w:hAnsi="宋体"/>
          <w:color w:val="000000"/>
        </w:rPr>
        <w:t>9、本条款所列要求，如招标方认为投标方提供的资料不能满足要求时，有权要求投标方免费补充或增加。</w:t>
      </w:r>
    </w:p>
    <w:p>
      <w:pPr>
        <w:spacing w:line="420" w:lineRule="exact"/>
        <w:ind w:firstLine="420" w:firstLineChars="200"/>
        <w:rPr>
          <w:rFonts w:hint="eastAsia" w:ascii="黑体" w:hAnsi="宋体" w:eastAsia="黑体"/>
          <w:color w:val="000000"/>
        </w:rPr>
      </w:pPr>
      <w:r>
        <w:rPr>
          <w:rFonts w:hint="eastAsia" w:ascii="黑体" w:hAnsi="宋体" w:eastAsia="黑体"/>
          <w:color w:val="000000"/>
        </w:rPr>
        <w:t>四、供货范围特别提示</w:t>
      </w:r>
    </w:p>
    <w:p>
      <w:pPr>
        <w:spacing w:line="420" w:lineRule="exact"/>
        <w:ind w:firstLine="420" w:firstLineChars="200"/>
        <w:rPr>
          <w:rFonts w:hint="eastAsia" w:ascii="宋体" w:hAnsi="宋体"/>
          <w:color w:val="000000"/>
        </w:rPr>
      </w:pPr>
      <w:r>
        <w:rPr>
          <w:rFonts w:hint="eastAsia" w:ascii="宋体" w:hAnsi="宋体"/>
          <w:color w:val="000000"/>
        </w:rPr>
        <w:t>如果投标方认为本节所列的供货范围难以满足，则仍需要按照本要求提供，但该部分货物应当在投标报价中单独列明货物名称及品质、货值。</w:t>
      </w:r>
    </w:p>
    <w:p>
      <w:pPr>
        <w:pStyle w:val="112"/>
        <w:rPr>
          <w:rFonts w:hint="eastAsia"/>
        </w:rPr>
      </w:pPr>
      <w:bookmarkStart w:id="53" w:name="_Toc465187644"/>
      <w:r>
        <w:rPr>
          <w:rFonts w:hint="eastAsia"/>
        </w:rPr>
        <w:t>第二节  供货方式</w:t>
      </w:r>
      <w:bookmarkEnd w:id="53"/>
    </w:p>
    <w:p>
      <w:pPr>
        <w:spacing w:line="420" w:lineRule="exact"/>
        <w:ind w:firstLine="420" w:firstLineChars="200"/>
        <w:rPr>
          <w:rFonts w:hint="eastAsia" w:ascii="宋体" w:hAnsi="宋体"/>
          <w:b/>
          <w:color w:val="000000"/>
        </w:rPr>
      </w:pPr>
      <w:r>
        <w:rPr>
          <w:rFonts w:hint="eastAsia" w:ascii="宋体" w:hAnsi="宋体"/>
          <w:b/>
          <w:color w:val="000000"/>
        </w:rPr>
        <w:t>一、供货方式</w:t>
      </w:r>
    </w:p>
    <w:p>
      <w:pPr>
        <w:spacing w:line="420" w:lineRule="exact"/>
        <w:ind w:firstLine="420" w:firstLineChars="200"/>
        <w:rPr>
          <w:rFonts w:hint="eastAsia" w:ascii="宋体" w:hAnsi="宋体"/>
          <w:color w:val="000000"/>
        </w:rPr>
      </w:pPr>
      <w:r>
        <w:rPr>
          <w:rFonts w:hint="eastAsia" w:ascii="宋体" w:hAnsi="宋体"/>
          <w:color w:val="00000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ind w:firstLine="420" w:firstLineChars="200"/>
        <w:rPr>
          <w:rFonts w:hint="eastAsia" w:ascii="宋体" w:hAnsi="宋体"/>
          <w:color w:val="000000"/>
        </w:rPr>
      </w:pPr>
      <w:r>
        <w:rPr>
          <w:rFonts w:hint="eastAsia" w:ascii="黑体" w:hAnsi="宋体" w:eastAsia="黑体"/>
          <w:color w:val="000000"/>
        </w:rPr>
        <w:t>二、供货地点：</w:t>
      </w:r>
      <w:r>
        <w:rPr>
          <w:rFonts w:hint="eastAsia" w:ascii="宋体" w:hAnsi="宋体"/>
          <w:color w:val="000000"/>
        </w:rPr>
        <w:t>本项目建设工地。</w:t>
      </w:r>
    </w:p>
    <w:p>
      <w:pPr>
        <w:spacing w:line="420" w:lineRule="exact"/>
        <w:ind w:firstLine="420" w:firstLineChars="200"/>
        <w:jc w:val="left"/>
        <w:rPr>
          <w:rFonts w:hint="eastAsia" w:ascii="黑体" w:hAnsi="宋体" w:eastAsia="黑体"/>
          <w:color w:val="000000"/>
        </w:rPr>
      </w:pPr>
      <w:r>
        <w:rPr>
          <w:rFonts w:hint="eastAsia" w:ascii="黑体" w:hAnsi="宋体" w:eastAsia="黑体"/>
          <w:color w:val="000000"/>
        </w:rPr>
        <w:t>三、供货时间</w:t>
      </w:r>
    </w:p>
    <w:p>
      <w:pPr>
        <w:spacing w:line="420" w:lineRule="exact"/>
        <w:ind w:firstLine="420" w:firstLineChars="200"/>
        <w:jc w:val="left"/>
        <w:rPr>
          <w:rFonts w:hint="eastAsia" w:ascii="宋体" w:hAnsi="宋体"/>
          <w:color w:val="000000"/>
        </w:rPr>
      </w:pPr>
      <w:r>
        <w:rPr>
          <w:rFonts w:hint="eastAsia" w:ascii="宋体" w:hAnsi="宋体"/>
          <w:color w:val="000000"/>
        </w:rPr>
        <w:t>1、自合同签定生效之日起，</w:t>
      </w:r>
      <w:r>
        <w:rPr>
          <w:rFonts w:hint="eastAsia" w:ascii="宋体" w:hAnsi="宋体"/>
          <w:color w:val="000000"/>
          <w:u w:val="single"/>
          <w:shd w:val="pct10" w:color="auto" w:fill="FFFFFF"/>
        </w:rPr>
        <w:t xml:space="preserve">  </w:t>
      </w:r>
      <w:r>
        <w:rPr>
          <w:rFonts w:hint="eastAsia" w:ascii="宋体" w:hAnsi="宋体"/>
          <w:color w:val="000000"/>
          <w:u w:val="single"/>
          <w:shd w:val="pct10" w:color="auto" w:fill="FFFFFF"/>
          <w:lang w:val="en-US" w:eastAsia="zh-CN"/>
        </w:rPr>
        <w:t>90</w:t>
      </w:r>
      <w:r>
        <w:rPr>
          <w:rFonts w:hint="eastAsia" w:ascii="宋体" w:hAnsi="宋体"/>
          <w:color w:val="000000"/>
          <w:u w:val="single"/>
          <w:shd w:val="pct10" w:color="auto" w:fill="FFFFFF"/>
        </w:rPr>
        <w:t xml:space="preserve">  </w:t>
      </w:r>
      <w:r>
        <w:rPr>
          <w:rFonts w:hint="eastAsia" w:ascii="宋体" w:hAnsi="宋体"/>
          <w:color w:val="000000"/>
        </w:rPr>
        <w:t>个日历日之内交货至供货地点。</w:t>
      </w:r>
    </w:p>
    <w:p>
      <w:pPr>
        <w:spacing w:line="420" w:lineRule="exact"/>
        <w:ind w:firstLine="420" w:firstLineChars="200"/>
        <w:jc w:val="left"/>
        <w:rPr>
          <w:rFonts w:hint="eastAsia" w:ascii="宋体" w:hAnsi="宋体"/>
          <w:color w:val="000000"/>
        </w:rPr>
      </w:pPr>
      <w:r>
        <w:rPr>
          <w:rFonts w:hint="eastAsia" w:ascii="宋体" w:hAnsi="宋体"/>
          <w:color w:val="000000"/>
        </w:rPr>
        <w:t>2、接续</w:t>
      </w:r>
      <w:r>
        <w:rPr>
          <w:rFonts w:hint="eastAsia" w:ascii="宋体" w:hAnsi="宋体"/>
          <w:color w:val="000000"/>
          <w:u w:val="single"/>
          <w:shd w:val="pct10" w:color="auto" w:fill="FFFFFF"/>
        </w:rPr>
        <w:t xml:space="preserve"> </w:t>
      </w:r>
      <w:r>
        <w:rPr>
          <w:rFonts w:hint="eastAsia" w:ascii="宋体" w:hAnsi="宋体"/>
          <w:color w:val="000000"/>
          <w:u w:val="single"/>
          <w:shd w:val="pct10" w:color="auto" w:fill="FFFFFF"/>
          <w:lang w:val="en-US" w:eastAsia="zh-CN"/>
        </w:rPr>
        <w:t>9</w:t>
      </w:r>
      <w:r>
        <w:rPr>
          <w:rFonts w:hint="eastAsia" w:ascii="宋体" w:hAnsi="宋体"/>
          <w:color w:val="000000"/>
          <w:u w:val="single"/>
          <w:shd w:val="pct10" w:color="auto" w:fill="FFFFFF"/>
        </w:rPr>
        <w:t>0</w:t>
      </w:r>
      <w:r>
        <w:rPr>
          <w:rFonts w:hint="eastAsia" w:ascii="宋体" w:hAnsi="宋体"/>
          <w:color w:val="000000"/>
        </w:rPr>
        <w:t>个日历日之内安装调试（或指导安装调试）完毕。</w:t>
      </w:r>
    </w:p>
    <w:p>
      <w:pPr>
        <w:spacing w:line="420" w:lineRule="exact"/>
        <w:ind w:firstLine="420" w:firstLineChars="200"/>
        <w:jc w:val="left"/>
        <w:rPr>
          <w:rFonts w:hint="eastAsia" w:ascii="宋体" w:hAnsi="宋体"/>
          <w:color w:val="000000"/>
        </w:rPr>
      </w:pPr>
      <w:r>
        <w:rPr>
          <w:rFonts w:hint="eastAsia" w:ascii="宋体" w:hAnsi="宋体"/>
          <w:color w:val="000000"/>
        </w:rPr>
        <w:t>3、终验收在</w:t>
      </w:r>
      <w:r>
        <w:rPr>
          <w:rFonts w:hint="eastAsia" w:ascii="宋体" w:hAnsi="宋体"/>
          <w:color w:val="000000"/>
          <w:u w:val="single"/>
          <w:shd w:val="pct10" w:color="auto" w:fill="FFFFFF"/>
        </w:rPr>
        <w:t xml:space="preserve">  10</w:t>
      </w:r>
      <w:r>
        <w:rPr>
          <w:rFonts w:hint="eastAsia" w:ascii="宋体" w:hAnsi="宋体"/>
          <w:color w:val="000000"/>
        </w:rPr>
        <w:t>个日历日之内完成（或协助完成）。</w:t>
      </w:r>
    </w:p>
    <w:p>
      <w:pPr>
        <w:spacing w:line="420" w:lineRule="exact"/>
        <w:ind w:firstLine="420" w:firstLineChars="200"/>
        <w:jc w:val="left"/>
        <w:rPr>
          <w:rFonts w:hint="eastAsia" w:ascii="宋体" w:hAnsi="宋体"/>
          <w:color w:val="000000"/>
        </w:rPr>
      </w:pPr>
      <w:r>
        <w:rPr>
          <w:rFonts w:hint="eastAsia" w:ascii="宋体" w:hAnsi="宋体"/>
          <w:color w:val="000000"/>
        </w:rPr>
        <w:t>安装调试工期超过10个日历日的，投标方应当随标书提供详细的工期计划。</w:t>
      </w:r>
    </w:p>
    <w:p>
      <w:pPr>
        <w:spacing w:line="420" w:lineRule="exact"/>
        <w:ind w:firstLine="420" w:firstLineChars="200"/>
        <w:rPr>
          <w:rFonts w:hint="eastAsia" w:ascii="黑体" w:hAnsi="宋体" w:eastAsia="黑体"/>
          <w:color w:val="000000"/>
        </w:rPr>
      </w:pPr>
      <w:r>
        <w:rPr>
          <w:rFonts w:hint="eastAsia" w:ascii="黑体" w:hAnsi="宋体" w:eastAsia="黑体"/>
          <w:color w:val="000000"/>
        </w:rPr>
        <w:t>四、包装</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1、所提供货物（或设备）的包装，应遵照国家标准和有关包装、包皮的技术条件，或按照最好的商业惯例进行包装。</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3、所提供货物（或设备）的包装，应能防止其一般性被窃或受外力破坏；一般不得采用有大缝隙的板条包装。</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4、应对包装件做必要的加固和固定，以防止运输可能造成的损坏。</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5、每个包装件应有装箱单，并至少标明名称、型号规格、数量、净重和毛重、投标方（或供货商）名称和制造日期等相关内容。</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7、应按照不同的装运要求在包装箱上标明“小心轻放”、“箭头向上”、“防潮”、“防磁”、“不准平放”等标志，以及其它适用的国标通用标志。</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8、包装箱应连续编号，不应出现重复编号。</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9、在不受到外界破坏情况下，包装应保证自交货日起一年内货物（或设备）完好无损。</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五、运输</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1、应负责将货物（或设备）运到目的地，并必须做到货物（或设备）在任何运输过程中不受损坏和遗失。</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2、同批货物（或设备）应统一包装、编号运输。</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3、一般情况下，经由铁路、公路运输的包装件尺寸和重量不应超过国家所规定的尺寸限制。特殊情况应予以说明。</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4、在每批货物（或设备）发出后，应立即通知买方；通知中应指明：合同号、货运单号、件数、重量和货物（或设备）发出日期等相关内容。</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5、货物（或设备）运抵交货地点后，应负责货物（或设备）的卸货、搬运、保管等事宜；或按照合同约定。</w:t>
      </w:r>
    </w:p>
    <w:p>
      <w:pPr>
        <w:adjustRightInd w:val="0"/>
        <w:snapToGrid w:val="0"/>
        <w:spacing w:line="420" w:lineRule="exact"/>
        <w:ind w:firstLine="420" w:firstLineChars="200"/>
        <w:rPr>
          <w:rFonts w:hint="eastAsia" w:ascii="宋体" w:hAnsi="宋体"/>
          <w:color w:val="000000"/>
        </w:rPr>
      </w:pPr>
    </w:p>
    <w:p>
      <w:pPr>
        <w:pStyle w:val="130"/>
        <w:rPr>
          <w:rFonts w:hint="eastAsia"/>
        </w:rPr>
      </w:pPr>
      <w:r>
        <w:rPr>
          <w:rFonts w:ascii="宋体" w:hAnsi="宋体"/>
        </w:rPr>
        <w:br w:type="page"/>
      </w:r>
      <w:bookmarkStart w:id="54" w:name="_Toc28295"/>
      <w:bookmarkStart w:id="55" w:name="_Toc25243"/>
      <w:bookmarkStart w:id="56" w:name="_Toc465187645"/>
      <w:r>
        <w:rPr>
          <w:rFonts w:hint="eastAsia"/>
        </w:rPr>
        <w:t>第</w:t>
      </w:r>
      <w:r>
        <w:rPr>
          <w:rFonts w:hint="eastAsia"/>
          <w:lang w:eastAsia="zh-CN"/>
        </w:rPr>
        <w:t>四</w:t>
      </w:r>
      <w:r>
        <w:rPr>
          <w:rFonts w:hint="eastAsia"/>
        </w:rPr>
        <w:t>章  质保期及售后服务</w:t>
      </w:r>
      <w:bookmarkEnd w:id="54"/>
      <w:bookmarkEnd w:id="55"/>
      <w:bookmarkEnd w:id="56"/>
    </w:p>
    <w:p>
      <w:pPr>
        <w:spacing w:line="420" w:lineRule="exact"/>
        <w:ind w:firstLine="420" w:firstLineChars="200"/>
        <w:jc w:val="left"/>
        <w:rPr>
          <w:rFonts w:hint="eastAsia" w:ascii="黑体" w:hAnsi="宋体" w:eastAsia="黑体"/>
          <w:color w:val="000000"/>
        </w:rPr>
      </w:pPr>
      <w:r>
        <w:rPr>
          <w:rFonts w:hint="eastAsia" w:ascii="黑体" w:hAnsi="宋体" w:eastAsia="黑体"/>
          <w:color w:val="000000"/>
        </w:rPr>
        <w:t>一、质保期及质保要求</w:t>
      </w:r>
    </w:p>
    <w:p>
      <w:pPr>
        <w:spacing w:line="420" w:lineRule="exact"/>
        <w:ind w:firstLine="420" w:firstLineChars="200"/>
        <w:jc w:val="left"/>
        <w:rPr>
          <w:rFonts w:hint="eastAsia" w:ascii="宋体" w:hAnsi="宋体"/>
          <w:color w:val="000000"/>
          <w:highlight w:val="none"/>
        </w:rPr>
      </w:pPr>
      <w:r>
        <w:rPr>
          <w:rFonts w:hint="eastAsia" w:ascii="宋体" w:hAnsi="宋体"/>
          <w:color w:val="000000"/>
          <w:highlight w:val="none"/>
        </w:rPr>
        <w:t>1、全部供货范围内的设备、材料、零配件和工器具等，除合同特别约定外，其质保期均自终验收签字生效之日起</w:t>
      </w:r>
      <w:r>
        <w:rPr>
          <w:rFonts w:hint="eastAsia" w:ascii="宋体" w:hAnsi="宋体"/>
          <w:color w:val="000000"/>
          <w:highlight w:val="none"/>
          <w:u w:val="single"/>
          <w:shd w:val="pct10" w:color="auto" w:fill="FFFFFF"/>
          <w:lang w:val="en-US" w:eastAsia="zh-CN"/>
        </w:rPr>
        <w:t>12</w:t>
      </w:r>
      <w:r>
        <w:rPr>
          <w:rFonts w:hint="eastAsia" w:ascii="宋体" w:hAnsi="宋体"/>
          <w:color w:val="000000"/>
          <w:highlight w:val="none"/>
          <w:u w:val="single"/>
          <w:shd w:val="pct10" w:color="auto" w:fill="FFFFFF"/>
        </w:rPr>
        <w:t xml:space="preserve"> </w:t>
      </w:r>
      <w:r>
        <w:rPr>
          <w:rFonts w:hint="eastAsia" w:ascii="宋体" w:hAnsi="宋体"/>
          <w:color w:val="000000"/>
          <w:highlight w:val="none"/>
        </w:rPr>
        <w:t>个月。</w:t>
      </w:r>
    </w:p>
    <w:p>
      <w:pPr>
        <w:spacing w:line="420" w:lineRule="exact"/>
        <w:ind w:firstLine="420" w:firstLineChars="200"/>
        <w:jc w:val="left"/>
        <w:rPr>
          <w:rFonts w:hint="eastAsia" w:ascii="宋体" w:hAnsi="宋体"/>
          <w:color w:val="000000"/>
        </w:rPr>
      </w:pPr>
      <w:r>
        <w:rPr>
          <w:rFonts w:hint="eastAsia" w:ascii="宋体" w:hAnsi="宋体"/>
          <w:color w:val="000000"/>
          <w:highlight w:val="none"/>
        </w:rPr>
        <w:t>投标货物或涉及的关键总</w:t>
      </w:r>
      <w:r>
        <w:rPr>
          <w:rFonts w:hint="eastAsia" w:ascii="宋体" w:hAnsi="宋体"/>
          <w:color w:val="000000"/>
        </w:rPr>
        <w:t>成和零件，如果有更长时间质保期，允许更改并说明，此将有利于投标方。</w:t>
      </w:r>
    </w:p>
    <w:p>
      <w:pPr>
        <w:spacing w:line="420" w:lineRule="exact"/>
        <w:ind w:firstLine="420" w:firstLineChars="200"/>
        <w:jc w:val="left"/>
        <w:rPr>
          <w:rFonts w:hint="eastAsia" w:ascii="宋体" w:hAnsi="宋体"/>
          <w:color w:val="000000"/>
        </w:rPr>
      </w:pPr>
      <w:r>
        <w:rPr>
          <w:rFonts w:hint="eastAsia" w:ascii="宋体" w:hAnsi="宋体"/>
          <w:color w:val="000000"/>
        </w:rPr>
        <w:t>设计使用寿命短于质保期的易损件除外，但属于易损件的，应当有明确说明。</w:t>
      </w:r>
    </w:p>
    <w:p>
      <w:pPr>
        <w:spacing w:line="420" w:lineRule="exact"/>
        <w:ind w:firstLine="420" w:firstLineChars="200"/>
        <w:jc w:val="left"/>
        <w:rPr>
          <w:rFonts w:hint="eastAsia" w:ascii="宋体" w:hAnsi="宋体"/>
          <w:color w:val="000000"/>
        </w:rPr>
      </w:pPr>
      <w:r>
        <w:rPr>
          <w:rFonts w:hint="eastAsia" w:ascii="宋体" w:hAnsi="宋体"/>
          <w:color w:val="000000"/>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20" w:firstLineChars="200"/>
        <w:jc w:val="left"/>
        <w:rPr>
          <w:rFonts w:hint="eastAsia" w:ascii="宋体" w:hAnsi="宋体"/>
          <w:color w:val="000000"/>
        </w:rPr>
      </w:pPr>
      <w:r>
        <w:rPr>
          <w:rFonts w:hint="eastAsia" w:ascii="宋体" w:hAnsi="宋体"/>
          <w:color w:val="000000"/>
        </w:rPr>
        <w:t>3、质保期内免费提供零部件和及时有效的服务。质保期内因货物本身缺陷造成的各种故障，卖方应负责免费维修和服务。</w:t>
      </w:r>
    </w:p>
    <w:p>
      <w:pPr>
        <w:spacing w:line="420" w:lineRule="exact"/>
        <w:ind w:firstLine="420" w:firstLineChars="200"/>
        <w:jc w:val="left"/>
        <w:rPr>
          <w:rFonts w:hint="eastAsia" w:ascii="宋体" w:hAnsi="宋体"/>
          <w:color w:val="000000"/>
        </w:rPr>
      </w:pPr>
      <w:r>
        <w:rPr>
          <w:rFonts w:hint="eastAsia" w:ascii="宋体" w:hAnsi="宋体"/>
          <w:color w:val="000000"/>
        </w:rPr>
        <w:t>4、质保期终止之日起一年内重复出现的质保期之内出现的故障，仍属质保范围而且应当免费。</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二、技术及培训服务</w:t>
      </w:r>
    </w:p>
    <w:p>
      <w:pPr>
        <w:adjustRightInd w:val="0"/>
        <w:snapToGrid w:val="0"/>
        <w:spacing w:line="420" w:lineRule="exact"/>
        <w:ind w:firstLine="420" w:firstLineChars="200"/>
        <w:rPr>
          <w:rFonts w:hint="eastAsia" w:ascii="宋体" w:hAnsi="宋体"/>
          <w:color w:val="000000"/>
        </w:rPr>
      </w:pPr>
      <w:r>
        <w:rPr>
          <w:rFonts w:ascii="宋体" w:hAnsi="宋体"/>
          <w:color w:val="000000"/>
        </w:rPr>
        <w:t>1</w:t>
      </w:r>
      <w:r>
        <w:rPr>
          <w:rFonts w:hint="eastAsia" w:ascii="宋体" w:hAnsi="宋体"/>
          <w:color w:val="000000"/>
        </w:rPr>
        <w:t>、应负责在买方货物使用现场，对技术、维修和操作人员提供免费的理论、技术和操作、维修等方面的技术指导和培训，并接受买方有关人员的技术咨询。培训工作日不少于</w:t>
      </w:r>
      <w:r>
        <w:rPr>
          <w:rFonts w:hint="eastAsia" w:ascii="宋体" w:hAnsi="宋体"/>
          <w:color w:val="000000"/>
          <w:u w:val="single"/>
          <w:shd w:val="pct10" w:color="auto" w:fill="FFFFFF"/>
        </w:rPr>
        <w:t xml:space="preserve">2 </w:t>
      </w:r>
      <w:r>
        <w:rPr>
          <w:rFonts w:hint="eastAsia" w:ascii="宋体" w:hAnsi="宋体"/>
          <w:color w:val="000000"/>
        </w:rPr>
        <w:t>个日历日。</w:t>
      </w:r>
    </w:p>
    <w:p>
      <w:pPr>
        <w:adjustRightInd w:val="0"/>
        <w:snapToGrid w:val="0"/>
        <w:spacing w:line="420" w:lineRule="exact"/>
        <w:ind w:firstLine="420" w:firstLineChars="200"/>
        <w:rPr>
          <w:rFonts w:hint="eastAsia" w:ascii="宋体" w:hAnsi="宋体"/>
          <w:color w:val="000000"/>
        </w:rPr>
      </w:pPr>
      <w:r>
        <w:rPr>
          <w:rFonts w:ascii="宋体" w:hAnsi="宋体"/>
          <w:color w:val="000000"/>
        </w:rPr>
        <w:t>2</w:t>
      </w:r>
      <w:r>
        <w:rPr>
          <w:rFonts w:hint="eastAsia" w:ascii="宋体" w:hAnsi="宋体"/>
          <w:color w:val="000000"/>
        </w:rPr>
        <w:t>、应免费提供一定数量的培训资料。</w:t>
      </w:r>
    </w:p>
    <w:p>
      <w:pPr>
        <w:adjustRightInd w:val="0"/>
        <w:snapToGrid w:val="0"/>
        <w:spacing w:line="420" w:lineRule="exact"/>
        <w:ind w:firstLine="420" w:firstLineChars="200"/>
        <w:rPr>
          <w:rFonts w:hint="eastAsia" w:ascii="宋体" w:hAnsi="宋体"/>
          <w:color w:val="000000"/>
        </w:rPr>
      </w:pPr>
      <w:r>
        <w:rPr>
          <w:rFonts w:ascii="宋体" w:hAnsi="宋体"/>
          <w:color w:val="000000"/>
        </w:rPr>
        <w:t>3</w:t>
      </w:r>
      <w:r>
        <w:rPr>
          <w:rFonts w:hint="eastAsia" w:ascii="宋体" w:hAnsi="宋体"/>
          <w:color w:val="000000"/>
        </w:rPr>
        <w:t>、应按要求免费积极协助和提供买方以及买方所委托的工程设计单位有关人员所需要的、与货物有关的工程设计资料、技术咨询等。</w:t>
      </w:r>
    </w:p>
    <w:p>
      <w:pPr>
        <w:adjustRightInd w:val="0"/>
        <w:snapToGrid w:val="0"/>
        <w:spacing w:line="420" w:lineRule="exact"/>
        <w:ind w:firstLine="420" w:firstLineChars="200"/>
        <w:rPr>
          <w:rFonts w:hint="eastAsia" w:ascii="宋体" w:hAnsi="宋体"/>
          <w:color w:val="000000"/>
        </w:rPr>
      </w:pPr>
      <w:r>
        <w:rPr>
          <w:rFonts w:ascii="宋体" w:hAnsi="宋体"/>
          <w:color w:val="000000"/>
        </w:rPr>
        <w:t>4</w:t>
      </w:r>
      <w:r>
        <w:rPr>
          <w:rFonts w:hint="eastAsia" w:ascii="宋体" w:hAnsi="宋体"/>
          <w:color w:val="000000"/>
        </w:rPr>
        <w:t>、若卖方提供货物涉及到外购外协货物、而且该货物的技术质量等较为关键时，卖方应能保证得到配套厂家的技术支持，并免费为买方提供技术服务。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20" w:firstLineChars="200"/>
        <w:rPr>
          <w:rFonts w:hint="eastAsia" w:ascii="宋体" w:hAnsi="宋体"/>
          <w:color w:val="000000"/>
        </w:rPr>
      </w:pPr>
      <w:r>
        <w:rPr>
          <w:rFonts w:ascii="宋体" w:hAnsi="宋体"/>
          <w:color w:val="000000"/>
        </w:rPr>
        <w:t>5</w:t>
      </w:r>
      <w:r>
        <w:rPr>
          <w:rFonts w:hint="eastAsia" w:ascii="宋体" w:hAnsi="宋体"/>
          <w:color w:val="000000"/>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三、安装调试及验收服务</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5、卖方应当向买方提供货物试验、验收的有关标准、规范和方法，同时提供货物涉及并使用的软件合法性证明。</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6、服务缺陷视同货物缺陷和履约延期。</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四、售后服务</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1、卖方提供的货物涉及的所有售后服务均由卖方负责。如果发生问题并且收到通知，卖方应当在2小时内予以答复。</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2、如发现所提供的货物存在问题，需要卖方解决或配合解决时：在质保期之内，应在接到通知后</w:t>
      </w:r>
      <w:r>
        <w:rPr>
          <w:rFonts w:hint="eastAsia" w:ascii="宋体" w:hAnsi="宋体"/>
          <w:color w:val="000000"/>
          <w:u w:val="single"/>
          <w:shd w:val="pct10" w:color="auto" w:fill="FFFFFF"/>
        </w:rPr>
        <w:t xml:space="preserve">  24   </w:t>
      </w:r>
      <w:r>
        <w:rPr>
          <w:rFonts w:hint="eastAsia" w:ascii="宋体" w:hAnsi="宋体"/>
          <w:color w:val="000000"/>
        </w:rPr>
        <w:t>小时内派有关人员到达现场；在质保期之外，应在接到通知后</w:t>
      </w:r>
      <w:r>
        <w:rPr>
          <w:rFonts w:hint="eastAsia" w:ascii="宋体" w:hAnsi="宋体"/>
          <w:color w:val="000000"/>
          <w:u w:val="single"/>
          <w:shd w:val="pct10" w:color="auto" w:fill="FFFFFF"/>
        </w:rPr>
        <w:t xml:space="preserve">  72   </w:t>
      </w:r>
      <w:r>
        <w:rPr>
          <w:rFonts w:hint="eastAsia" w:ascii="宋体" w:hAnsi="宋体"/>
          <w:color w:val="000000"/>
        </w:rPr>
        <w:t>小时内派有关人员到达现场。</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3、卖方派往买方使用现场的人员，应具有较高的业务素质；现场解决问题时，不得无故拖延或推迟，应为买方提供最佳的服务。</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五、其它服务</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1、若卖方所提供货物有需要进口的，卖方一般应自行、自费办理；必要时，买卖双方共同办理。</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2、除招标文件、投标文件、答疑文件、技术协议、合同等约定之外，卖方应免费负责必要的或强制性的货物的检验、试验、化验等直接费用。</w:t>
      </w:r>
    </w:p>
    <w:p>
      <w:pPr>
        <w:spacing w:line="420" w:lineRule="exact"/>
        <w:ind w:firstLine="420" w:firstLineChars="200"/>
        <w:rPr>
          <w:rFonts w:hint="eastAsia"/>
          <w:color w:val="000000"/>
        </w:rPr>
      </w:pPr>
      <w:r>
        <w:rPr>
          <w:rFonts w:hint="eastAsia" w:ascii="宋体" w:hAnsi="宋体"/>
          <w:color w:val="000000"/>
        </w:rPr>
        <w:t>3、本章节条款所列“免费”，并非指定不可收费，而是指招标文件、投标文件、</w:t>
      </w:r>
      <w:r>
        <w:rPr>
          <w:rFonts w:hint="eastAsia"/>
          <w:color w:val="000000"/>
        </w:rPr>
        <w:t>答疑文件、技术交流文件、技术协议书和合同等范围之外，投标方不可另行收取的费用。</w:t>
      </w:r>
    </w:p>
    <w:p>
      <w:pPr>
        <w:pStyle w:val="130"/>
        <w:rPr>
          <w:rFonts w:hint="eastAsia"/>
        </w:rPr>
      </w:pPr>
      <w:r>
        <w:rPr>
          <w:rFonts w:ascii="宋体" w:hAnsi="宋体"/>
        </w:rPr>
        <w:br w:type="page"/>
      </w:r>
      <w:bookmarkStart w:id="57" w:name="_Toc11331"/>
      <w:bookmarkStart w:id="58" w:name="_Toc17653"/>
      <w:r>
        <w:rPr>
          <w:rFonts w:hint="eastAsia"/>
        </w:rPr>
        <w:t>第</w:t>
      </w:r>
      <w:r>
        <w:rPr>
          <w:rFonts w:hint="eastAsia"/>
          <w:lang w:eastAsia="zh-CN"/>
        </w:rPr>
        <w:t>五</w:t>
      </w:r>
      <w:r>
        <w:rPr>
          <w:rFonts w:hint="eastAsia"/>
        </w:rPr>
        <w:t>章  预验收和终验收</w:t>
      </w:r>
      <w:bookmarkEnd w:id="57"/>
      <w:bookmarkEnd w:id="58"/>
    </w:p>
    <w:p>
      <w:pPr>
        <w:spacing w:line="420" w:lineRule="exact"/>
        <w:ind w:firstLine="420" w:firstLineChars="200"/>
        <w:rPr>
          <w:rFonts w:hint="eastAsia" w:ascii="黑体" w:hAnsi="宋体" w:eastAsia="黑体"/>
          <w:color w:val="000000"/>
        </w:rPr>
      </w:pPr>
      <w:r>
        <w:rPr>
          <w:rFonts w:hint="eastAsia" w:ascii="黑体" w:hAnsi="宋体" w:eastAsia="黑体"/>
          <w:color w:val="000000"/>
        </w:rPr>
        <w:t>一、验收依据和验收标准</w:t>
      </w:r>
    </w:p>
    <w:p>
      <w:pPr>
        <w:spacing w:line="420" w:lineRule="exact"/>
        <w:ind w:firstLine="420" w:firstLineChars="200"/>
        <w:rPr>
          <w:rFonts w:hint="eastAsia" w:ascii="宋体" w:hAnsi="宋体"/>
          <w:color w:val="000000"/>
        </w:rPr>
      </w:pPr>
      <w:r>
        <w:rPr>
          <w:rFonts w:hint="eastAsia" w:ascii="宋体" w:hAnsi="宋体"/>
          <w:color w:val="000000"/>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二、检验</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1、国产货物的检验一般由买卖双方共同进行或按照合同要求进行。</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2、进口货物的检验，卖方需要按照下述要求进行：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2.1  进口货物发货前，应对货物的质量、型号、规格、性能和数量/重量作精密、全面的检验，并出具证明书，证明所供货物符合合同规定。</w:t>
      </w:r>
    </w:p>
    <w:p>
      <w:pPr>
        <w:adjustRightInd w:val="0"/>
        <w:snapToGrid w:val="0"/>
        <w:spacing w:line="420" w:lineRule="exact"/>
        <w:ind w:firstLine="420" w:firstLineChars="200"/>
        <w:rPr>
          <w:rFonts w:ascii="宋体" w:hAnsi="宋体"/>
          <w:color w:val="000000"/>
        </w:rPr>
      </w:pPr>
      <w:r>
        <w:rPr>
          <w:rFonts w:hint="eastAsia" w:ascii="宋体" w:hAnsi="宋体"/>
          <w:color w:val="000000"/>
        </w:rPr>
        <w:t>2.2  应依据合同规定的要求，提供买卖双方达成一致的货物的验收标准和装箱单，作为买方检验的依据。</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2.3  进口货物到达目的地后，买方有权申请中国商品检验检疫局进行检验，如发现货物的品质及规格与合同或发票不符，除买方的责任外，买方有权在货物到达卸货目的地后18</w:t>
      </w:r>
      <w:r>
        <w:rPr>
          <w:rFonts w:ascii="宋体" w:hAnsi="宋体"/>
          <w:color w:val="000000"/>
        </w:rPr>
        <w:t>0</w:t>
      </w:r>
      <w:r>
        <w:rPr>
          <w:rFonts w:hint="eastAsia" w:ascii="宋体" w:hAnsi="宋体"/>
          <w:color w:val="000000"/>
        </w:rPr>
        <w:t>个日历日内，根据中国商品检验检疫局出具的证明书向卖方提出索赔，因索赔所发生的一切费用</w:t>
      </w:r>
      <w:r>
        <w:rPr>
          <w:rFonts w:ascii="宋体" w:hAnsi="宋体"/>
          <w:color w:val="000000"/>
        </w:rPr>
        <w:t>(</w:t>
      </w:r>
      <w:r>
        <w:rPr>
          <w:rFonts w:hint="eastAsia" w:ascii="宋体" w:hAnsi="宋体"/>
          <w:color w:val="000000"/>
        </w:rPr>
        <w:t>包括检验检疫费等</w:t>
      </w:r>
      <w:r>
        <w:rPr>
          <w:rFonts w:ascii="宋体" w:hAnsi="宋体"/>
          <w:color w:val="000000"/>
        </w:rPr>
        <w:t>)</w:t>
      </w:r>
      <w:r>
        <w:rPr>
          <w:rFonts w:hint="eastAsia" w:ascii="宋体" w:hAnsi="宋体"/>
          <w:color w:val="000000"/>
        </w:rPr>
        <w:t>均由卖方承担。</w:t>
      </w:r>
    </w:p>
    <w:p>
      <w:pPr>
        <w:adjustRightInd w:val="0"/>
        <w:snapToGrid w:val="0"/>
        <w:spacing w:line="420" w:lineRule="exact"/>
        <w:ind w:firstLine="420" w:firstLineChars="200"/>
        <w:rPr>
          <w:rFonts w:hint="eastAsia" w:ascii="黑体" w:hAnsi="宋体" w:eastAsia="黑体"/>
          <w:color w:val="000000"/>
        </w:rPr>
      </w:pPr>
      <w:r>
        <w:rPr>
          <w:rFonts w:hint="eastAsia" w:ascii="黑体" w:hAnsi="宋体" w:eastAsia="黑体"/>
          <w:color w:val="000000"/>
        </w:rPr>
        <w:t>三、验收基本条件</w:t>
      </w:r>
    </w:p>
    <w:p>
      <w:pPr>
        <w:adjustRightInd w:val="0"/>
        <w:snapToGrid w:val="0"/>
        <w:spacing w:line="420" w:lineRule="exact"/>
        <w:ind w:firstLine="420" w:firstLineChars="200"/>
        <w:rPr>
          <w:rFonts w:hint="eastAsia" w:ascii="宋体" w:hAnsi="宋体"/>
          <w:color w:val="000000"/>
        </w:rPr>
      </w:pPr>
      <w:r>
        <w:rPr>
          <w:rFonts w:hint="eastAsia"/>
          <w:color w:val="000000"/>
        </w:rPr>
        <w:t>验收一般分预验收和终验收两部分。预验收一般在卖方现场进行，终验收在安装调试完成及试运行后的买方现场进行。但是所有的项目，包括不能预验收的项目和预验收通过的项目都在终验收</w:t>
      </w:r>
      <w:r>
        <w:rPr>
          <w:rFonts w:hint="eastAsia" w:ascii="宋体" w:hAnsi="宋体"/>
          <w:color w:val="000000"/>
        </w:rPr>
        <w:t>时重新检验，最终只以终验收为准。</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买卖双方按照合同约定执行了合同，同时货物完成了试运行并经检验合格，则具备验收条件。</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1、预验收一般条件</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1.1  卖方已经按照“供货范围”要求提供了预验收资料，并且资料齐全、完整和有效。</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1.2  货物应完整且所有的零部件应该安装牢固，外观无损伤，所有的焊缝饱满、无残渣等缺陷。</w:t>
      </w:r>
    </w:p>
    <w:p>
      <w:pPr>
        <w:adjustRightInd w:val="0"/>
        <w:snapToGrid w:val="0"/>
        <w:spacing w:line="420" w:lineRule="exact"/>
        <w:ind w:firstLine="420" w:firstLineChars="200"/>
        <w:rPr>
          <w:rFonts w:ascii="宋体" w:hAnsi="宋体"/>
          <w:color w:val="000000"/>
        </w:rPr>
      </w:pPr>
      <w:r>
        <w:rPr>
          <w:rFonts w:hint="eastAsia" w:ascii="宋体" w:hAnsi="宋体"/>
          <w:color w:val="000000"/>
        </w:rPr>
        <w:t>1.2  货物的油漆质量应饱满、有光泽，无掉漆、无色差、无“桔皮”等不良现象（特殊标志除外）。</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1.3  货物标牌完整、清晰、明确。</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1.4  货物的安全要求符合中国最新的相关法律、法规、标准和规范以及合同要求。</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2、终验收一般条件</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2.1  经过预验收而且没有出现新的质量问题，或者满足预验收条款。</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2.2  货物安装调试完毕，并至少经过了验收要求的负荷试运行。</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2.3  货物正常运行时，噪声等环境影响因素满足国家和当地环保主管部门规定，安全措施落实、有效。</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2.4  计量仪器、仪表配套合理，采用中国的法定计量单位，计量准确、灵敏可靠。保证设计指标和仪器说明书的参数的实现。</w:t>
      </w:r>
    </w:p>
    <w:p>
      <w:pPr>
        <w:adjustRightInd w:val="0"/>
        <w:snapToGrid w:val="0"/>
        <w:spacing w:line="420" w:lineRule="exact"/>
        <w:ind w:firstLine="420" w:firstLineChars="200"/>
        <w:rPr>
          <w:rFonts w:ascii="宋体" w:hAnsi="宋体"/>
          <w:color w:val="000000"/>
        </w:rPr>
      </w:pPr>
      <w:r>
        <w:rPr>
          <w:rFonts w:hint="eastAsia" w:ascii="宋体" w:hAnsi="宋体"/>
          <w:color w:val="000000"/>
        </w:rPr>
        <w:t>2.5  试运行期间或之后无维修、调整等行为（特殊情况除外）。</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2.6  货物质量、技术性能等，达到签定的技术协议书和合同规定的终验收标准。</w:t>
      </w:r>
    </w:p>
    <w:p>
      <w:pPr>
        <w:spacing w:line="420" w:lineRule="exact"/>
        <w:ind w:firstLine="420" w:firstLineChars="200"/>
        <w:rPr>
          <w:rFonts w:hint="eastAsia" w:ascii="宋体" w:hAnsi="宋体"/>
          <w:color w:val="000000"/>
        </w:rPr>
      </w:pPr>
      <w:r>
        <w:rPr>
          <w:rFonts w:hint="eastAsia" w:ascii="宋体" w:hAnsi="宋体"/>
          <w:color w:val="000000"/>
        </w:rPr>
        <w:t>3、终验收基本要求</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 xml:space="preserve">3.1   </w:t>
      </w:r>
      <w:r>
        <w:rPr>
          <w:rFonts w:hint="eastAsia" w:ascii="宋体" w:hAnsi="宋体" w:eastAsiaTheme="minorEastAsia" w:cstheme="minorBidi"/>
          <w:color w:val="000000"/>
          <w:sz w:val="21"/>
          <w:szCs w:val="22"/>
        </w:rPr>
        <w:t>电源模块、激光雷达模块、域控制器模块等模块安装在电气测试台架上，线束连接后各模块能稳定工作，并能满足标书中的技术要求。</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w:t>
      </w:r>
      <w:r>
        <w:rPr>
          <w:rFonts w:ascii="宋体" w:hAnsi="宋体"/>
          <w:color w:val="000000"/>
        </w:rPr>
        <w:t>2</w:t>
      </w:r>
      <w:r>
        <w:rPr>
          <w:rFonts w:hint="eastAsia" w:ascii="宋体" w:hAnsi="宋体"/>
          <w:color w:val="000000"/>
        </w:rPr>
        <w:t xml:space="preserve">  出现下列问题之一，视作验收失败：</w:t>
      </w:r>
    </w:p>
    <w:p>
      <w:pPr>
        <w:adjustRightInd w:val="0"/>
        <w:snapToGrid w:val="0"/>
        <w:spacing w:line="420" w:lineRule="exact"/>
        <w:ind w:firstLine="420" w:firstLineChars="200"/>
        <w:rPr>
          <w:rFonts w:ascii="宋体" w:hAnsi="宋体"/>
          <w:color w:val="000000"/>
        </w:rPr>
      </w:pPr>
      <w:r>
        <w:rPr>
          <w:rFonts w:hint="eastAsia" w:ascii="宋体" w:hAnsi="宋体"/>
          <w:color w:val="000000"/>
        </w:rPr>
        <w:t>3.</w:t>
      </w:r>
      <w:r>
        <w:rPr>
          <w:rFonts w:ascii="宋体" w:hAnsi="宋体"/>
          <w:color w:val="000000"/>
        </w:rPr>
        <w:t>2</w:t>
      </w:r>
      <w:r>
        <w:rPr>
          <w:rFonts w:hint="eastAsia" w:ascii="宋体" w:hAnsi="宋体"/>
          <w:color w:val="000000"/>
        </w:rPr>
        <w:t xml:space="preserve">.1  </w:t>
      </w:r>
      <w:r>
        <w:rPr>
          <w:rFonts w:hint="eastAsia" w:ascii="宋体" w:hAnsi="宋体" w:eastAsiaTheme="minorEastAsia" w:cstheme="minorBidi"/>
          <w:color w:val="000000"/>
          <w:sz w:val="21"/>
          <w:szCs w:val="22"/>
        </w:rPr>
        <w:t>在室内调试验收时，其关键参数不能满足标书中的技术要求。</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w:t>
      </w:r>
      <w:r>
        <w:rPr>
          <w:rFonts w:ascii="宋体" w:hAnsi="宋体"/>
          <w:color w:val="000000"/>
        </w:rPr>
        <w:t>2</w:t>
      </w:r>
      <w:r>
        <w:rPr>
          <w:rFonts w:hint="eastAsia" w:ascii="宋体" w:hAnsi="宋体"/>
          <w:color w:val="000000"/>
        </w:rPr>
        <w:t>.2  在整个验收过程中发生关键零部件损坏或重大故障；</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w:t>
      </w:r>
      <w:r>
        <w:rPr>
          <w:rFonts w:ascii="宋体" w:hAnsi="宋体"/>
          <w:color w:val="000000"/>
        </w:rPr>
        <w:t>2</w:t>
      </w:r>
      <w:r>
        <w:rPr>
          <w:rFonts w:hint="eastAsia" w:ascii="宋体" w:hAnsi="宋体"/>
          <w:color w:val="000000"/>
        </w:rPr>
        <w:t>.3  一般性故障超过</w:t>
      </w:r>
      <w:r>
        <w:rPr>
          <w:rFonts w:hint="eastAsia" w:ascii="宋体" w:hAnsi="宋体"/>
          <w:color w:val="000000"/>
          <w:u w:val="single"/>
          <w:shd w:val="pct10" w:color="auto" w:fill="FFFFFF"/>
        </w:rPr>
        <w:t xml:space="preserve">   2    </w:t>
      </w:r>
      <w:r>
        <w:rPr>
          <w:rFonts w:hint="eastAsia" w:ascii="宋体" w:hAnsi="宋体"/>
          <w:color w:val="000000"/>
        </w:rPr>
        <w:t>次；</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w:t>
      </w:r>
      <w:r>
        <w:rPr>
          <w:rFonts w:ascii="宋体" w:hAnsi="宋体"/>
          <w:color w:val="000000"/>
        </w:rPr>
        <w:t>2</w:t>
      </w:r>
      <w:r>
        <w:rPr>
          <w:rFonts w:hint="eastAsia" w:ascii="宋体" w:hAnsi="宋体"/>
          <w:color w:val="000000"/>
        </w:rPr>
        <w:t>.4  更换的零部件货值不超过总货值的</w:t>
      </w:r>
      <w:r>
        <w:rPr>
          <w:rFonts w:hint="eastAsia" w:ascii="宋体" w:hAnsi="宋体"/>
          <w:color w:val="000000"/>
          <w:u w:val="single"/>
          <w:shd w:val="pct10" w:color="auto" w:fill="FFFFFF"/>
        </w:rPr>
        <w:t xml:space="preserve">  1   </w:t>
      </w:r>
      <w:r>
        <w:rPr>
          <w:rFonts w:hint="eastAsia" w:ascii="宋体" w:hAnsi="宋体"/>
          <w:color w:val="000000"/>
        </w:rPr>
        <w:t>%。</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w:t>
      </w:r>
      <w:r>
        <w:rPr>
          <w:rFonts w:ascii="宋体" w:hAnsi="宋体"/>
          <w:color w:val="000000"/>
        </w:rPr>
        <w:t>3</w:t>
      </w:r>
      <w:r>
        <w:rPr>
          <w:rFonts w:hint="eastAsia" w:ascii="宋体" w:hAnsi="宋体"/>
          <w:color w:val="000000"/>
        </w:rPr>
        <w:t xml:space="preserve">  累计负载运行实际性能（或生产率）达到合同规定；</w:t>
      </w:r>
    </w:p>
    <w:p>
      <w:pPr>
        <w:adjustRightInd w:val="0"/>
        <w:snapToGrid w:val="0"/>
        <w:spacing w:line="420" w:lineRule="exact"/>
        <w:ind w:firstLine="420" w:firstLineChars="200"/>
        <w:rPr>
          <w:rFonts w:ascii="宋体" w:hAnsi="宋体"/>
          <w:color w:val="000000"/>
        </w:rPr>
      </w:pPr>
      <w:r>
        <w:rPr>
          <w:rFonts w:hint="eastAsia" w:ascii="宋体" w:hAnsi="宋体"/>
          <w:color w:val="000000"/>
        </w:rPr>
        <w:t>3.</w:t>
      </w:r>
      <w:r>
        <w:rPr>
          <w:rFonts w:ascii="宋体" w:hAnsi="宋体"/>
          <w:color w:val="000000"/>
        </w:rPr>
        <w:t>4</w:t>
      </w:r>
      <w:r>
        <w:rPr>
          <w:rFonts w:hint="eastAsia" w:ascii="宋体" w:hAnsi="宋体"/>
          <w:color w:val="000000"/>
        </w:rPr>
        <w:t xml:space="preserve">  终验收原则上要求一次完成。若一次验收不成功，最多允许两次；如果出现第三次验收失败，重新作价或退货；</w:t>
      </w:r>
    </w:p>
    <w:p>
      <w:pPr>
        <w:adjustRightInd w:val="0"/>
        <w:snapToGrid w:val="0"/>
        <w:spacing w:line="420" w:lineRule="exact"/>
        <w:ind w:firstLine="420" w:firstLineChars="200"/>
        <w:rPr>
          <w:rFonts w:ascii="宋体" w:hAnsi="宋体"/>
          <w:color w:val="000000"/>
        </w:rPr>
      </w:pPr>
      <w:r>
        <w:rPr>
          <w:rFonts w:hint="eastAsia" w:ascii="宋体" w:hAnsi="宋体"/>
          <w:color w:val="000000"/>
        </w:rPr>
        <w:t>3.</w:t>
      </w:r>
      <w:r>
        <w:rPr>
          <w:rFonts w:ascii="宋体" w:hAnsi="宋体"/>
          <w:color w:val="000000"/>
        </w:rPr>
        <w:t>5</w:t>
      </w:r>
      <w:r>
        <w:rPr>
          <w:rFonts w:hint="eastAsia" w:ascii="宋体" w:hAnsi="宋体"/>
          <w:color w:val="000000"/>
        </w:rPr>
        <w:t xml:space="preserve">  终验收通过后买卖双方共同签署终验收报告，并移交、核对全部供货范围内物品。</w:t>
      </w:r>
    </w:p>
    <w:p>
      <w:pPr>
        <w:spacing w:line="420" w:lineRule="exact"/>
        <w:ind w:firstLine="420" w:firstLineChars="200"/>
        <w:rPr>
          <w:rFonts w:hint="eastAsia" w:ascii="宋体" w:hAnsi="宋体"/>
          <w:color w:val="000000"/>
        </w:rPr>
      </w:pPr>
    </w:p>
    <w:p>
      <w:pPr>
        <w:pStyle w:val="130"/>
        <w:rPr>
          <w:rFonts w:hint="eastAsia"/>
        </w:rPr>
      </w:pPr>
      <w:r>
        <w:rPr>
          <w:rFonts w:ascii="宋体" w:hAnsi="宋体"/>
        </w:rPr>
        <w:br w:type="page"/>
      </w:r>
      <w:bookmarkStart w:id="59" w:name="_Toc24050"/>
      <w:bookmarkStart w:id="60" w:name="_Toc27967"/>
      <w:r>
        <w:rPr>
          <w:rFonts w:hint="eastAsia"/>
        </w:rPr>
        <w:t>第</w:t>
      </w:r>
      <w:r>
        <w:rPr>
          <w:rFonts w:hint="eastAsia"/>
          <w:lang w:eastAsia="zh-CN"/>
        </w:rPr>
        <w:t>六</w:t>
      </w:r>
      <w:r>
        <w:rPr>
          <w:rFonts w:hint="eastAsia"/>
        </w:rPr>
        <w:t>章  投标技术文件一般要求</w:t>
      </w:r>
      <w:bookmarkEnd w:id="59"/>
      <w:bookmarkEnd w:id="60"/>
    </w:p>
    <w:p>
      <w:pPr>
        <w:pStyle w:val="112"/>
        <w:rPr>
          <w:rFonts w:hint="eastAsia"/>
        </w:rPr>
      </w:pPr>
      <w:r>
        <w:rPr>
          <w:rFonts w:hint="eastAsia"/>
        </w:rPr>
        <w:t>一、技术文件一般内容要求</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1、投标方应认真阅读招标文件和本技术标书，并按要求编写投标技术文件。</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2、投标技术文件至少应对投标货物的功能用途、技术性能、质量标准、技术参数等作出详细说明。</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3、投标技术文件至少应根据投标货物的关键设备、总成、零部件或系统作出满足或优于招标文件要求的详细说明。</w:t>
      </w:r>
    </w:p>
    <w:p>
      <w:pPr>
        <w:spacing w:line="420" w:lineRule="exact"/>
        <w:ind w:firstLine="420" w:firstLineChars="200"/>
        <w:rPr>
          <w:rFonts w:hint="eastAsia" w:ascii="宋体" w:hAnsi="宋体"/>
          <w:color w:val="000000"/>
        </w:rPr>
      </w:pPr>
      <w:r>
        <w:rPr>
          <w:rFonts w:hint="eastAsia" w:ascii="宋体" w:hAnsi="宋体"/>
          <w:color w:val="000000"/>
        </w:rPr>
        <w:t>4、投标技术文件至少应按照招标文件要求（或投标方建议）列明备品备件、易损件和专用耗材明细。</w:t>
      </w:r>
    </w:p>
    <w:p>
      <w:pPr>
        <w:spacing w:line="420" w:lineRule="exact"/>
        <w:ind w:firstLine="420" w:firstLineChars="200"/>
        <w:rPr>
          <w:rFonts w:hint="eastAsia" w:ascii="宋体" w:hAnsi="宋体"/>
          <w:color w:val="000000"/>
        </w:rPr>
      </w:pPr>
      <w:r>
        <w:rPr>
          <w:rFonts w:hint="eastAsia" w:ascii="宋体" w:hAnsi="宋体"/>
          <w:color w:val="000000"/>
        </w:rPr>
        <w:t>5、投标方应当而且必须分别说明所列备品备件、易损件和专用耗材的使用寿命（以有效工作小时数说明）。</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6、投标的货物，应当根据其配置和备品备件、易损件、专用耗材情况，尽可能详细且分类填入下表：</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6.1  备品备件、易损件和专用耗材明细表：</w:t>
      </w:r>
    </w:p>
    <w:p>
      <w:pPr>
        <w:adjustRightInd w:val="0"/>
        <w:snapToGrid w:val="0"/>
        <w:spacing w:line="420" w:lineRule="exact"/>
        <w:ind w:firstLine="1890" w:firstLineChars="900"/>
        <w:rPr>
          <w:rFonts w:hint="eastAsia" w:ascii="宋体" w:hAnsi="宋体"/>
          <w:color w:val="000000"/>
        </w:rPr>
      </w:pPr>
      <w:r>
        <w:rPr>
          <w:rFonts w:hint="eastAsia" w:ascii="宋体" w:hAnsi="宋体"/>
          <w:color w:val="000000"/>
        </w:rPr>
        <w:t>备品备件、易损件和专用耗材明细表             单位：元</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序号</w:t>
            </w:r>
          </w:p>
        </w:tc>
        <w:tc>
          <w:tcPr>
            <w:tcW w:w="1924"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名称</w:t>
            </w:r>
          </w:p>
        </w:tc>
        <w:tc>
          <w:tcPr>
            <w:tcW w:w="1236"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型号规格</w:t>
            </w:r>
          </w:p>
        </w:tc>
        <w:tc>
          <w:tcPr>
            <w:tcW w:w="720"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单位</w:t>
            </w:r>
          </w:p>
        </w:tc>
        <w:tc>
          <w:tcPr>
            <w:tcW w:w="720"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数量</w:t>
            </w:r>
          </w:p>
        </w:tc>
        <w:tc>
          <w:tcPr>
            <w:tcW w:w="720"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单价</w:t>
            </w:r>
          </w:p>
        </w:tc>
        <w:tc>
          <w:tcPr>
            <w:tcW w:w="720"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总价</w:t>
            </w:r>
          </w:p>
        </w:tc>
        <w:tc>
          <w:tcPr>
            <w:tcW w:w="2235" w:type="dxa"/>
            <w:noWrap w:val="0"/>
            <w:vAlign w:val="top"/>
          </w:tcPr>
          <w:p>
            <w:pPr>
              <w:adjustRightInd w:val="0"/>
              <w:snapToGrid w:val="0"/>
              <w:spacing w:line="360" w:lineRule="exact"/>
              <w:jc w:val="center"/>
              <w:rPr>
                <w:rFonts w:hint="eastAsia" w:ascii="宋体" w:hAnsi="宋体"/>
                <w:color w:val="000000"/>
              </w:rPr>
            </w:pPr>
            <w:r>
              <w:rPr>
                <w:rFonts w:hint="eastAsia" w:ascii="宋体" w:hAnsi="宋体"/>
                <w:color w:val="000000"/>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000000"/>
              </w:rPr>
            </w:pPr>
          </w:p>
        </w:tc>
        <w:tc>
          <w:tcPr>
            <w:tcW w:w="1924" w:type="dxa"/>
            <w:noWrap w:val="0"/>
            <w:vAlign w:val="top"/>
          </w:tcPr>
          <w:p>
            <w:pPr>
              <w:adjustRightInd w:val="0"/>
              <w:snapToGrid w:val="0"/>
              <w:spacing w:line="360" w:lineRule="exact"/>
              <w:rPr>
                <w:rFonts w:hint="eastAsia" w:ascii="宋体" w:hAnsi="宋体"/>
                <w:color w:val="000000"/>
              </w:rPr>
            </w:pPr>
          </w:p>
        </w:tc>
        <w:tc>
          <w:tcPr>
            <w:tcW w:w="1236" w:type="dxa"/>
            <w:noWrap w:val="0"/>
            <w:vAlign w:val="top"/>
          </w:tcPr>
          <w:p>
            <w:pPr>
              <w:adjustRightInd w:val="0"/>
              <w:snapToGrid w:val="0"/>
              <w:spacing w:line="360" w:lineRule="exact"/>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2235" w:type="dxa"/>
            <w:noWrap w:val="0"/>
            <w:vAlign w:val="top"/>
          </w:tcPr>
          <w:p>
            <w:pPr>
              <w:adjustRightInd w:val="0"/>
              <w:snapToGrid w:val="0"/>
              <w:spacing w:line="360" w:lineRule="exact"/>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000000"/>
              </w:rPr>
            </w:pPr>
          </w:p>
        </w:tc>
        <w:tc>
          <w:tcPr>
            <w:tcW w:w="1924" w:type="dxa"/>
            <w:noWrap w:val="0"/>
            <w:vAlign w:val="top"/>
          </w:tcPr>
          <w:p>
            <w:pPr>
              <w:adjustRightInd w:val="0"/>
              <w:snapToGrid w:val="0"/>
              <w:spacing w:line="360" w:lineRule="exact"/>
              <w:rPr>
                <w:rFonts w:hint="eastAsia" w:ascii="宋体" w:hAnsi="宋体"/>
                <w:color w:val="000000"/>
              </w:rPr>
            </w:pPr>
          </w:p>
        </w:tc>
        <w:tc>
          <w:tcPr>
            <w:tcW w:w="1236" w:type="dxa"/>
            <w:noWrap w:val="0"/>
            <w:vAlign w:val="top"/>
          </w:tcPr>
          <w:p>
            <w:pPr>
              <w:adjustRightInd w:val="0"/>
              <w:snapToGrid w:val="0"/>
              <w:spacing w:line="360" w:lineRule="exact"/>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2235" w:type="dxa"/>
            <w:noWrap w:val="0"/>
            <w:vAlign w:val="top"/>
          </w:tcPr>
          <w:p>
            <w:pPr>
              <w:adjustRightInd w:val="0"/>
              <w:snapToGrid w:val="0"/>
              <w:spacing w:line="360" w:lineRule="exact"/>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noWrap w:val="0"/>
            <w:vAlign w:val="top"/>
          </w:tcPr>
          <w:p>
            <w:pPr>
              <w:adjustRightInd w:val="0"/>
              <w:snapToGrid w:val="0"/>
              <w:spacing w:line="360" w:lineRule="exact"/>
              <w:jc w:val="center"/>
              <w:rPr>
                <w:rFonts w:hint="eastAsia" w:ascii="宋体" w:hAnsi="宋体"/>
                <w:color w:val="000000"/>
              </w:rPr>
            </w:pPr>
          </w:p>
        </w:tc>
        <w:tc>
          <w:tcPr>
            <w:tcW w:w="1924" w:type="dxa"/>
            <w:noWrap w:val="0"/>
            <w:vAlign w:val="top"/>
          </w:tcPr>
          <w:p>
            <w:pPr>
              <w:adjustRightInd w:val="0"/>
              <w:snapToGrid w:val="0"/>
              <w:spacing w:line="360" w:lineRule="exact"/>
              <w:rPr>
                <w:rFonts w:hint="eastAsia" w:ascii="宋体" w:hAnsi="宋体"/>
                <w:color w:val="000000"/>
              </w:rPr>
            </w:pPr>
          </w:p>
        </w:tc>
        <w:tc>
          <w:tcPr>
            <w:tcW w:w="1236" w:type="dxa"/>
            <w:noWrap w:val="0"/>
            <w:vAlign w:val="top"/>
          </w:tcPr>
          <w:p>
            <w:pPr>
              <w:adjustRightInd w:val="0"/>
              <w:snapToGrid w:val="0"/>
              <w:spacing w:line="360" w:lineRule="exact"/>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2235" w:type="dxa"/>
            <w:noWrap w:val="0"/>
            <w:vAlign w:val="top"/>
          </w:tcPr>
          <w:p>
            <w:pPr>
              <w:adjustRightInd w:val="0"/>
              <w:snapToGrid w:val="0"/>
              <w:spacing w:line="360" w:lineRule="exact"/>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000000"/>
              </w:rPr>
            </w:pPr>
          </w:p>
        </w:tc>
        <w:tc>
          <w:tcPr>
            <w:tcW w:w="1924" w:type="dxa"/>
            <w:noWrap w:val="0"/>
            <w:vAlign w:val="top"/>
          </w:tcPr>
          <w:p>
            <w:pPr>
              <w:adjustRightInd w:val="0"/>
              <w:snapToGrid w:val="0"/>
              <w:spacing w:line="360" w:lineRule="exact"/>
              <w:rPr>
                <w:rFonts w:hint="eastAsia" w:ascii="宋体" w:hAnsi="宋体"/>
                <w:color w:val="000000"/>
              </w:rPr>
            </w:pPr>
          </w:p>
        </w:tc>
        <w:tc>
          <w:tcPr>
            <w:tcW w:w="1236" w:type="dxa"/>
            <w:noWrap w:val="0"/>
            <w:vAlign w:val="top"/>
          </w:tcPr>
          <w:p>
            <w:pPr>
              <w:adjustRightInd w:val="0"/>
              <w:snapToGrid w:val="0"/>
              <w:spacing w:line="360" w:lineRule="exact"/>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2235" w:type="dxa"/>
            <w:noWrap w:val="0"/>
            <w:vAlign w:val="top"/>
          </w:tcPr>
          <w:p>
            <w:pPr>
              <w:adjustRightInd w:val="0"/>
              <w:snapToGrid w:val="0"/>
              <w:spacing w:line="360" w:lineRule="exact"/>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000000"/>
              </w:rPr>
            </w:pPr>
          </w:p>
        </w:tc>
        <w:tc>
          <w:tcPr>
            <w:tcW w:w="1924" w:type="dxa"/>
            <w:noWrap w:val="0"/>
            <w:vAlign w:val="top"/>
          </w:tcPr>
          <w:p>
            <w:pPr>
              <w:adjustRightInd w:val="0"/>
              <w:snapToGrid w:val="0"/>
              <w:spacing w:line="360" w:lineRule="exact"/>
              <w:rPr>
                <w:rFonts w:hint="eastAsia" w:ascii="宋体" w:hAnsi="宋体"/>
                <w:color w:val="000000"/>
              </w:rPr>
            </w:pPr>
          </w:p>
        </w:tc>
        <w:tc>
          <w:tcPr>
            <w:tcW w:w="1236" w:type="dxa"/>
            <w:noWrap w:val="0"/>
            <w:vAlign w:val="top"/>
          </w:tcPr>
          <w:p>
            <w:pPr>
              <w:adjustRightInd w:val="0"/>
              <w:snapToGrid w:val="0"/>
              <w:spacing w:line="360" w:lineRule="exact"/>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2235" w:type="dxa"/>
            <w:noWrap w:val="0"/>
            <w:vAlign w:val="top"/>
          </w:tcPr>
          <w:p>
            <w:pPr>
              <w:adjustRightInd w:val="0"/>
              <w:snapToGrid w:val="0"/>
              <w:spacing w:line="360" w:lineRule="exact"/>
              <w:rPr>
                <w:rFonts w:hint="eastAsia" w:ascii="宋体"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000000"/>
              </w:rPr>
            </w:pPr>
          </w:p>
        </w:tc>
        <w:tc>
          <w:tcPr>
            <w:tcW w:w="1924" w:type="dxa"/>
            <w:noWrap w:val="0"/>
            <w:vAlign w:val="top"/>
          </w:tcPr>
          <w:p>
            <w:pPr>
              <w:adjustRightInd w:val="0"/>
              <w:snapToGrid w:val="0"/>
              <w:spacing w:line="360" w:lineRule="exact"/>
              <w:rPr>
                <w:rFonts w:hint="eastAsia" w:ascii="宋体" w:hAnsi="宋体"/>
                <w:color w:val="000000"/>
              </w:rPr>
            </w:pPr>
          </w:p>
        </w:tc>
        <w:tc>
          <w:tcPr>
            <w:tcW w:w="1236" w:type="dxa"/>
            <w:noWrap w:val="0"/>
            <w:vAlign w:val="top"/>
          </w:tcPr>
          <w:p>
            <w:pPr>
              <w:adjustRightInd w:val="0"/>
              <w:snapToGrid w:val="0"/>
              <w:spacing w:line="360" w:lineRule="exact"/>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720" w:type="dxa"/>
            <w:noWrap w:val="0"/>
            <w:vAlign w:val="top"/>
          </w:tcPr>
          <w:p>
            <w:pPr>
              <w:adjustRightInd w:val="0"/>
              <w:snapToGrid w:val="0"/>
              <w:spacing w:line="360" w:lineRule="exact"/>
              <w:jc w:val="center"/>
              <w:rPr>
                <w:rFonts w:hint="eastAsia" w:ascii="宋体" w:hAnsi="宋体"/>
                <w:color w:val="000000"/>
              </w:rPr>
            </w:pPr>
          </w:p>
        </w:tc>
        <w:tc>
          <w:tcPr>
            <w:tcW w:w="2235" w:type="dxa"/>
            <w:noWrap w:val="0"/>
            <w:vAlign w:val="top"/>
          </w:tcPr>
          <w:p>
            <w:pPr>
              <w:adjustRightInd w:val="0"/>
              <w:snapToGrid w:val="0"/>
              <w:spacing w:line="360" w:lineRule="exact"/>
              <w:rPr>
                <w:rFonts w:hint="eastAsia" w:ascii="宋体" w:hAnsi="宋体"/>
                <w:color w:val="000000"/>
              </w:rPr>
            </w:pPr>
          </w:p>
        </w:tc>
      </w:tr>
    </w:tbl>
    <w:p>
      <w:pPr>
        <w:spacing w:line="420" w:lineRule="exact"/>
        <w:ind w:firstLine="420" w:firstLineChars="200"/>
        <w:rPr>
          <w:rFonts w:hint="eastAsia" w:ascii="宋体" w:hAnsi="宋体"/>
          <w:color w:val="000000"/>
        </w:rPr>
      </w:pPr>
      <w:r>
        <w:rPr>
          <w:rFonts w:hint="eastAsia" w:ascii="宋体" w:hAnsi="宋体"/>
          <w:color w:val="000000"/>
        </w:rPr>
        <w:t>6.2  “开标一览表”和“明细表”仅作为投标方编制投标技术文件的一般格式。其中序号编写应当便于招标方了解分类或分项货物之间的所属关系，如1、1.1、1.2。</w:t>
      </w:r>
    </w:p>
    <w:p>
      <w:pPr>
        <w:spacing w:line="420" w:lineRule="exact"/>
        <w:ind w:firstLine="420" w:firstLineChars="200"/>
        <w:rPr>
          <w:rFonts w:hint="eastAsia" w:ascii="宋体" w:hAnsi="宋体"/>
          <w:color w:val="000000"/>
        </w:rPr>
      </w:pPr>
      <w:r>
        <w:rPr>
          <w:rFonts w:hint="eastAsia" w:ascii="宋体" w:hAnsi="宋体"/>
          <w:color w:val="000000"/>
        </w:rPr>
        <w:t>6.3  应当尽可能将货物的配置列全、列细，这将有助于投标方胜出。</w:t>
      </w:r>
    </w:p>
    <w:p>
      <w:pPr>
        <w:spacing w:line="420" w:lineRule="exact"/>
        <w:ind w:firstLine="420" w:firstLineChars="200"/>
        <w:rPr>
          <w:rFonts w:hint="eastAsia" w:ascii="宋体" w:hAnsi="宋体"/>
          <w:color w:val="000000"/>
        </w:rPr>
      </w:pPr>
      <w:r>
        <w:rPr>
          <w:rFonts w:hint="eastAsia" w:ascii="宋体" w:hAnsi="宋体"/>
          <w:color w:val="000000"/>
        </w:rPr>
        <w:t>6.4  单价与总价之间、总价与分类小计价之间、分类小计价与合计价之间数据应当齐全而且准确。</w:t>
      </w:r>
    </w:p>
    <w:p>
      <w:pPr>
        <w:spacing w:line="420" w:lineRule="exact"/>
        <w:ind w:firstLine="420" w:firstLineChars="200"/>
        <w:rPr>
          <w:rFonts w:hint="eastAsia" w:ascii="宋体" w:hAnsi="宋体"/>
          <w:color w:val="000000"/>
        </w:rPr>
      </w:pPr>
      <w:r>
        <w:rPr>
          <w:rFonts w:hint="eastAsia" w:ascii="宋体" w:hAnsi="宋体"/>
          <w:color w:val="000000"/>
        </w:rPr>
        <w:t>6.5  本条款表格中的制造商，应当为全称或公认的简称。</w:t>
      </w:r>
    </w:p>
    <w:p>
      <w:pPr>
        <w:pStyle w:val="112"/>
        <w:rPr>
          <w:rFonts w:hint="eastAsia"/>
        </w:rPr>
      </w:pPr>
      <w:r>
        <w:rPr>
          <w:rFonts w:hint="eastAsia"/>
        </w:rPr>
        <w:t>二、技术文件中货物报价格式要求</w:t>
      </w:r>
    </w:p>
    <w:p>
      <w:pPr>
        <w:spacing w:line="420" w:lineRule="exact"/>
        <w:ind w:firstLine="420" w:firstLineChars="200"/>
        <w:rPr>
          <w:rFonts w:hint="eastAsia" w:ascii="宋体" w:hAnsi="宋体"/>
          <w:color w:val="000000"/>
        </w:rPr>
      </w:pPr>
      <w:r>
        <w:rPr>
          <w:rFonts w:hint="eastAsia" w:ascii="宋体" w:hAnsi="宋体"/>
          <w:color w:val="00000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20" w:firstLineChars="200"/>
        <w:rPr>
          <w:rFonts w:hint="eastAsia" w:ascii="宋体" w:hAnsi="宋体"/>
          <w:color w:val="000000"/>
        </w:rPr>
      </w:pPr>
      <w:r>
        <w:rPr>
          <w:rFonts w:hint="eastAsia" w:ascii="宋体" w:hAnsi="宋体"/>
          <w:color w:val="000000"/>
        </w:rPr>
        <w:t>2、如果投标总报价与其它价格出现错误或不一致，将有可能导致废标。</w:t>
      </w:r>
    </w:p>
    <w:p>
      <w:pPr>
        <w:spacing w:line="420" w:lineRule="exact"/>
        <w:ind w:firstLine="420" w:firstLineChars="200"/>
        <w:rPr>
          <w:rFonts w:hint="eastAsia" w:ascii="宋体" w:hAnsi="宋体"/>
          <w:color w:val="000000"/>
        </w:rPr>
      </w:pPr>
      <w:r>
        <w:rPr>
          <w:rFonts w:hint="eastAsia" w:ascii="宋体" w:hAnsi="宋体"/>
          <w:color w:val="000000"/>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20" w:firstLineChars="200"/>
        <w:rPr>
          <w:rFonts w:hint="eastAsia" w:ascii="宋体" w:hAnsi="宋体"/>
          <w:color w:val="000000"/>
        </w:rPr>
      </w:pPr>
      <w:r>
        <w:rPr>
          <w:rFonts w:hint="eastAsia" w:ascii="宋体" w:hAnsi="宋体"/>
          <w:color w:val="000000"/>
        </w:rPr>
        <w:t>4、备品备件、易损件和专用耗材，招标方将可能与投标方按照投标价格另行签署供货合同。</w:t>
      </w:r>
    </w:p>
    <w:p>
      <w:pPr>
        <w:spacing w:line="420" w:lineRule="exact"/>
        <w:ind w:firstLine="420" w:firstLineChars="200"/>
        <w:rPr>
          <w:rFonts w:hint="eastAsia" w:ascii="宋体" w:hAnsi="宋体"/>
          <w:color w:val="000000"/>
        </w:rPr>
      </w:pPr>
      <w:r>
        <w:rPr>
          <w:rFonts w:hint="eastAsia" w:ascii="宋体" w:hAnsi="宋体"/>
          <w:color w:val="000000"/>
        </w:rPr>
        <w:t>5、要求投标总报价、分项报价、明细报价之间应当具有相互间对应关系以及填报分项和明细报价，仅为便于评标而不妨碍投标人以最合适的形式签署合同。</w:t>
      </w:r>
    </w:p>
    <w:p>
      <w:pPr>
        <w:pStyle w:val="112"/>
        <w:rPr>
          <w:rFonts w:hint="eastAsia"/>
        </w:rPr>
      </w:pPr>
      <w:r>
        <w:rPr>
          <w:rFonts w:hint="eastAsia"/>
        </w:rPr>
        <w:t>三、验收标准及内容要求</w:t>
      </w:r>
    </w:p>
    <w:p>
      <w:pPr>
        <w:adjustRightInd w:val="0"/>
        <w:snapToGrid w:val="0"/>
        <w:spacing w:line="420" w:lineRule="exact"/>
        <w:ind w:firstLine="420" w:firstLineChars="200"/>
        <w:rPr>
          <w:rFonts w:hint="eastAsia" w:ascii="宋体" w:hAnsi="宋体"/>
          <w:color w:val="000000"/>
        </w:rPr>
      </w:pPr>
      <w:r>
        <w:rPr>
          <w:rFonts w:hint="eastAsia" w:ascii="宋体" w:hAnsi="宋体"/>
          <w:color w:val="000000"/>
        </w:rPr>
        <w:t>除招标文件明确的验收标准或内容之外，投标方应当在投标文件中提供预验收（必要时）和终验收的标准以及规程；在合同签定之前，经投标方和招标方双方洽谈确认并签署，以作为验收标准执行。</w:t>
      </w:r>
    </w:p>
    <w:p>
      <w:pPr>
        <w:pStyle w:val="3"/>
        <w:spacing w:before="120" w:after="120" w:line="480" w:lineRule="exact"/>
        <w:jc w:val="center"/>
        <w:rPr>
          <w:rFonts w:ascii="黑体" w:eastAsia="黑体"/>
          <w:b w:val="0"/>
          <w:color w:val="00000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type="lines" w:linePitch="312" w:charSpace="0"/>
        </w:sectPr>
      </w:pPr>
    </w:p>
    <w:p>
      <w:pPr>
        <w:pStyle w:val="130"/>
        <w:rPr>
          <w:rFonts w:hint="eastAsia"/>
        </w:rPr>
      </w:pPr>
      <w:bookmarkStart w:id="61" w:name="_Toc24849"/>
      <w:bookmarkStart w:id="62" w:name="_Toc18271"/>
      <w:r>
        <w:rPr>
          <w:rFonts w:hint="eastAsia"/>
        </w:rPr>
        <w:t>第</w:t>
      </w:r>
      <w:r>
        <w:rPr>
          <w:rFonts w:hint="eastAsia"/>
          <w:lang w:eastAsia="zh-CN"/>
        </w:rPr>
        <w:t>七</w:t>
      </w:r>
      <w:r>
        <w:rPr>
          <w:rFonts w:hint="eastAsia"/>
        </w:rPr>
        <w:t>章  其它要求及说明</w:t>
      </w:r>
      <w:bookmarkEnd w:id="61"/>
      <w:bookmarkEnd w:id="62"/>
    </w:p>
    <w:p>
      <w:pPr>
        <w:pStyle w:val="112"/>
        <w:rPr>
          <w:rFonts w:hint="eastAsia"/>
        </w:rPr>
      </w:pPr>
      <w:r>
        <w:rPr>
          <w:rFonts w:hint="eastAsia"/>
        </w:rPr>
        <w:t>一、要求</w:t>
      </w:r>
    </w:p>
    <w:p>
      <w:pPr>
        <w:pStyle w:val="19"/>
        <w:spacing w:line="420" w:lineRule="exact"/>
        <w:rPr>
          <w:rFonts w:hint="eastAsia"/>
          <w:color w:val="000000"/>
        </w:rPr>
      </w:pPr>
      <w:r>
        <w:rPr>
          <w:rFonts w:hint="eastAsia"/>
          <w:color w:val="000000"/>
        </w:rPr>
        <w:t>为保证本技术标书所列采购货物的质量以及先进性、可靠性、经济性和实用性，要求投标方在投标文件中，至少应具备以下资格证明文件或资料：</w:t>
      </w:r>
    </w:p>
    <w:p>
      <w:pPr>
        <w:spacing w:line="420" w:lineRule="exact"/>
        <w:ind w:firstLine="417" w:firstLineChars="199"/>
        <w:rPr>
          <w:rFonts w:hint="eastAsia" w:ascii="宋体" w:hAnsi="宋体"/>
          <w:color w:val="000000"/>
        </w:rPr>
      </w:pPr>
      <w:r>
        <w:rPr>
          <w:rFonts w:hint="eastAsia" w:ascii="宋体" w:hAnsi="宋体"/>
          <w:color w:val="00000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17" w:firstLineChars="199"/>
        <w:rPr>
          <w:rFonts w:hint="eastAsia"/>
          <w:color w:val="000000"/>
        </w:rPr>
      </w:pPr>
      <w:r>
        <w:rPr>
          <w:rFonts w:hint="eastAsia" w:ascii="宋体" w:hAnsi="宋体"/>
          <w:color w:val="000000"/>
        </w:rPr>
        <w:t>2、投标方应当是通过有关资格认证的法人。应当在投标文件中提供有效期内的资格认证证</w:t>
      </w:r>
      <w:r>
        <w:rPr>
          <w:rFonts w:hint="eastAsia"/>
          <w:color w:val="000000"/>
        </w:rPr>
        <w:t>书，如：ISO9001、VDA6.1、QS9000等。</w:t>
      </w:r>
    </w:p>
    <w:p>
      <w:pPr>
        <w:spacing w:line="420" w:lineRule="exact"/>
        <w:ind w:firstLine="417" w:firstLineChars="199"/>
        <w:rPr>
          <w:rFonts w:hint="eastAsia" w:ascii="宋体" w:hAnsi="宋体"/>
          <w:color w:val="000000"/>
        </w:rPr>
      </w:pPr>
      <w:r>
        <w:rPr>
          <w:rFonts w:hint="eastAsia" w:ascii="宋体" w:hAnsi="宋体"/>
          <w:color w:val="000000"/>
        </w:rPr>
        <w:t>3、国产设备应附有采购货物（或设备）涉及的由“中国质量认证中心”颁发的《中国国家强制性产品认证证书》（CCC证书）。</w:t>
      </w:r>
    </w:p>
    <w:p>
      <w:pPr>
        <w:spacing w:line="420" w:lineRule="exact"/>
        <w:ind w:firstLine="417" w:firstLineChars="199"/>
        <w:rPr>
          <w:rFonts w:hint="eastAsia" w:ascii="宋体" w:hAnsi="宋体"/>
          <w:color w:val="000000"/>
        </w:rPr>
      </w:pPr>
      <w:r>
        <w:rPr>
          <w:rFonts w:hint="eastAsia" w:ascii="宋体" w:hAnsi="宋体"/>
          <w:color w:val="000000"/>
        </w:rPr>
        <w:t>4、应附有其它与投标单位、采购货物有关的荣誉证书或资料。</w:t>
      </w:r>
    </w:p>
    <w:p>
      <w:pPr>
        <w:spacing w:line="420" w:lineRule="exact"/>
        <w:ind w:firstLine="417" w:firstLineChars="199"/>
        <w:rPr>
          <w:rFonts w:hint="eastAsia" w:ascii="宋体" w:hAnsi="宋体"/>
          <w:color w:val="000000"/>
        </w:rPr>
      </w:pPr>
      <w:r>
        <w:rPr>
          <w:rFonts w:hint="eastAsia" w:ascii="宋体" w:hAnsi="宋体"/>
          <w:color w:val="000000"/>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17" w:firstLineChars="199"/>
        <w:rPr>
          <w:rFonts w:hint="eastAsia" w:ascii="宋体" w:hAnsi="宋体"/>
          <w:color w:val="000000"/>
        </w:rPr>
      </w:pPr>
      <w:r>
        <w:rPr>
          <w:rFonts w:hint="eastAsia" w:ascii="宋体" w:hAnsi="宋体"/>
          <w:color w:val="000000"/>
        </w:rPr>
        <w:t>5.1  国家相关机构颁发的有效期之内所必需的《生产许可证》。</w:t>
      </w:r>
    </w:p>
    <w:p>
      <w:pPr>
        <w:spacing w:line="420" w:lineRule="exact"/>
        <w:ind w:firstLine="417" w:firstLineChars="199"/>
        <w:rPr>
          <w:rFonts w:hint="eastAsia" w:ascii="宋体" w:hAnsi="宋体"/>
          <w:color w:val="000000"/>
        </w:rPr>
      </w:pPr>
      <w:r>
        <w:rPr>
          <w:rFonts w:hint="eastAsia" w:ascii="宋体" w:hAnsi="宋体"/>
          <w:color w:val="000000"/>
        </w:rPr>
        <w:t>5.2  产品（或技术）鉴定报告/证书、专利证书或专利许可证书、新技术成果证书等。</w:t>
      </w:r>
    </w:p>
    <w:p>
      <w:pPr>
        <w:spacing w:line="420" w:lineRule="exact"/>
        <w:ind w:firstLine="417" w:firstLineChars="199"/>
        <w:rPr>
          <w:rFonts w:hint="eastAsia" w:ascii="宋体" w:hAnsi="宋体"/>
          <w:color w:val="000000"/>
        </w:rPr>
      </w:pPr>
      <w:r>
        <w:rPr>
          <w:rFonts w:hint="eastAsia" w:ascii="宋体" w:hAnsi="宋体"/>
          <w:color w:val="000000"/>
        </w:rPr>
        <w:t>5.3  产品相关检验、试验报告，如：型式试验检验报告、安全试验检验报告、电弧效应试验报告、噪声检测报告等</w:t>
      </w:r>
    </w:p>
    <w:p>
      <w:pPr>
        <w:spacing w:line="420" w:lineRule="exact"/>
        <w:ind w:firstLine="417" w:firstLineChars="199"/>
        <w:rPr>
          <w:rFonts w:hint="eastAsia" w:ascii="宋体" w:hAnsi="宋体"/>
          <w:color w:val="000000"/>
        </w:rPr>
      </w:pPr>
      <w:r>
        <w:rPr>
          <w:rFonts w:hint="eastAsia" w:ascii="宋体" w:hAnsi="宋体"/>
          <w:color w:val="000000"/>
        </w:rPr>
        <w:t>5.4  其它能够证明所供货物的质量水平、技术水平、安全性水平、节能性水平、环保性水平等相关的其它证明文件或资料、报告等。</w:t>
      </w:r>
    </w:p>
    <w:p>
      <w:pPr>
        <w:spacing w:line="420" w:lineRule="exact"/>
        <w:ind w:firstLine="417" w:firstLineChars="199"/>
        <w:rPr>
          <w:rFonts w:hint="eastAsia" w:ascii="宋体" w:hAnsi="宋体"/>
          <w:color w:val="000000"/>
        </w:rPr>
      </w:pPr>
      <w:r>
        <w:rPr>
          <w:rFonts w:hint="eastAsia" w:ascii="宋体" w:hAnsi="宋体"/>
          <w:color w:val="000000"/>
        </w:rPr>
        <w:t>5.5  该类报告或证明材料对于投标方胜出乃至中标极为重要！</w:t>
      </w:r>
    </w:p>
    <w:p>
      <w:pPr>
        <w:numPr>
          <w:ilvl w:val="255"/>
          <w:numId w:val="0"/>
        </w:numPr>
        <w:spacing w:line="420" w:lineRule="exact"/>
        <w:ind w:firstLine="420" w:firstLineChars="200"/>
        <w:rPr>
          <w:rFonts w:hint="eastAsia" w:ascii="宋体" w:hAnsi="宋体" w:eastAsiaTheme="minorEastAsia" w:cstheme="minorBidi"/>
          <w:b/>
          <w:bCs w:val="0"/>
          <w:color w:val="000000"/>
          <w:sz w:val="21"/>
          <w:szCs w:val="22"/>
        </w:rPr>
      </w:pPr>
      <w:r>
        <w:rPr>
          <w:rFonts w:hint="eastAsia" w:ascii="宋体" w:hAnsi="宋体"/>
          <w:b/>
          <w:color w:val="000000"/>
        </w:rPr>
        <w:t>6、</w:t>
      </w:r>
      <w:r>
        <w:rPr>
          <w:rFonts w:hint="eastAsia" w:ascii="宋体" w:hAnsi="宋体"/>
          <w:b/>
          <w:bCs w:val="0"/>
          <w:color w:val="000000"/>
        </w:rPr>
        <w:t>必须附有：</w:t>
      </w:r>
      <w:r>
        <w:rPr>
          <w:rFonts w:hint="eastAsia" w:ascii="宋体" w:hAnsi="宋体" w:eastAsiaTheme="minorEastAsia" w:cstheme="minorBidi"/>
          <w:b/>
          <w:bCs w:val="0"/>
          <w:color w:val="000000"/>
          <w:sz w:val="21"/>
          <w:szCs w:val="22"/>
        </w:rPr>
        <w:t>2019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spacing w:line="420" w:lineRule="exact"/>
        <w:ind w:firstLine="417" w:firstLineChars="199"/>
        <w:rPr>
          <w:rFonts w:hint="eastAsia" w:ascii="宋体" w:hAnsi="宋体"/>
          <w:color w:val="000000"/>
        </w:rPr>
      </w:pPr>
    </w:p>
    <w:p>
      <w:pPr>
        <w:pStyle w:val="112"/>
        <w:rPr>
          <w:rFonts w:hint="eastAsia"/>
        </w:rPr>
      </w:pPr>
      <w:r>
        <w:rPr>
          <w:rFonts w:hint="eastAsia"/>
        </w:rPr>
        <w:t>二、说明</w:t>
      </w:r>
    </w:p>
    <w:p>
      <w:pPr>
        <w:spacing w:line="420" w:lineRule="exact"/>
        <w:ind w:firstLine="420" w:firstLineChars="200"/>
        <w:rPr>
          <w:rFonts w:hint="eastAsia" w:ascii="宋体" w:hAnsi="宋体"/>
          <w:color w:val="000000"/>
        </w:rPr>
      </w:pPr>
      <w:r>
        <w:rPr>
          <w:rFonts w:hint="eastAsia" w:ascii="宋体" w:hAnsi="宋体"/>
          <w:color w:val="00000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20" w:firstLineChars="200"/>
        <w:rPr>
          <w:rFonts w:hint="eastAsia" w:ascii="宋体" w:hAnsi="宋体"/>
          <w:color w:val="000000"/>
        </w:rPr>
      </w:pPr>
      <w:r>
        <w:rPr>
          <w:rFonts w:hint="eastAsia" w:ascii="宋体" w:hAnsi="宋体"/>
          <w:color w:val="000000"/>
        </w:rPr>
        <w:t>2、即使有建议意见或建议方案，仍应依据招标文件和本技术标书要求，编写符合要求的投标文件。建议方案或建议意见，应以单独篇章或文件，予以说明和报价。</w:t>
      </w:r>
    </w:p>
    <w:p>
      <w:pPr>
        <w:spacing w:line="420" w:lineRule="exact"/>
        <w:ind w:firstLine="420" w:firstLineChars="200"/>
        <w:rPr>
          <w:rFonts w:hint="eastAsia" w:ascii="宋体" w:hAnsi="宋体"/>
          <w:color w:val="000000"/>
        </w:rPr>
      </w:pPr>
      <w:r>
        <w:rPr>
          <w:rFonts w:hint="eastAsia" w:ascii="宋体" w:hAnsi="宋体"/>
          <w:color w:val="000000"/>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20" w:firstLineChars="200"/>
        <w:rPr>
          <w:rFonts w:hint="eastAsia" w:ascii="宋体" w:hAnsi="宋体"/>
          <w:color w:val="000000"/>
        </w:rPr>
      </w:pPr>
      <w:r>
        <w:rPr>
          <w:rFonts w:hint="eastAsia" w:ascii="宋体" w:hAnsi="宋体"/>
          <w:color w:val="000000"/>
        </w:rPr>
        <w:t>4、招标文件、投标文件、答疑文件、技术交流文件、技术协议书等，在采购过程全部为有效文件，如有差异，以对招标方最有利的条款为准。</w:t>
      </w:r>
    </w:p>
    <w:p>
      <w:pPr>
        <w:spacing w:line="420" w:lineRule="exact"/>
        <w:ind w:firstLine="420" w:firstLineChars="200"/>
        <w:rPr>
          <w:rFonts w:hint="eastAsia" w:ascii="宋体" w:hAnsi="宋体"/>
          <w:color w:val="000000"/>
        </w:rPr>
      </w:pPr>
      <w:r>
        <w:rPr>
          <w:rFonts w:hint="eastAsia" w:ascii="宋体" w:hAnsi="宋体"/>
          <w:color w:val="000000"/>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240" w:lineRule="auto"/>
        <w:ind w:firstLine="0" w:firstLineChars="0"/>
        <w:rPr>
          <w:rFonts w:hint="eastAsia" w:ascii="宋体" w:hAnsi="宋体"/>
          <w:color w:val="000000"/>
        </w:rPr>
      </w:pPr>
      <w:r>
        <w:rPr>
          <w:rFonts w:hint="eastAsia" w:ascii="宋体" w:hAnsi="宋体"/>
          <w:color w:val="000000"/>
        </w:rPr>
        <w:br w:type="page"/>
      </w:r>
    </w:p>
    <w:bookmarkEnd w:id="43"/>
    <w:p>
      <w:pPr>
        <w:pStyle w:val="2"/>
      </w:pPr>
    </w:p>
    <w:p>
      <w:pPr>
        <w:spacing w:line="360" w:lineRule="auto"/>
        <w:jc w:val="center"/>
        <w:outlineLvl w:val="0"/>
        <w:rPr>
          <w:rFonts w:ascii="宋体" w:hAnsi="Calibri" w:eastAsia="宋体" w:cs="Times New Roman"/>
          <w:b/>
          <w:sz w:val="36"/>
          <w:szCs w:val="36"/>
        </w:rPr>
      </w:pPr>
      <w:bookmarkStart w:id="63" w:name="_Toc28859"/>
      <w:bookmarkStart w:id="64" w:name="_Toc12601"/>
      <w:bookmarkStart w:id="65" w:name="_Toc20575"/>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3"/>
      <w:bookmarkEnd w:id="64"/>
      <w:bookmarkEnd w:id="6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footerReference r:id="rId12"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6" w:name="_Toc17619"/>
      <w:bookmarkStart w:id="67" w:name="_Toc11930"/>
      <w:bookmarkStart w:id="68" w:name="_Toc16330018"/>
      <w:bookmarkStart w:id="69" w:name="_Toc11823"/>
      <w:bookmarkStart w:id="70" w:name="_Toc9465"/>
      <w:r>
        <w:rPr>
          <w:rFonts w:hint="eastAsia" w:ascii="黑体" w:hAnsi="黑体" w:eastAsia="黑体" w:cstheme="minorEastAsia"/>
          <w:b w:val="0"/>
          <w:sz w:val="28"/>
          <w:szCs w:val="28"/>
        </w:rPr>
        <w:t>1 合同设备</w:t>
      </w:r>
      <w:bookmarkEnd w:id="66"/>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1" w:name="_Toc32510"/>
      <w:bookmarkStart w:id="72" w:name="_Toc29026"/>
      <w:bookmarkStart w:id="73"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4" w:name="_Toc16330019"/>
      <w:bookmarkStart w:id="75" w:name="_Toc7716"/>
      <w:r>
        <w:rPr>
          <w:rFonts w:hint="eastAsia" w:ascii="黑体" w:hAnsi="黑体" w:eastAsia="黑体" w:cstheme="minorEastAsia"/>
          <w:b w:val="0"/>
          <w:sz w:val="28"/>
          <w:szCs w:val="28"/>
        </w:rPr>
        <w:t>2 包装</w:t>
      </w:r>
      <w:bookmarkEnd w:id="71"/>
      <w:bookmarkEnd w:id="72"/>
      <w:bookmarkEnd w:id="73"/>
      <w:bookmarkEnd w:id="74"/>
      <w:bookmarkEnd w:id="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6" w:name="_Toc30507"/>
      <w:bookmarkStart w:id="77" w:name="_Toc2833"/>
      <w:bookmarkStart w:id="78" w:name="_Toc27144"/>
      <w:bookmarkStart w:id="79" w:name="_Toc16330020"/>
      <w:bookmarkStart w:id="80" w:name="_Toc27453"/>
      <w:r>
        <w:rPr>
          <w:rFonts w:hint="eastAsia" w:ascii="黑体" w:hAnsi="黑体" w:eastAsia="黑体" w:cstheme="minorEastAsia"/>
          <w:b w:val="0"/>
          <w:sz w:val="28"/>
          <w:szCs w:val="28"/>
        </w:rPr>
        <w:t>3 运输标记</w:t>
      </w:r>
      <w:bookmarkEnd w:id="76"/>
      <w:bookmarkEnd w:id="77"/>
      <w:bookmarkEnd w:id="78"/>
      <w:bookmarkEnd w:id="79"/>
      <w:bookmarkEnd w:id="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1" w:name="_Toc8624"/>
      <w:bookmarkStart w:id="82" w:name="_Toc7431"/>
      <w:bookmarkStart w:id="83" w:name="_Toc16330021"/>
      <w:bookmarkStart w:id="84" w:name="_Toc16133"/>
      <w:bookmarkStart w:id="85" w:name="_Toc10630"/>
      <w:r>
        <w:rPr>
          <w:rFonts w:hint="eastAsia" w:ascii="黑体" w:hAnsi="黑体" w:eastAsia="黑体" w:cstheme="minorEastAsia"/>
          <w:b w:val="0"/>
          <w:sz w:val="28"/>
          <w:szCs w:val="28"/>
        </w:rPr>
        <w:t>4 检验</w:t>
      </w:r>
      <w:bookmarkEnd w:id="81"/>
      <w:bookmarkEnd w:id="82"/>
      <w:bookmarkEnd w:id="83"/>
      <w:bookmarkEnd w:id="84"/>
      <w:bookmarkEnd w:id="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6" w:name="_Toc14275"/>
      <w:bookmarkStart w:id="87" w:name="_Toc16330022"/>
      <w:bookmarkStart w:id="88" w:name="_Toc24467"/>
      <w:bookmarkStart w:id="89" w:name="_Toc11217"/>
      <w:bookmarkStart w:id="90" w:name="_Toc19850"/>
      <w:r>
        <w:rPr>
          <w:rFonts w:hint="eastAsia" w:ascii="黑体" w:hAnsi="黑体" w:eastAsia="黑体" w:cstheme="minorEastAsia"/>
          <w:b w:val="0"/>
          <w:sz w:val="28"/>
          <w:szCs w:val="28"/>
        </w:rPr>
        <w:t>5 权利担保</w:t>
      </w:r>
      <w:bookmarkEnd w:id="86"/>
      <w:bookmarkEnd w:id="87"/>
      <w:bookmarkEnd w:id="88"/>
      <w:bookmarkEnd w:id="89"/>
      <w:bookmarkEnd w:id="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1" w:name="_Toc14809"/>
      <w:bookmarkStart w:id="92" w:name="_Toc11759"/>
      <w:bookmarkStart w:id="93" w:name="_Toc20827"/>
      <w:bookmarkStart w:id="94" w:name="_Toc27500"/>
      <w:bookmarkStart w:id="95" w:name="_Toc16330023"/>
      <w:r>
        <w:rPr>
          <w:rFonts w:hint="eastAsia" w:ascii="黑体" w:hAnsi="黑体" w:eastAsia="黑体" w:cstheme="minorEastAsia"/>
          <w:b w:val="0"/>
          <w:sz w:val="28"/>
          <w:szCs w:val="28"/>
        </w:rPr>
        <w:t>6 交货</w:t>
      </w:r>
      <w:bookmarkEnd w:id="91"/>
      <w:bookmarkEnd w:id="92"/>
      <w:bookmarkEnd w:id="93"/>
      <w:bookmarkEnd w:id="94"/>
      <w:bookmarkEnd w:id="9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6" w:name="_Toc2984"/>
      <w:bookmarkStart w:id="97" w:name="_Toc25510"/>
      <w:bookmarkStart w:id="98" w:name="_Toc8024"/>
      <w:bookmarkStart w:id="99" w:name="_Toc16330024"/>
      <w:bookmarkStart w:id="100" w:name="_Toc23308"/>
      <w:r>
        <w:rPr>
          <w:rFonts w:hint="eastAsia" w:ascii="黑体" w:hAnsi="黑体" w:eastAsia="黑体" w:cstheme="minorEastAsia"/>
          <w:b w:val="0"/>
          <w:sz w:val="28"/>
          <w:szCs w:val="28"/>
        </w:rPr>
        <w:t>7 安装、调试</w:t>
      </w:r>
      <w:bookmarkEnd w:id="96"/>
      <w:bookmarkEnd w:id="97"/>
      <w:bookmarkEnd w:id="98"/>
      <w:bookmarkEnd w:id="99"/>
      <w:bookmarkEnd w:id="100"/>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1" w:name="_Toc16330025"/>
      <w:bookmarkStart w:id="102" w:name="_Toc14098"/>
      <w:bookmarkStart w:id="103" w:name="_Toc15547"/>
      <w:bookmarkStart w:id="104" w:name="_Toc14260"/>
      <w:bookmarkStart w:id="105" w:name="_Toc6350"/>
      <w:r>
        <w:rPr>
          <w:rFonts w:hint="eastAsia" w:ascii="黑体" w:hAnsi="黑体" w:eastAsia="黑体" w:cstheme="minorEastAsia"/>
          <w:b w:val="0"/>
          <w:sz w:val="28"/>
          <w:szCs w:val="28"/>
        </w:rPr>
        <w:t>8 价款与支付</w:t>
      </w:r>
      <w:bookmarkEnd w:id="101"/>
      <w:bookmarkEnd w:id="102"/>
      <w:bookmarkEnd w:id="103"/>
      <w:bookmarkEnd w:id="104"/>
      <w:bookmarkEnd w:id="10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06" w:name="_Toc14531628"/>
      <w:bookmarkStart w:id="107"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06"/>
      <w:bookmarkEnd w:id="107"/>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8" w:name="_Toc24085"/>
      <w:bookmarkStart w:id="109" w:name="_Toc21726"/>
      <w:bookmarkStart w:id="110" w:name="_Toc25708"/>
      <w:bookmarkStart w:id="111" w:name="_Toc16330026"/>
      <w:bookmarkStart w:id="112" w:name="_Toc6726"/>
      <w:r>
        <w:rPr>
          <w:rFonts w:hint="eastAsia" w:ascii="黑体" w:hAnsi="黑体" w:eastAsia="黑体" w:cstheme="minorEastAsia"/>
          <w:b w:val="0"/>
          <w:sz w:val="28"/>
          <w:szCs w:val="28"/>
        </w:rPr>
        <w:t>9 质量保证及售后服务</w:t>
      </w:r>
      <w:bookmarkEnd w:id="108"/>
      <w:bookmarkEnd w:id="109"/>
      <w:bookmarkEnd w:id="110"/>
      <w:bookmarkEnd w:id="111"/>
      <w:bookmarkEnd w:id="11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3" w:name="_Toc12927"/>
      <w:bookmarkStart w:id="114" w:name="_Toc15570"/>
      <w:bookmarkStart w:id="115" w:name="_Toc16330027"/>
      <w:bookmarkStart w:id="116" w:name="_Toc26769"/>
      <w:bookmarkStart w:id="117" w:name="_Toc10359"/>
      <w:r>
        <w:rPr>
          <w:rFonts w:hint="eastAsia" w:ascii="黑体" w:hAnsi="黑体" w:eastAsia="黑体" w:cstheme="minorEastAsia"/>
          <w:b w:val="0"/>
          <w:sz w:val="28"/>
          <w:szCs w:val="28"/>
        </w:rPr>
        <w:t>10法定责任</w:t>
      </w:r>
      <w:bookmarkEnd w:id="113"/>
      <w:bookmarkEnd w:id="114"/>
      <w:bookmarkEnd w:id="115"/>
      <w:bookmarkEnd w:id="116"/>
      <w:bookmarkEnd w:id="11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8" w:name="_Toc30381"/>
      <w:bookmarkStart w:id="119" w:name="_Toc7698"/>
      <w:bookmarkStart w:id="120" w:name="_Toc27314"/>
      <w:bookmarkStart w:id="121" w:name="_Toc16330028"/>
      <w:bookmarkStart w:id="122" w:name="_Toc9708"/>
      <w:r>
        <w:rPr>
          <w:rFonts w:hint="eastAsia" w:ascii="黑体" w:hAnsi="黑体" w:eastAsia="黑体" w:cstheme="minorEastAsia"/>
          <w:b w:val="0"/>
          <w:sz w:val="28"/>
          <w:szCs w:val="28"/>
        </w:rPr>
        <w:t>11 违约责任</w:t>
      </w:r>
      <w:bookmarkEnd w:id="118"/>
      <w:bookmarkEnd w:id="119"/>
      <w:bookmarkEnd w:id="120"/>
      <w:bookmarkEnd w:id="121"/>
      <w:bookmarkEnd w:id="12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23" w:name="_Toc9172"/>
      <w:bookmarkStart w:id="124" w:name="_Toc16330029"/>
      <w:bookmarkStart w:id="125" w:name="_Toc1827"/>
      <w:bookmarkStart w:id="126"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23"/>
    <w:bookmarkEnd w:id="124"/>
    <w:bookmarkEnd w:id="125"/>
    <w:bookmarkEnd w:id="126"/>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7" w:name="_Toc23793"/>
      <w:r>
        <w:rPr>
          <w:rFonts w:hint="eastAsia" w:ascii="黑体" w:hAnsi="黑体" w:eastAsia="黑体" w:cstheme="minorEastAsia"/>
          <w:b w:val="0"/>
          <w:sz w:val="28"/>
          <w:szCs w:val="28"/>
        </w:rPr>
        <w:t>12 合同的终止与解除</w:t>
      </w:r>
      <w:bookmarkEnd w:id="12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8" w:name="_Toc13671"/>
      <w:bookmarkStart w:id="129" w:name="_Toc16330030"/>
      <w:bookmarkStart w:id="130" w:name="_Toc11937"/>
      <w:bookmarkStart w:id="131" w:name="_Toc31945"/>
      <w:bookmarkStart w:id="132" w:name="_Toc8620"/>
      <w:r>
        <w:rPr>
          <w:rFonts w:hint="eastAsia" w:ascii="黑体" w:hAnsi="黑体" w:eastAsia="黑体" w:cstheme="minorEastAsia"/>
          <w:b w:val="0"/>
          <w:sz w:val="28"/>
          <w:szCs w:val="28"/>
        </w:rPr>
        <w:t>13 不可抗力</w:t>
      </w:r>
      <w:bookmarkEnd w:id="128"/>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3" w:name="_Toc31243"/>
      <w:bookmarkStart w:id="134" w:name="_Toc637"/>
      <w:bookmarkStart w:id="135" w:name="_Toc30389"/>
      <w:bookmarkStart w:id="136" w:name="_Toc16330031"/>
      <w:bookmarkStart w:id="137" w:name="_Toc18772"/>
      <w:r>
        <w:rPr>
          <w:rFonts w:hint="eastAsia" w:ascii="黑体" w:hAnsi="黑体" w:eastAsia="黑体" w:cstheme="minorEastAsia"/>
          <w:b w:val="0"/>
          <w:sz w:val="28"/>
          <w:szCs w:val="28"/>
        </w:rPr>
        <w:t>14 通讯</w:t>
      </w:r>
      <w:bookmarkEnd w:id="133"/>
      <w:bookmarkEnd w:id="134"/>
      <w:bookmarkEnd w:id="135"/>
      <w:bookmarkEnd w:id="136"/>
      <w:bookmarkEnd w:id="13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38" w:name="_Toc11290"/>
      <w:bookmarkStart w:id="139" w:name="_Toc23011"/>
      <w:bookmarkStart w:id="140" w:name="_Toc9915"/>
      <w:bookmarkStart w:id="141" w:name="_Toc12984"/>
      <w:bookmarkStart w:id="142" w:name="_Toc16330032"/>
      <w:r>
        <w:rPr>
          <w:rFonts w:hint="eastAsia" w:ascii="黑体" w:hAnsi="黑体" w:eastAsia="黑体" w:cstheme="minorEastAsia"/>
          <w:b w:val="0"/>
          <w:sz w:val="28"/>
          <w:szCs w:val="28"/>
        </w:rPr>
        <w:t>15 适用法律及争议解决</w:t>
      </w:r>
      <w:bookmarkEnd w:id="138"/>
      <w:bookmarkEnd w:id="139"/>
      <w:bookmarkEnd w:id="140"/>
      <w:bookmarkEnd w:id="141"/>
      <w:bookmarkEnd w:id="1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3" w:name="_Toc5747"/>
      <w:bookmarkStart w:id="144" w:name="_Toc23765"/>
      <w:bookmarkStart w:id="145" w:name="_Toc16330033"/>
      <w:bookmarkStart w:id="146" w:name="_Toc18207"/>
      <w:bookmarkStart w:id="147" w:name="_Toc23906"/>
      <w:r>
        <w:rPr>
          <w:rFonts w:hint="eastAsia" w:ascii="黑体" w:hAnsi="黑体" w:eastAsia="黑体" w:cstheme="minorEastAsia"/>
          <w:b w:val="0"/>
          <w:sz w:val="28"/>
          <w:szCs w:val="28"/>
        </w:rPr>
        <w:t>16 附件</w:t>
      </w:r>
      <w:bookmarkEnd w:id="143"/>
      <w:bookmarkEnd w:id="144"/>
      <w:bookmarkEnd w:id="145"/>
      <w:bookmarkEnd w:id="146"/>
      <w:bookmarkEnd w:id="1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8" w:name="_Toc17656"/>
      <w:bookmarkStart w:id="149" w:name="_Toc16330034"/>
      <w:bookmarkStart w:id="150" w:name="_Toc9594"/>
      <w:bookmarkStart w:id="151" w:name="_Toc27202"/>
      <w:bookmarkStart w:id="152" w:name="_Toc31331"/>
      <w:r>
        <w:rPr>
          <w:rFonts w:hint="eastAsia" w:ascii="黑体" w:hAnsi="黑体" w:eastAsia="黑体" w:cstheme="minorEastAsia"/>
          <w:b w:val="0"/>
          <w:sz w:val="28"/>
          <w:szCs w:val="28"/>
        </w:rPr>
        <w:t>17 其他规定</w:t>
      </w:r>
      <w:bookmarkEnd w:id="148"/>
      <w:bookmarkEnd w:id="149"/>
      <w:bookmarkEnd w:id="150"/>
      <w:bookmarkEnd w:id="151"/>
      <w:bookmarkEnd w:id="1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53" w:name="_Toc16330035"/>
      <w:bookmarkStart w:id="154" w:name="_Toc17952"/>
      <w:bookmarkStart w:id="155" w:name="_Toc19077"/>
      <w:bookmarkStart w:id="156"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57" w:name="_Toc15340"/>
      <w:r>
        <w:rPr>
          <w:rFonts w:hint="eastAsia" w:ascii="黑体" w:hAnsi="黑体" w:eastAsia="黑体" w:cstheme="minorEastAsia"/>
          <w:b w:val="0"/>
          <w:sz w:val="28"/>
          <w:szCs w:val="28"/>
        </w:rPr>
        <w:t>18 签署事项</w:t>
      </w:r>
      <w:bookmarkEnd w:id="153"/>
      <w:bookmarkEnd w:id="154"/>
      <w:bookmarkEnd w:id="155"/>
      <w:bookmarkEnd w:id="156"/>
      <w:bookmarkEnd w:id="15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58" w:name="_Toc15689"/>
      <w:bookmarkStart w:id="159" w:name="_Toc10272"/>
      <w:bookmarkStart w:id="160" w:name="_Toc28611"/>
      <w:bookmarkStart w:id="161" w:name="_Toc16330036"/>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58"/>
    <w:bookmarkEnd w:id="159"/>
    <w:bookmarkEnd w:id="160"/>
    <w:bookmarkEnd w:id="161"/>
    <w:p>
      <w:pPr>
        <w:rPr>
          <w:sz w:val="24"/>
          <w:szCs w:val="24"/>
        </w:rPr>
      </w:pPr>
    </w:p>
    <w:p>
      <w:pPr>
        <w:pStyle w:val="4"/>
        <w:tabs>
          <w:tab w:val="right" w:leader="dot" w:pos="9061"/>
        </w:tabs>
        <w:rPr>
          <w:rFonts w:ascii="黑体" w:hAnsi="黑体" w:eastAsia="黑体" w:cstheme="minorEastAsia"/>
          <w:b w:val="0"/>
          <w:sz w:val="28"/>
          <w:szCs w:val="28"/>
        </w:rPr>
      </w:pPr>
      <w:bookmarkStart w:id="162" w:name="_Toc14581"/>
      <w:r>
        <w:rPr>
          <w:rFonts w:hint="eastAsia" w:ascii="黑体" w:hAnsi="黑体" w:eastAsia="黑体" w:cstheme="minorEastAsia"/>
          <w:b w:val="0"/>
          <w:sz w:val="28"/>
          <w:szCs w:val="28"/>
        </w:rPr>
        <w:t>附件一：设备清单明细表</w:t>
      </w:r>
      <w:bookmarkEnd w:id="162"/>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63" w:name="_Toc24623"/>
      <w:bookmarkStart w:id="164" w:name="_Toc3778"/>
      <w:bookmarkStart w:id="165" w:name="_Toc25120"/>
      <w:bookmarkStart w:id="166" w:name="_Toc5379"/>
      <w:bookmarkStart w:id="167" w:name="_Toc16330037"/>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4"/>
        <w:tabs>
          <w:tab w:val="right" w:leader="dot" w:pos="9061"/>
        </w:tabs>
        <w:rPr>
          <w:rFonts w:ascii="黑体" w:hAnsi="黑体" w:eastAsia="黑体" w:cstheme="minorEastAsia"/>
          <w:b w:val="0"/>
          <w:sz w:val="28"/>
          <w:szCs w:val="28"/>
        </w:rPr>
      </w:pPr>
      <w:bookmarkStart w:id="168" w:name="_Toc8175"/>
      <w:r>
        <w:rPr>
          <w:rFonts w:hint="eastAsia" w:ascii="黑体" w:hAnsi="黑体" w:eastAsia="黑体" w:cstheme="minorEastAsia"/>
          <w:b w:val="0"/>
          <w:sz w:val="28"/>
          <w:szCs w:val="28"/>
        </w:rPr>
        <w:t xml:space="preserve">附件二 </w:t>
      </w:r>
      <w:bookmarkEnd w:id="163"/>
      <w:bookmarkEnd w:id="164"/>
      <w:bookmarkEnd w:id="165"/>
      <w:bookmarkEnd w:id="166"/>
      <w:bookmarkEnd w:id="167"/>
      <w:r>
        <w:rPr>
          <w:rFonts w:hint="eastAsia" w:ascii="黑体" w:hAnsi="黑体" w:eastAsia="黑体" w:cstheme="minorEastAsia"/>
          <w:b w:val="0"/>
          <w:sz w:val="28"/>
          <w:szCs w:val="28"/>
        </w:rPr>
        <w:t>技术协议书</w:t>
      </w:r>
      <w:bookmarkEnd w:id="168"/>
    </w:p>
    <w:p>
      <w:pPr>
        <w:ind w:right="360"/>
        <w:rPr>
          <w:rFonts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69" w:name="_Toc29691"/>
      <w:bookmarkStart w:id="170" w:name="_Toc25466"/>
      <w:bookmarkStart w:id="171" w:name="_Toc10455"/>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69"/>
      <w:bookmarkEnd w:id="170"/>
      <w:bookmarkEnd w:id="171"/>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2" w:name="_Toc639004"/>
      <w:bookmarkStart w:id="173" w:name="_Toc25811"/>
      <w:bookmarkStart w:id="174" w:name="_Toc212369550"/>
      <w:bookmarkStart w:id="175"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2"/>
      <w:bookmarkEnd w:id="173"/>
      <w:bookmarkEnd w:id="174"/>
      <w:bookmarkEnd w:id="175"/>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yellow"/>
          <w:u w:val="single"/>
          <w:lang w:eastAsia="zh-CN"/>
        </w:rPr>
        <w:t>智能辅助驾驶L2+系统电气测试台架技改项目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highlight w:val="none"/>
        </w:rPr>
        <w:t>正本一份、副本</w:t>
      </w:r>
      <w:r>
        <w:rPr>
          <w:rFonts w:hint="eastAsia" w:ascii="宋体" w:hAnsi="宋体" w:eastAsia="宋体" w:cs="Times New Roman"/>
          <w:color w:val="000000"/>
          <w:sz w:val="24"/>
          <w:szCs w:val="24"/>
          <w:highlight w:val="none"/>
          <w:lang w:val="en-US" w:eastAsia="zh-CN"/>
        </w:rPr>
        <w:t>两</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rPr>
        <w:t>；电子版投标文件一份。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请填写手机号码</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highlight w:val="yellow"/>
          <w:u w:val="single"/>
        </w:rPr>
        <w:t xml:space="preserve"> </w:t>
      </w:r>
      <w:r>
        <w:rPr>
          <w:rFonts w:hint="default" w:ascii="宋体" w:hAnsi="宋体" w:eastAsia="宋体" w:cs="Times New Roman"/>
          <w:color w:val="000000"/>
          <w:sz w:val="24"/>
          <w:szCs w:val="24"/>
          <w:highlight w:val="yellow"/>
          <w:u w:val="single"/>
        </w:rPr>
        <w:t>智能辅助驾驶L2+系统电气测试台架技改项目</w:t>
      </w:r>
      <w:r>
        <w:rPr>
          <w:rFonts w:ascii="宋体" w:hAnsi="宋体" w:eastAsia="宋体" w:cs="Times New Roman"/>
          <w:b/>
          <w:bCs/>
          <w:color w:val="000000"/>
          <w:sz w:val="24"/>
          <w:szCs w:val="24"/>
          <w:highlight w:val="yellow"/>
        </w:rPr>
        <w:t xml:space="preserve"> </w:t>
      </w:r>
      <w:r>
        <w:rPr>
          <w:rFonts w:hint="eastAsia" w:ascii="宋体" w:hAnsi="宋体" w:eastAsia="宋体" w:cs="Times New Roman"/>
          <w:color w:val="000000"/>
          <w:sz w:val="24"/>
          <w:szCs w:val="24"/>
        </w:rPr>
        <w:t>（</w:t>
      </w:r>
      <w:r>
        <w:rPr>
          <w:rFonts w:hint="default" w:ascii="宋体" w:hAnsi="宋体" w:eastAsia="宋体" w:cs="Times New Roman"/>
          <w:color w:val="000000"/>
          <w:sz w:val="24"/>
          <w:szCs w:val="24"/>
          <w:lang w:val="en-US"/>
        </w:rPr>
        <w:t>CGZX2023030248</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pacing w:val="0"/>
          <w:sz w:val="24"/>
          <w:szCs w:val="24"/>
        </w:rPr>
        <w:t xml:space="preserve">附件3 </w:t>
      </w:r>
      <w:r>
        <w:rPr>
          <w:rFonts w:hint="eastAsia" w:ascii="Times New Roman" w:hAnsi="Times New Roman" w:eastAsia="宋体" w:cs="Times New Roman"/>
          <w:b/>
          <w:bCs/>
          <w:color w:val="000000"/>
          <w:spacing w:val="0"/>
          <w:position w:val="0"/>
          <w:sz w:val="24"/>
          <w:szCs w:val="24"/>
        </w:rPr>
        <w:t>投标人基本情况</w:t>
      </w:r>
      <w:r>
        <w:rPr>
          <w:rFonts w:hint="eastAsia" w:ascii="Times New Roman" w:hAnsi="Times New Roman" w:eastAsia="宋体" w:cs="Times New Roman"/>
          <w:b/>
          <w:bCs/>
          <w:color w:val="000000"/>
          <w:sz w:val="24"/>
          <w:szCs w:val="24"/>
        </w:rPr>
        <w:t>表</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pPr>
    </w:p>
    <w:p>
      <w:pPr>
        <w:pStyle w:val="2"/>
      </w:pPr>
    </w:p>
    <w:p>
      <w:pPr>
        <w:pStyle w:val="2"/>
      </w:pPr>
    </w:p>
    <w:p>
      <w:pPr>
        <w:pStyle w:val="2"/>
      </w:pPr>
    </w:p>
    <w:p>
      <w:pPr>
        <w:pStyle w:val="2"/>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pStyle w:val="2"/>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highlight w:val="yellow"/>
          <w:u w:val="single"/>
          <w:lang w:eastAsia="zh-CN"/>
        </w:rPr>
        <w:t>智能辅助驾驶L2+系统电气测试台架技改项目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yellow"/>
          <w:u w:val="single"/>
          <w:lang w:eastAsia="zh-CN"/>
        </w:rPr>
        <w:t>智能辅助驾驶L2+系统电气测试台架技改项目</w:t>
      </w:r>
      <w:r>
        <w:rPr>
          <w:rFonts w:ascii="宋体" w:hAnsi="宋体" w:eastAsia="宋体" w:cs="Times New Roman"/>
          <w:color w:val="000000"/>
          <w:sz w:val="24"/>
          <w:szCs w:val="24"/>
          <w:highlight w:val="yellow"/>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2019年1月1日以来同类项目业绩一览表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highlight w:val="yellow"/>
          <w:u w:val="single"/>
          <w:lang w:eastAsia="zh-CN"/>
        </w:rPr>
        <w:t>智能辅助驾驶L2+系统电气测试台架技改项目</w:t>
      </w:r>
      <w:r>
        <w:rPr>
          <w:rFonts w:ascii="宋体" w:hAnsi="宋体" w:eastAsia="宋体" w:cs="Times New Roman"/>
          <w:color w:val="000000"/>
          <w:sz w:val="24"/>
          <w:szCs w:val="24"/>
          <w:highlight w:val="yellow"/>
        </w:rPr>
        <w:t xml:space="preserve"> </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2019年1月1日至今所有业绩合同总额汇总（必填）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hint="eastAsia" w:ascii="宋体" w:hAnsi="宋体" w:eastAsia="宋体" w:cs="宋体"/>
          <w:kern w:val="0"/>
          <w:sz w:val="24"/>
          <w:szCs w:val="20"/>
          <w:lang w:val="en-US" w:eastAsia="zh-CN"/>
        </w:rPr>
      </w:pPr>
      <w:r>
        <w:rPr>
          <w:rFonts w:hint="eastAsia" w:ascii="宋体" w:hAnsi="宋体" w:eastAsia="宋体" w:cs="Times New Roman"/>
          <w:sz w:val="24"/>
          <w:szCs w:val="20"/>
        </w:rPr>
        <w:t>注：</w:t>
      </w:r>
      <w:r>
        <w:rPr>
          <w:rFonts w:hint="eastAsia" w:ascii="宋体" w:hAnsi="宋体" w:eastAsia="宋体" w:cs="宋体"/>
          <w:kern w:val="0"/>
          <w:sz w:val="24"/>
          <w:szCs w:val="20"/>
        </w:rPr>
        <w:t>提供2019年1月1日以来同类产品的制造销售业绩（用户名单、联系方式）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kern w:val="0"/>
          <w:sz w:val="24"/>
          <w:szCs w:val="20"/>
          <w:lang w:eastAsia="zh-CN"/>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color w:val="000000"/>
          <w:sz w:val="24"/>
          <w:szCs w:val="24"/>
          <w:highlight w:val="yellow"/>
          <w:u w:val="single"/>
          <w:lang w:eastAsia="zh-CN"/>
        </w:rPr>
        <w:t>智能辅助驾驶L2+系统电气测试台架技改项目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lang w:eastAsia="zh-CN"/>
        </w:rPr>
        <w:t>智能辅助驾驶L2+系统电气测试台架技改项目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Times New Roman"/>
                <w:color w:val="000000"/>
                <w:sz w:val="24"/>
                <w:szCs w:val="24"/>
                <w:u w:val="single"/>
                <w:lang w:eastAsia="zh-CN"/>
              </w:rPr>
              <w:t>智能辅助驾驶L2+系统电气测试台架</w:t>
            </w:r>
          </w:p>
        </w:tc>
        <w:tc>
          <w:tcPr>
            <w:tcW w:w="848" w:type="dxa"/>
            <w:vAlign w:val="center"/>
          </w:tcPr>
          <w:p>
            <w:pPr>
              <w:jc w:val="center"/>
              <w:rPr>
                <w:rFonts w:hint="eastAsia" w:ascii="Times New Roman" w:hAnsi="Times New Roman" w:eastAsia="宋体" w:cs="Times New Roman"/>
                <w:b/>
                <w:szCs w:val="20"/>
                <w:lang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hint="eastAsia" w:ascii="宋体" w:hAnsi="宋体" w:eastAsia="宋体" w:cs="宋体"/>
          <w:spacing w:val="-1"/>
          <w:szCs w:val="21"/>
          <w:lang w:eastAsia="zh-CN"/>
        </w:rPr>
        <w:t>采购编号：CGZX2023030248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rPr>
            </w:pPr>
            <w:r>
              <w:rPr>
                <w:rFonts w:ascii="宋体" w:hAnsi="宋体" w:eastAsia="宋体" w:cs="宋体"/>
                <w:szCs w:val="21"/>
              </w:rPr>
              <w:t>1</w:t>
            </w:r>
          </w:p>
        </w:tc>
        <w:tc>
          <w:tcPr>
            <w:tcW w:w="2238" w:type="dxa"/>
            <w:vAlign w:val="center"/>
          </w:tcPr>
          <w:p>
            <w:pPr>
              <w:spacing w:line="360" w:lineRule="exact"/>
              <w:jc w:val="center"/>
              <w:rPr>
                <w:rFonts w:hint="eastAsia" w:ascii="宋体" w:hAnsi="宋体" w:eastAsia="宋体" w:cstheme="minorBidi"/>
                <w:color w:val="000000"/>
                <w:kern w:val="2"/>
                <w:sz w:val="21"/>
                <w:szCs w:val="22"/>
                <w:highlight w:val="yellow"/>
                <w:lang w:val="en-US" w:eastAsia="zh-CN" w:bidi="ar-SA"/>
              </w:rPr>
            </w:pPr>
            <w:r>
              <w:rPr>
                <w:rFonts w:hint="eastAsia" w:ascii="宋体" w:hAnsi="宋体" w:eastAsia="宋体"/>
                <w:color w:val="000000"/>
                <w:highlight w:val="yellow"/>
              </w:rPr>
              <w:t>电气测试台架实体</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rPr>
            </w:pPr>
            <w:r>
              <w:rPr>
                <w:rFonts w:ascii="宋体" w:hAnsi="宋体" w:eastAsia="宋体" w:cs="宋体"/>
                <w:szCs w:val="21"/>
              </w:rPr>
              <w:t>2</w:t>
            </w:r>
          </w:p>
        </w:tc>
        <w:tc>
          <w:tcPr>
            <w:tcW w:w="2238" w:type="dxa"/>
            <w:vAlign w:val="center"/>
          </w:tcPr>
          <w:p>
            <w:pPr>
              <w:spacing w:line="360" w:lineRule="exact"/>
              <w:jc w:val="center"/>
              <w:rPr>
                <w:rFonts w:hint="eastAsia" w:ascii="宋体" w:hAnsi="宋体" w:eastAsia="宋体" w:cstheme="minorBidi"/>
                <w:color w:val="000000"/>
                <w:kern w:val="2"/>
                <w:sz w:val="21"/>
                <w:szCs w:val="22"/>
                <w:highlight w:val="yellow"/>
                <w:lang w:val="en-US" w:eastAsia="zh-CN" w:bidi="ar-SA"/>
              </w:rPr>
            </w:pPr>
            <w:r>
              <w:rPr>
                <w:rFonts w:hint="eastAsia"/>
                <w:highlight w:val="yellow"/>
              </w:rPr>
              <w:t>电源模块</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rPr>
            </w:pPr>
            <w:r>
              <w:rPr>
                <w:rFonts w:ascii="宋体" w:hAnsi="宋体" w:eastAsia="宋体" w:cs="宋体"/>
                <w:szCs w:val="21"/>
              </w:rPr>
              <w:t>3</w:t>
            </w:r>
          </w:p>
        </w:tc>
        <w:tc>
          <w:tcPr>
            <w:tcW w:w="2238" w:type="dxa"/>
            <w:vAlign w:val="center"/>
          </w:tcPr>
          <w:p>
            <w:pPr>
              <w:spacing w:line="360" w:lineRule="exact"/>
              <w:jc w:val="center"/>
              <w:rPr>
                <w:rFonts w:hint="eastAsia" w:ascii="宋体" w:hAnsi="宋体" w:eastAsia="宋体" w:cstheme="minorBidi"/>
                <w:color w:val="000000"/>
                <w:kern w:val="2"/>
                <w:sz w:val="21"/>
                <w:szCs w:val="22"/>
                <w:highlight w:val="yellow"/>
                <w:lang w:val="en-US" w:eastAsia="zh-CN" w:bidi="ar-SA"/>
              </w:rPr>
            </w:pPr>
            <w:r>
              <w:rPr>
                <w:rFonts w:hint="eastAsia"/>
                <w:highlight w:val="yellow"/>
              </w:rPr>
              <w:t>C</w:t>
            </w:r>
            <w:r>
              <w:rPr>
                <w:highlight w:val="yellow"/>
              </w:rPr>
              <w:t>AN</w:t>
            </w:r>
            <w:r>
              <w:rPr>
                <w:rFonts w:hint="eastAsia"/>
                <w:highlight w:val="yellow"/>
              </w:rPr>
              <w:t>分析</w:t>
            </w:r>
            <w:r>
              <w:rPr>
                <w:rFonts w:hint="eastAsia"/>
                <w:highlight w:val="yellow"/>
                <w:lang w:val="en-US" w:eastAsia="zh-CN"/>
              </w:rPr>
              <w:t>模块</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tcPr>
          <w:p>
            <w:pPr>
              <w:spacing w:before="112" w:line="185" w:lineRule="auto"/>
              <w:ind w:left="288"/>
              <w:rPr>
                <w:rFonts w:ascii="宋体" w:hAnsi="宋体" w:eastAsia="宋体" w:cs="宋体"/>
                <w:szCs w:val="21"/>
              </w:rPr>
            </w:pPr>
            <w:r>
              <w:rPr>
                <w:rFonts w:ascii="宋体" w:hAnsi="宋体" w:eastAsia="宋体" w:cs="宋体"/>
                <w:szCs w:val="21"/>
              </w:rPr>
              <w:t>4</w:t>
            </w:r>
          </w:p>
        </w:tc>
        <w:tc>
          <w:tcPr>
            <w:tcW w:w="2238" w:type="dxa"/>
            <w:vAlign w:val="center"/>
          </w:tcPr>
          <w:p>
            <w:pPr>
              <w:spacing w:line="360" w:lineRule="exact"/>
              <w:jc w:val="center"/>
              <w:rPr>
                <w:rFonts w:hint="default" w:ascii="宋体" w:hAnsi="宋体" w:eastAsia="宋体" w:cstheme="minorBidi"/>
                <w:color w:val="000000"/>
                <w:kern w:val="2"/>
                <w:sz w:val="21"/>
                <w:szCs w:val="22"/>
                <w:highlight w:val="yellow"/>
                <w:lang w:val="en-US" w:eastAsia="zh-CN" w:bidi="ar-SA"/>
              </w:rPr>
            </w:pPr>
            <w:r>
              <w:rPr>
                <w:rFonts w:hint="eastAsia" w:ascii="宋体" w:hAnsi="宋体" w:eastAsia="宋体"/>
                <w:color w:val="000000"/>
                <w:highlight w:val="yellow"/>
                <w:lang w:val="en-US" w:eastAsia="zh-CN"/>
              </w:rPr>
              <w:t>附件工具</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hint="default" w:ascii="宋体" w:hAnsi="宋体" w:eastAsia="宋体" w:cs="宋体"/>
                <w:szCs w:val="21"/>
                <w:lang w:val="en-US" w:eastAsia="zh-CN"/>
              </w:rPr>
            </w:pPr>
            <w:r>
              <w:rPr>
                <w:rFonts w:hint="eastAsia" w:ascii="宋体" w:hAnsi="宋体" w:eastAsia="宋体" w:cs="宋体"/>
                <w:szCs w:val="21"/>
                <w:lang w:val="en-US" w:eastAsia="zh-CN"/>
              </w:rPr>
              <w:t>4.1</w:t>
            </w:r>
          </w:p>
        </w:tc>
        <w:tc>
          <w:tcPr>
            <w:tcW w:w="2238" w:type="dxa"/>
            <w:vAlign w:val="center"/>
          </w:tcPr>
          <w:p>
            <w:pPr>
              <w:spacing w:line="360" w:lineRule="exact"/>
              <w:jc w:val="center"/>
              <w:rPr>
                <w:rFonts w:hint="eastAsia" w:ascii="宋体" w:hAnsi="宋体" w:eastAsia="宋体"/>
                <w:color w:val="000000"/>
                <w:highlight w:val="yellow"/>
                <w:lang w:val="en-US" w:eastAsia="zh-CN"/>
              </w:rPr>
            </w:pPr>
            <w:r>
              <w:rPr>
                <w:rFonts w:hint="eastAsia" w:ascii="宋体" w:hAnsi="宋体" w:eastAsia="宋体" w:cs="宋体"/>
                <w:position w:val="1"/>
                <w:szCs w:val="21"/>
                <w:highlight w:val="yellow"/>
                <w:lang w:eastAsia="zh-CN"/>
              </w:rPr>
              <w:t>万用表</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tcPr>
          <w:p>
            <w:pPr>
              <w:spacing w:before="112" w:line="185" w:lineRule="auto"/>
              <w:ind w:left="288"/>
              <w:rPr>
                <w:rFonts w:hint="default" w:ascii="宋体" w:hAnsi="宋体" w:eastAsia="宋体" w:cs="宋体"/>
                <w:szCs w:val="21"/>
                <w:lang w:val="en-US" w:eastAsia="zh-CN"/>
              </w:rPr>
            </w:pPr>
            <w:r>
              <w:rPr>
                <w:rFonts w:hint="eastAsia" w:ascii="宋体" w:hAnsi="宋体" w:eastAsia="宋体" w:cs="宋体"/>
                <w:szCs w:val="21"/>
                <w:lang w:val="en-US" w:eastAsia="zh-CN"/>
              </w:rPr>
              <w:t>4.2</w:t>
            </w:r>
          </w:p>
        </w:tc>
        <w:tc>
          <w:tcPr>
            <w:tcW w:w="2238" w:type="dxa"/>
            <w:vAlign w:val="center"/>
          </w:tcPr>
          <w:p>
            <w:pPr>
              <w:spacing w:line="360" w:lineRule="exact"/>
              <w:jc w:val="center"/>
              <w:rPr>
                <w:rFonts w:hint="eastAsia" w:ascii="宋体" w:hAnsi="宋体" w:eastAsia="宋体"/>
                <w:color w:val="000000"/>
                <w:highlight w:val="yellow"/>
                <w:lang w:val="en-US" w:eastAsia="zh-CN"/>
              </w:rPr>
            </w:pPr>
            <w:r>
              <w:rPr>
                <w:rFonts w:hint="eastAsia" w:ascii="宋体" w:hAnsi="宋体" w:eastAsia="宋体" w:cs="宋体"/>
                <w:position w:val="1"/>
                <w:szCs w:val="21"/>
                <w:highlight w:val="yellow"/>
                <w:lang w:eastAsia="zh-CN"/>
              </w:rPr>
              <w:t>工具箱</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672" w:type="dxa"/>
          </w:tcPr>
          <w:p>
            <w:pPr>
              <w:spacing w:before="114" w:line="182" w:lineRule="auto"/>
              <w:ind w:left="293"/>
              <w:rPr>
                <w:rFonts w:ascii="宋体" w:hAnsi="宋体" w:eastAsia="宋体" w:cs="宋体"/>
                <w:szCs w:val="21"/>
              </w:rPr>
            </w:pPr>
            <w:r>
              <w:rPr>
                <w:rFonts w:ascii="宋体" w:hAnsi="宋体" w:eastAsia="宋体" w:cs="宋体"/>
                <w:szCs w:val="21"/>
              </w:rPr>
              <w:t>5</w:t>
            </w:r>
          </w:p>
        </w:tc>
        <w:tc>
          <w:tcPr>
            <w:tcW w:w="2238" w:type="dxa"/>
            <w:vAlign w:val="center"/>
          </w:tcPr>
          <w:p>
            <w:pPr>
              <w:spacing w:line="360" w:lineRule="exact"/>
              <w:jc w:val="center"/>
              <w:rPr>
                <w:rFonts w:hint="default" w:ascii="宋体" w:hAnsi="宋体" w:eastAsia="宋体" w:cstheme="minorBidi"/>
                <w:color w:val="000000"/>
                <w:kern w:val="2"/>
                <w:sz w:val="21"/>
                <w:szCs w:val="22"/>
                <w:highlight w:val="yellow"/>
                <w:lang w:val="en-US" w:eastAsia="zh-CN" w:bidi="ar-SA"/>
              </w:rPr>
            </w:pPr>
            <w:r>
              <w:rPr>
                <w:rFonts w:hint="eastAsia" w:ascii="宋体" w:hAnsi="宋体" w:eastAsia="宋体"/>
                <w:color w:val="000000"/>
                <w:highlight w:val="yellow"/>
                <w:lang w:val="en-US" w:eastAsia="zh-CN"/>
              </w:rPr>
              <w:t>激光雷达模块</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114" w:line="183" w:lineRule="auto"/>
              <w:ind w:left="291"/>
              <w:rPr>
                <w:rFonts w:ascii="宋体" w:hAnsi="宋体" w:eastAsia="宋体" w:cs="宋体"/>
                <w:szCs w:val="21"/>
              </w:rPr>
            </w:pPr>
            <w:r>
              <w:rPr>
                <w:rFonts w:ascii="宋体" w:hAnsi="宋体" w:eastAsia="宋体" w:cs="宋体"/>
                <w:szCs w:val="21"/>
              </w:rPr>
              <w:t>6</w:t>
            </w:r>
          </w:p>
        </w:tc>
        <w:tc>
          <w:tcPr>
            <w:tcW w:w="2238" w:type="dxa"/>
            <w:vAlign w:val="center"/>
          </w:tcPr>
          <w:p>
            <w:pPr>
              <w:spacing w:line="360" w:lineRule="exact"/>
              <w:jc w:val="center"/>
              <w:rPr>
                <w:rFonts w:hint="default" w:ascii="宋体" w:hAnsi="宋体" w:eastAsia="宋体" w:cstheme="minorBidi"/>
                <w:color w:val="000000"/>
                <w:kern w:val="2"/>
                <w:sz w:val="21"/>
                <w:szCs w:val="22"/>
                <w:highlight w:val="yellow"/>
                <w:lang w:val="en-US" w:eastAsia="zh-CN" w:bidi="ar-SA"/>
              </w:rPr>
            </w:pPr>
            <w:r>
              <w:rPr>
                <w:rFonts w:hint="eastAsia" w:ascii="宋体" w:hAnsi="宋体" w:eastAsia="宋体"/>
                <w:color w:val="000000"/>
                <w:highlight w:val="yellow"/>
                <w:lang w:val="en-US" w:eastAsia="zh-CN"/>
              </w:rPr>
              <w:t>域控制器模块</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5" w:hRule="atLeast"/>
        </w:trPr>
        <w:tc>
          <w:tcPr>
            <w:tcW w:w="672" w:type="dxa"/>
          </w:tcPr>
          <w:p>
            <w:pPr>
              <w:spacing w:before="116" w:line="182" w:lineRule="auto"/>
              <w:ind w:left="294"/>
              <w:rPr>
                <w:rFonts w:ascii="宋体" w:hAnsi="宋体" w:eastAsia="宋体" w:cs="宋体"/>
                <w:szCs w:val="21"/>
              </w:rPr>
            </w:pPr>
            <w:r>
              <w:rPr>
                <w:rFonts w:ascii="宋体" w:hAnsi="宋体" w:eastAsia="宋体" w:cs="宋体"/>
                <w:szCs w:val="21"/>
              </w:rPr>
              <w:t>7</w:t>
            </w:r>
          </w:p>
        </w:tc>
        <w:tc>
          <w:tcPr>
            <w:tcW w:w="2238" w:type="dxa"/>
          </w:tcPr>
          <w:p>
            <w:pPr>
              <w:rPr>
                <w:rFonts w:ascii="Arial"/>
              </w:rPr>
            </w:pP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ind w:left="290"/>
              <w:rPr>
                <w:rFonts w:ascii="宋体" w:hAnsi="宋体" w:eastAsia="宋体" w:cs="宋体"/>
                <w:szCs w:val="21"/>
              </w:rPr>
            </w:pPr>
            <w:r>
              <w:rPr>
                <w:rFonts w:ascii="宋体" w:hAnsi="宋体" w:eastAsia="宋体" w:cs="宋体"/>
                <w:szCs w:val="21"/>
              </w:rPr>
              <w:t>8</w:t>
            </w:r>
          </w:p>
        </w:tc>
        <w:tc>
          <w:tcPr>
            <w:tcW w:w="2238" w:type="dxa"/>
          </w:tcPr>
          <w:p>
            <w:pPr>
              <w:rPr>
                <w:rFonts w:ascii="Arial"/>
              </w:rPr>
            </w:pP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pPr>
      <w:r>
        <w:rPr>
          <w:rFonts w:hint="eastAsia" w:ascii="宋体" w:hAnsi="宋体" w:eastAsia="宋体" w:cs="宋体"/>
          <w:spacing w:val="-6"/>
          <w:szCs w:val="21"/>
        </w:rPr>
        <w:t>6.因填写不规范造成废标及终止招标的，责任由投标人自负。</w:t>
      </w:r>
    </w:p>
    <w:p>
      <w:pPr>
        <w:sectPr>
          <w:footerReference r:id="rId25"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hint="eastAsia" w:ascii="宋体" w:hAnsi="宋体" w:eastAsia="宋体" w:cs="宋体"/>
          <w:spacing w:val="-1"/>
          <w:szCs w:val="21"/>
          <w:lang w:eastAsia="zh-CN"/>
        </w:rPr>
        <w:t>采购编号：CGZX2023030248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hint="eastAsia" w:ascii="宋体" w:hAnsi="宋体" w:eastAsia="宋体" w:cs="宋体"/>
          <w:spacing w:val="-1"/>
          <w:szCs w:val="21"/>
          <w:lang w:eastAsia="zh-CN"/>
        </w:rPr>
        <w:t>采购编号：CGZX2023030248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highlight w:val="yellow"/>
              </w:rPr>
            </w:pPr>
            <w:r>
              <w:rPr>
                <w:rFonts w:ascii="宋体" w:hAnsi="宋体" w:eastAsia="宋体" w:cs="宋体"/>
                <w:spacing w:val="-1"/>
                <w:szCs w:val="21"/>
                <w:highlight w:val="yellow"/>
              </w:rPr>
              <w:t>现场指导安装费</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highlight w:val="yellow"/>
              </w:rPr>
            </w:pPr>
            <w:r>
              <w:rPr>
                <w:rFonts w:ascii="宋体" w:hAnsi="宋体" w:eastAsia="宋体" w:cs="宋体"/>
                <w:spacing w:val="-1"/>
                <w:szCs w:val="21"/>
                <w:highlight w:val="yellow"/>
              </w:rPr>
              <w:t>现场指导调试、</w:t>
            </w:r>
            <w:r>
              <w:rPr>
                <w:rFonts w:ascii="宋体" w:hAnsi="宋体" w:eastAsia="宋体" w:cs="宋体"/>
                <w:szCs w:val="21"/>
                <w:highlight w:val="yellow"/>
              </w:rPr>
              <w:t>试车</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pPr>
              <w:spacing w:before="266" w:line="221" w:lineRule="auto"/>
              <w:jc w:val="center"/>
              <w:rPr>
                <w:rFonts w:ascii="宋体" w:hAnsi="宋体" w:eastAsia="宋体" w:cs="宋体"/>
                <w:szCs w:val="21"/>
                <w:highlight w:val="yellow"/>
              </w:rPr>
            </w:pPr>
            <w:r>
              <w:rPr>
                <w:rFonts w:ascii="宋体" w:hAnsi="宋体" w:eastAsia="宋体" w:cs="宋体"/>
                <w:spacing w:val="-1"/>
                <w:szCs w:val="21"/>
                <w:highlight w:val="yellow"/>
              </w:rPr>
              <w:t>性能考核验</w:t>
            </w:r>
            <w:r>
              <w:rPr>
                <w:rFonts w:ascii="宋体" w:hAnsi="宋体" w:eastAsia="宋体" w:cs="宋体"/>
                <w:szCs w:val="21"/>
                <w:highlight w:val="yellow"/>
              </w:rPr>
              <w:t>收</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pPr>
              <w:spacing w:before="266" w:line="221" w:lineRule="auto"/>
              <w:jc w:val="center"/>
              <w:rPr>
                <w:rFonts w:ascii="宋体" w:hAnsi="宋体" w:eastAsia="宋体" w:cs="宋体"/>
                <w:szCs w:val="21"/>
                <w:highlight w:val="yellow"/>
              </w:rPr>
            </w:pPr>
            <w:r>
              <w:rPr>
                <w:rFonts w:ascii="宋体" w:hAnsi="宋体" w:eastAsia="宋体" w:cs="宋体"/>
                <w:spacing w:val="-2"/>
                <w:szCs w:val="21"/>
                <w:highlight w:val="yellow"/>
              </w:rPr>
              <w:t>培</w:t>
            </w:r>
            <w:r>
              <w:rPr>
                <w:rFonts w:ascii="宋体" w:hAnsi="宋体" w:eastAsia="宋体" w:cs="宋体"/>
                <w:spacing w:val="-1"/>
                <w:szCs w:val="21"/>
                <w:highlight w:val="yellow"/>
              </w:rPr>
              <w:t>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hint="eastAsia" w:ascii="宋体" w:hAnsi="宋体" w:eastAsia="宋体" w:cs="宋体"/>
          <w:spacing w:val="-1"/>
          <w:szCs w:val="21"/>
          <w:lang w:eastAsia="zh-CN"/>
        </w:rPr>
        <w:t>采购编号：CGZX2023030248</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hint="eastAsia" w:ascii="宋体" w:hAnsi="宋体" w:eastAsia="宋体" w:cs="宋体"/>
          <w:spacing w:val="-1"/>
          <w:szCs w:val="21"/>
          <w:lang w:eastAsia="zh-CN"/>
        </w:rPr>
        <w:t>采购编号：CGZX2023030248</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single" w:color="auto" w:sz="4" w:space="0"/>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single" w:color="auto" w:sz="4" w:space="0"/>
              <w:bottom w:val="single" w:color="auto" w:sz="4" w:space="0"/>
              <w:right w:val="single" w:color="auto" w:sz="4" w:space="0"/>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lang w:eastAsia="zh-CN"/>
        </w:rPr>
        <w:t>智能辅助驾驶L2+系统电气测试台架技改项目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lang w:eastAsia="zh-CN"/>
        </w:rPr>
        <w:t>智能辅助驾驶L2+系统电气测试台架技改项目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color w:val="000000"/>
                <w:sz w:val="24"/>
                <w:szCs w:val="24"/>
                <w:u w:val="single"/>
                <w:lang w:eastAsia="zh-CN"/>
              </w:rPr>
              <w:t>智能辅助驾驶L2+系统电气测试台架技改项目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
      </w:pP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4</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trike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numPr>
          <w:ilvl w:val="0"/>
          <w:numId w:val="0"/>
        </w:numPr>
        <w:snapToGrid/>
        <w:spacing w:before="0" w:after="0" w:line="360" w:lineRule="auto"/>
        <w:ind w:left="0" w:right="0" w:firstLine="480" w:firstLineChars="200"/>
        <w:jc w:val="both"/>
        <w:rPr>
          <w:rFonts w:hint="eastAsia" w:ascii="宋体" w:hAnsi="宋体" w:eastAsia="宋体" w:cs="宋体"/>
          <w:b w:val="0"/>
          <w:bCs w:val="0"/>
          <w:i w:val="0"/>
          <w:strike w:val="0"/>
          <w:color w:val="000000"/>
          <w:sz w:val="24"/>
          <w:szCs w:val="28"/>
          <w:highlight w:val="none"/>
          <w:u w:val="none"/>
          <w:lang w:val="en-US" w:eastAsia="zh-CN"/>
        </w:rPr>
      </w:pPr>
      <w:r>
        <w:rPr>
          <w:rFonts w:hint="eastAsia" w:ascii="宋体" w:hAnsi="宋体" w:eastAsia="宋体" w:cs="宋体"/>
          <w:b w:val="0"/>
          <w:bCs w:val="0"/>
          <w:i w:val="0"/>
          <w:strike w:val="0"/>
          <w:color w:val="000000"/>
          <w:sz w:val="24"/>
          <w:szCs w:val="28"/>
          <w:highlight w:val="none"/>
          <w:u w:val="none"/>
          <w:lang w:val="en-US" w:eastAsia="zh-CN"/>
        </w:rPr>
        <w:t>1.“项目名称”和“采购形式编号”见投标须知前附表1.1；</w:t>
      </w:r>
    </w:p>
    <w:p>
      <w:pPr>
        <w:numPr>
          <w:ilvl w:val="0"/>
          <w:numId w:val="0"/>
        </w:numPr>
        <w:snapToGrid/>
        <w:spacing w:before="0" w:after="0" w:line="360" w:lineRule="auto"/>
        <w:ind w:left="0" w:right="0" w:firstLine="480" w:firstLineChars="200"/>
        <w:jc w:val="both"/>
        <w:rPr>
          <w:rFonts w:hint="eastAsia" w:ascii="宋体" w:hAnsi="宋体" w:eastAsia="宋体" w:cs="宋体"/>
          <w:b w:val="0"/>
          <w:bCs w:val="0"/>
          <w:i w:val="0"/>
          <w:strike w:val="0"/>
          <w:color w:val="000000"/>
          <w:sz w:val="24"/>
          <w:szCs w:val="28"/>
          <w:highlight w:val="yellow"/>
          <w:u w:val="none"/>
          <w:lang w:val="en-US" w:eastAsia="zh-CN"/>
        </w:rPr>
      </w:pPr>
      <w:r>
        <w:rPr>
          <w:rFonts w:hint="eastAsia" w:ascii="宋体" w:hAnsi="宋体" w:eastAsia="宋体" w:cs="宋体"/>
          <w:b w:val="0"/>
          <w:bCs w:val="0"/>
          <w:i w:val="0"/>
          <w:strike w:val="0"/>
          <w:color w:val="000000"/>
          <w:sz w:val="24"/>
          <w:szCs w:val="28"/>
          <w:highlight w:val="yellow"/>
          <w:u w:val="none"/>
          <w:lang w:val="en-US" w:eastAsia="zh-CN"/>
        </w:rPr>
        <w:t>2.本项目业务主管部门选择“技术改造部”。</w:t>
      </w:r>
    </w:p>
    <w:p>
      <w:pPr>
        <w:numPr>
          <w:ilvl w:val="0"/>
          <w:numId w:val="0"/>
        </w:numPr>
        <w:spacing w:line="360" w:lineRule="auto"/>
        <w:ind w:firstLine="480" w:firstLineChars="200"/>
        <w:rPr>
          <w:rFonts w:hint="eastAsia" w:ascii="宋体" w:hAnsi="宋体" w:eastAsia="宋体" w:cs="宋体"/>
          <w:color w:val="000000"/>
          <w:sz w:val="24"/>
          <w:szCs w:val="28"/>
          <w:u w:val="none"/>
          <w:lang w:val="en-US" w:eastAsia="zh-CN"/>
        </w:rPr>
      </w:pPr>
      <w:r>
        <w:rPr>
          <w:rFonts w:hint="eastAsia" w:ascii="宋体" w:hAnsi="宋体" w:eastAsia="宋体" w:cs="宋体"/>
          <w:b w:val="0"/>
          <w:bCs w:val="0"/>
          <w:i w:val="0"/>
          <w:strike w:val="0"/>
          <w:color w:val="000000"/>
          <w:sz w:val="24"/>
          <w:szCs w:val="28"/>
          <w:highlight w:val="yellow"/>
          <w:u w:val="none"/>
          <w:lang w:val="en-US" w:eastAsia="zh-CN"/>
        </w:rPr>
        <w:t>3.配套能力“供货类别”填“研发试验类”。</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rPr>
          <w:rFonts w:hint="default" w:ascii="宋体" w:hAnsi="宋体" w:eastAsia="宋体" w:cs="宋体"/>
          <w:i w:val="0"/>
          <w:strike w:val="0"/>
          <w:color w:val="000000"/>
          <w:sz w:val="24"/>
          <w:szCs w:val="28"/>
          <w:u w:val="none"/>
          <w:lang w:val="en-US" w:eastAsia="zh-CN"/>
        </w:rPr>
      </w:pPr>
      <w:r>
        <w:rPr>
          <w:rFonts w:hint="eastAsia" w:ascii="宋体" w:hAnsi="宋体" w:eastAsia="宋体" w:cs="宋体"/>
          <w:i w:val="0"/>
          <w:strike w:val="0"/>
          <w:color w:val="000000"/>
          <w:sz w:val="24"/>
          <w:szCs w:val="28"/>
          <w:u w:val="none"/>
          <w:lang w:val="en-US" w:eastAsia="zh-CN"/>
        </w:rPr>
        <w:t>4.注册成功后，请按照所收到短信内的账号密码重新登录。登录后请尽快绑定手机号（找回密码用），并修改默认密码。</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80" w:firstLineChars="200"/>
        <w:jc w:val="both"/>
        <w:textAlignment w:val="auto"/>
        <w:rPr>
          <w:rFonts w:hint="default" w:ascii="宋体" w:hAnsi="宋体" w:eastAsia="宋体" w:cs="宋体"/>
          <w:i w:val="0"/>
          <w:strike w:val="0"/>
          <w:color w:val="000000"/>
          <w:sz w:val="24"/>
          <w:szCs w:val="28"/>
          <w:u w:val="none"/>
          <w:lang w:val="en-US" w:eastAsia="zh-CN"/>
        </w:rPr>
      </w:pPr>
      <w:r>
        <w:rPr>
          <w:rFonts w:hint="eastAsia" w:ascii="宋体" w:hAnsi="宋体" w:eastAsia="宋体" w:cs="宋体"/>
          <w:i w:val="0"/>
          <w:strike w:val="0"/>
          <w:color w:val="000000"/>
          <w:sz w:val="24"/>
          <w:szCs w:val="28"/>
          <w:u w:val="none"/>
          <w:lang w:val="en-US" w:eastAsia="zh-CN"/>
        </w:rPr>
        <w:t>5.每个公司只需注册一次且只能注册一次。请妥善保管账号、密码、绑定手机号。非常重要。</w:t>
      </w:r>
    </w:p>
    <w:p>
      <w:pPr>
        <w:pStyle w:val="2"/>
      </w:pPr>
    </w:p>
    <w:p>
      <w:pPr>
        <w:pStyle w:val="2"/>
      </w:pPr>
    </w:p>
    <w:p>
      <w:pPr>
        <w:pStyle w:val="2"/>
        <w:sectPr>
          <w:pgSz w:w="11906" w:h="16838"/>
          <w:pgMar w:top="1588" w:right="1418" w:bottom="1134" w:left="1418" w:header="851" w:footer="992" w:gutter="0"/>
          <w:cols w:space="720" w:num="1"/>
          <w:titlePg/>
          <w:docGrid w:type="lines" w:linePitch="312" w:charSpace="0"/>
        </w:sectPr>
      </w:pP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15</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strike w:val="0"/>
          <w:color w:val="000000"/>
          <w:sz w:val="24"/>
          <w:szCs w:val="28"/>
          <w:u w:val="none"/>
        </w:rPr>
        <w:t>点击投标按钮，进入详情页，输入投标报价</w:t>
      </w:r>
      <w:r>
        <w:rPr>
          <w:rFonts w:hint="eastAsia" w:ascii="宋体" w:hAnsi="宋体" w:eastAsia="宋体" w:cs="宋体"/>
          <w:b/>
          <w:bCs/>
          <w:i w:val="0"/>
          <w:strike w:val="0"/>
          <w:color w:val="000000"/>
          <w:sz w:val="24"/>
          <w:szCs w:val="28"/>
          <w:highlight w:val="yellow"/>
          <w:u w:val="none"/>
          <w:lang w:eastAsia="zh-CN"/>
        </w:rPr>
        <w:t>（</w:t>
      </w:r>
      <w:r>
        <w:rPr>
          <w:rFonts w:hint="eastAsia" w:ascii="宋体" w:hAnsi="宋体" w:eastAsia="宋体" w:cs="宋体"/>
          <w:b/>
          <w:bCs/>
          <w:i w:val="0"/>
          <w:strike w:val="0"/>
          <w:color w:val="000000"/>
          <w:sz w:val="24"/>
          <w:szCs w:val="28"/>
          <w:highlight w:val="yellow"/>
          <w:u w:val="none"/>
          <w:lang w:val="en-US" w:eastAsia="zh-CN"/>
        </w:rPr>
        <w:t>e采通投标价格单位为万元</w:t>
      </w:r>
      <w:r>
        <w:rPr>
          <w:rFonts w:hint="eastAsia" w:ascii="宋体" w:hAnsi="宋体" w:eastAsia="宋体" w:cs="宋体"/>
          <w:b/>
          <w:bCs/>
          <w:i w:val="0"/>
          <w:strike w:val="0"/>
          <w:color w:val="000000"/>
          <w:sz w:val="24"/>
          <w:szCs w:val="28"/>
          <w:highlight w:val="yellow"/>
          <w:u w:val="none"/>
          <w:lang w:eastAsia="zh-CN"/>
        </w:rPr>
        <w:t>）</w:t>
      </w:r>
      <w:r>
        <w:rPr>
          <w:rFonts w:ascii="宋体" w:hAnsi="宋体" w:eastAsia="宋体" w:cs="宋体"/>
          <w:i w:val="0"/>
          <w:strike w:val="0"/>
          <w:color w:val="000000"/>
          <w:sz w:val="24"/>
          <w:szCs w:val="28"/>
          <w:u w:val="none"/>
        </w:rPr>
        <w:t>并上传相应的附件。</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r>
        <w:rPr>
          <w:rFonts w:hint="eastAsia" w:ascii="宋体" w:hAnsi="宋体" w:eastAsia="宋体" w:cs="宋体"/>
          <w:b/>
          <w:bCs/>
          <w:i w:val="0"/>
          <w:strike w:val="0"/>
          <w:color w:val="000000"/>
          <w:sz w:val="24"/>
          <w:szCs w:val="28"/>
          <w:highlight w:val="yellow"/>
          <w:u w:val="none"/>
          <w:lang w:eastAsia="zh-CN"/>
        </w:rPr>
        <w:t>（</w:t>
      </w:r>
      <w:r>
        <w:rPr>
          <w:rFonts w:hint="eastAsia" w:ascii="宋体" w:hAnsi="宋体" w:eastAsia="宋体" w:cs="宋体"/>
          <w:b/>
          <w:bCs/>
          <w:i w:val="0"/>
          <w:strike w:val="0"/>
          <w:color w:val="000000"/>
          <w:sz w:val="24"/>
          <w:szCs w:val="28"/>
          <w:highlight w:val="yellow"/>
          <w:u w:val="none"/>
          <w:lang w:val="en-US" w:eastAsia="zh-CN"/>
        </w:rPr>
        <w:t>e采通投标价格单位为万元</w:t>
      </w:r>
      <w:r>
        <w:rPr>
          <w:rFonts w:hint="eastAsia" w:ascii="宋体" w:hAnsi="宋体" w:eastAsia="宋体" w:cs="宋体"/>
          <w:b/>
          <w:bCs/>
          <w:i w:val="0"/>
          <w:strike w:val="0"/>
          <w:color w:val="000000"/>
          <w:sz w:val="24"/>
          <w:szCs w:val="28"/>
          <w:highlight w:val="yellow"/>
          <w:u w:val="none"/>
          <w:lang w:eastAsia="zh-CN"/>
        </w:rPr>
        <w:t>）</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rPr>
          <w:rFonts w:hint="eastAsia"/>
          <w:lang w:val="en-US" w:eastAsia="zh-CN"/>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8"/>
                    <a:stretch>
                      <a:fillRect/>
                    </a:stretch>
                  </pic:blipFill>
                  <pic:spPr>
                    <a:xfrm>
                      <a:off x="0" y="0"/>
                      <a:ext cx="5760085" cy="1956600"/>
                    </a:xfrm>
                    <a:prstGeom prst="rect">
                      <a:avLst/>
                    </a:prstGeom>
                  </pic:spPr>
                </pic:pic>
              </a:graphicData>
            </a:graphic>
          </wp:inline>
        </w:drawing>
      </w:r>
    </w:p>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11 -</w:t>
    </w:r>
    <w:r>
      <w:fldChar w:fldCharType="end"/>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fldChar w:fldCharType="begin"/>
    </w:r>
    <w:r>
      <w:instrText xml:space="preserve">PAGE   \* MERGEFORMAT</w:instrText>
    </w:r>
    <w:r>
      <w:fldChar w:fldCharType="separate"/>
    </w:r>
    <w:r>
      <w:rPr>
        <w:lang w:val="zh-CN"/>
      </w:rPr>
      <w:t>-</w:t>
    </w:r>
    <w:r>
      <w:t xml:space="preserve"> 5 -</w:t>
    </w:r>
    <w:r>
      <w:fldChar w:fldCharType="end"/>
    </w:r>
  </w:p>
  <w:p>
    <w:pPr>
      <w:pStyle w:val="2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0"/>
  </w:num>
  <w:num w:numId="3">
    <w:abstractNumId w:val="7"/>
  </w:num>
  <w:num w:numId="4">
    <w:abstractNumId w:val="3"/>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jYmNjYjVhOTYzYjdmNWY1M2UzMjFlMzUzY2EyODA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714809"/>
    <w:rsid w:val="01C52478"/>
    <w:rsid w:val="02184C85"/>
    <w:rsid w:val="027408EE"/>
    <w:rsid w:val="02963F39"/>
    <w:rsid w:val="02BA7274"/>
    <w:rsid w:val="03251978"/>
    <w:rsid w:val="0325718A"/>
    <w:rsid w:val="042921B6"/>
    <w:rsid w:val="04AD02B8"/>
    <w:rsid w:val="04DF17D4"/>
    <w:rsid w:val="05412745"/>
    <w:rsid w:val="05491761"/>
    <w:rsid w:val="05A351AD"/>
    <w:rsid w:val="05F9748A"/>
    <w:rsid w:val="06160D68"/>
    <w:rsid w:val="06266F78"/>
    <w:rsid w:val="063E7B7A"/>
    <w:rsid w:val="06582413"/>
    <w:rsid w:val="067E33B8"/>
    <w:rsid w:val="069C2954"/>
    <w:rsid w:val="06E82FCB"/>
    <w:rsid w:val="06F34B95"/>
    <w:rsid w:val="07571DAC"/>
    <w:rsid w:val="08E64121"/>
    <w:rsid w:val="0942017F"/>
    <w:rsid w:val="09BA1FBB"/>
    <w:rsid w:val="09CB139F"/>
    <w:rsid w:val="0A0106F5"/>
    <w:rsid w:val="0A112AB7"/>
    <w:rsid w:val="0AD71BC7"/>
    <w:rsid w:val="0ADB7197"/>
    <w:rsid w:val="0AF420EB"/>
    <w:rsid w:val="0B255DD7"/>
    <w:rsid w:val="0B2B2BF5"/>
    <w:rsid w:val="0B2F3908"/>
    <w:rsid w:val="0B3F6206"/>
    <w:rsid w:val="0BE12DB6"/>
    <w:rsid w:val="0C345AD1"/>
    <w:rsid w:val="0C626CE4"/>
    <w:rsid w:val="0D0C2B7B"/>
    <w:rsid w:val="0D9308F8"/>
    <w:rsid w:val="0E1A1D85"/>
    <w:rsid w:val="0E2350DD"/>
    <w:rsid w:val="0E750568"/>
    <w:rsid w:val="0F2D7A80"/>
    <w:rsid w:val="0F4277E5"/>
    <w:rsid w:val="0FA75561"/>
    <w:rsid w:val="0FAC28FA"/>
    <w:rsid w:val="0FB83603"/>
    <w:rsid w:val="0FCA77F1"/>
    <w:rsid w:val="0FCD5DCC"/>
    <w:rsid w:val="10270545"/>
    <w:rsid w:val="108A1D4B"/>
    <w:rsid w:val="10A10111"/>
    <w:rsid w:val="10BE093E"/>
    <w:rsid w:val="111B0FE9"/>
    <w:rsid w:val="115F67A8"/>
    <w:rsid w:val="119A7465"/>
    <w:rsid w:val="11AB1672"/>
    <w:rsid w:val="11C07DA5"/>
    <w:rsid w:val="12491386"/>
    <w:rsid w:val="12E60579"/>
    <w:rsid w:val="13695B36"/>
    <w:rsid w:val="1372609F"/>
    <w:rsid w:val="145A6A37"/>
    <w:rsid w:val="1467440F"/>
    <w:rsid w:val="14F73019"/>
    <w:rsid w:val="15433A9B"/>
    <w:rsid w:val="15D13671"/>
    <w:rsid w:val="15FC2F04"/>
    <w:rsid w:val="16181FAC"/>
    <w:rsid w:val="168756A0"/>
    <w:rsid w:val="16E87A01"/>
    <w:rsid w:val="16F94849"/>
    <w:rsid w:val="17045E51"/>
    <w:rsid w:val="172011D4"/>
    <w:rsid w:val="17252C3B"/>
    <w:rsid w:val="173F0A2E"/>
    <w:rsid w:val="17770BC2"/>
    <w:rsid w:val="17860E2F"/>
    <w:rsid w:val="17A119AA"/>
    <w:rsid w:val="18586F2B"/>
    <w:rsid w:val="1935690C"/>
    <w:rsid w:val="19A766B9"/>
    <w:rsid w:val="19CE76BA"/>
    <w:rsid w:val="19F26070"/>
    <w:rsid w:val="19F97C8B"/>
    <w:rsid w:val="1A1523CE"/>
    <w:rsid w:val="1A21343D"/>
    <w:rsid w:val="1AA730BD"/>
    <w:rsid w:val="1B333D5D"/>
    <w:rsid w:val="1B587618"/>
    <w:rsid w:val="1B5F19C7"/>
    <w:rsid w:val="1C1C709B"/>
    <w:rsid w:val="1C9F6814"/>
    <w:rsid w:val="1D5C514E"/>
    <w:rsid w:val="1D865D14"/>
    <w:rsid w:val="1D8705EC"/>
    <w:rsid w:val="1D9F099E"/>
    <w:rsid w:val="1E43150B"/>
    <w:rsid w:val="1EA93E80"/>
    <w:rsid w:val="1ED33FB6"/>
    <w:rsid w:val="1EE81332"/>
    <w:rsid w:val="1F32415A"/>
    <w:rsid w:val="1F7E2174"/>
    <w:rsid w:val="20107567"/>
    <w:rsid w:val="20AB56C6"/>
    <w:rsid w:val="2176507C"/>
    <w:rsid w:val="21BE35AF"/>
    <w:rsid w:val="21C11174"/>
    <w:rsid w:val="22244B28"/>
    <w:rsid w:val="22467FD4"/>
    <w:rsid w:val="229451FD"/>
    <w:rsid w:val="22A12DB6"/>
    <w:rsid w:val="236356D1"/>
    <w:rsid w:val="23A91C83"/>
    <w:rsid w:val="23C962E8"/>
    <w:rsid w:val="247E4FED"/>
    <w:rsid w:val="24B30BE8"/>
    <w:rsid w:val="24E34060"/>
    <w:rsid w:val="253A0491"/>
    <w:rsid w:val="25E036B2"/>
    <w:rsid w:val="25E9082A"/>
    <w:rsid w:val="25F42473"/>
    <w:rsid w:val="26AF2D79"/>
    <w:rsid w:val="26B34B91"/>
    <w:rsid w:val="270D66E8"/>
    <w:rsid w:val="27514612"/>
    <w:rsid w:val="278B0DAB"/>
    <w:rsid w:val="279C6B0E"/>
    <w:rsid w:val="27A64735"/>
    <w:rsid w:val="27CC4DF2"/>
    <w:rsid w:val="281864F2"/>
    <w:rsid w:val="286903EF"/>
    <w:rsid w:val="287F5DD3"/>
    <w:rsid w:val="288047CB"/>
    <w:rsid w:val="289E62FA"/>
    <w:rsid w:val="291E2CA6"/>
    <w:rsid w:val="29331862"/>
    <w:rsid w:val="299E147F"/>
    <w:rsid w:val="29C32A87"/>
    <w:rsid w:val="29CF26DC"/>
    <w:rsid w:val="2A1C5DA0"/>
    <w:rsid w:val="2A200D39"/>
    <w:rsid w:val="2A507EFF"/>
    <w:rsid w:val="2ADC05A4"/>
    <w:rsid w:val="2B6F0D7F"/>
    <w:rsid w:val="2B797443"/>
    <w:rsid w:val="2B8716BD"/>
    <w:rsid w:val="2B8B76FF"/>
    <w:rsid w:val="2BC2788C"/>
    <w:rsid w:val="2BD5034F"/>
    <w:rsid w:val="2C0B6845"/>
    <w:rsid w:val="2D025012"/>
    <w:rsid w:val="2D4178F0"/>
    <w:rsid w:val="2DAE631A"/>
    <w:rsid w:val="2DD877E0"/>
    <w:rsid w:val="2DE616C9"/>
    <w:rsid w:val="2DFC2451"/>
    <w:rsid w:val="2E3422F8"/>
    <w:rsid w:val="2E6D31FB"/>
    <w:rsid w:val="2E6E566D"/>
    <w:rsid w:val="2E7F188E"/>
    <w:rsid w:val="2EBC0905"/>
    <w:rsid w:val="2EC73739"/>
    <w:rsid w:val="2EFB1B0E"/>
    <w:rsid w:val="2F5C684F"/>
    <w:rsid w:val="303A20E7"/>
    <w:rsid w:val="307776D1"/>
    <w:rsid w:val="30862574"/>
    <w:rsid w:val="30B631E1"/>
    <w:rsid w:val="311933AA"/>
    <w:rsid w:val="317D15BB"/>
    <w:rsid w:val="31D07E6C"/>
    <w:rsid w:val="323F65DA"/>
    <w:rsid w:val="32412074"/>
    <w:rsid w:val="32DE0199"/>
    <w:rsid w:val="335B2774"/>
    <w:rsid w:val="33A4642E"/>
    <w:rsid w:val="33D4039C"/>
    <w:rsid w:val="33D47E05"/>
    <w:rsid w:val="340017FF"/>
    <w:rsid w:val="3413677D"/>
    <w:rsid w:val="342B544B"/>
    <w:rsid w:val="343839A4"/>
    <w:rsid w:val="345E036E"/>
    <w:rsid w:val="34DE1E4F"/>
    <w:rsid w:val="34F07DB1"/>
    <w:rsid w:val="358D07D1"/>
    <w:rsid w:val="35B0692A"/>
    <w:rsid w:val="35D354B8"/>
    <w:rsid w:val="35D4025C"/>
    <w:rsid w:val="362666BC"/>
    <w:rsid w:val="368A6B11"/>
    <w:rsid w:val="37085B1F"/>
    <w:rsid w:val="372E04CB"/>
    <w:rsid w:val="38E070F2"/>
    <w:rsid w:val="390D33AB"/>
    <w:rsid w:val="391E6D06"/>
    <w:rsid w:val="39CE5179"/>
    <w:rsid w:val="3A074847"/>
    <w:rsid w:val="3AA90FE6"/>
    <w:rsid w:val="3AA9318F"/>
    <w:rsid w:val="3AB62DA0"/>
    <w:rsid w:val="3AC61BD3"/>
    <w:rsid w:val="3B7D3FD5"/>
    <w:rsid w:val="3B823DDF"/>
    <w:rsid w:val="3C237ED3"/>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C147E"/>
    <w:rsid w:val="40376375"/>
    <w:rsid w:val="412732B7"/>
    <w:rsid w:val="4127791F"/>
    <w:rsid w:val="41281794"/>
    <w:rsid w:val="413C1FDF"/>
    <w:rsid w:val="41806A69"/>
    <w:rsid w:val="41B0259C"/>
    <w:rsid w:val="41BC6F1C"/>
    <w:rsid w:val="41EF2363"/>
    <w:rsid w:val="41F77860"/>
    <w:rsid w:val="424A4B98"/>
    <w:rsid w:val="42581D3A"/>
    <w:rsid w:val="42FE0080"/>
    <w:rsid w:val="43315D2E"/>
    <w:rsid w:val="43824A1C"/>
    <w:rsid w:val="43D110E1"/>
    <w:rsid w:val="43E873C9"/>
    <w:rsid w:val="44250817"/>
    <w:rsid w:val="44905B1F"/>
    <w:rsid w:val="45007767"/>
    <w:rsid w:val="45316885"/>
    <w:rsid w:val="454F1D39"/>
    <w:rsid w:val="45A95EE9"/>
    <w:rsid w:val="45FB0F21"/>
    <w:rsid w:val="46167166"/>
    <w:rsid w:val="461A2194"/>
    <w:rsid w:val="465E515F"/>
    <w:rsid w:val="46DA1AD6"/>
    <w:rsid w:val="47200EE3"/>
    <w:rsid w:val="47435AC2"/>
    <w:rsid w:val="47544B78"/>
    <w:rsid w:val="47587AF7"/>
    <w:rsid w:val="47745A86"/>
    <w:rsid w:val="47E239AC"/>
    <w:rsid w:val="480F4B73"/>
    <w:rsid w:val="48B2045C"/>
    <w:rsid w:val="48DB38E3"/>
    <w:rsid w:val="49001B5E"/>
    <w:rsid w:val="49376DB0"/>
    <w:rsid w:val="49804BB7"/>
    <w:rsid w:val="49826DCB"/>
    <w:rsid w:val="499013E7"/>
    <w:rsid w:val="49C8088A"/>
    <w:rsid w:val="4A301C93"/>
    <w:rsid w:val="4A3302AB"/>
    <w:rsid w:val="4AC85D49"/>
    <w:rsid w:val="4AE308A9"/>
    <w:rsid w:val="4B294DDA"/>
    <w:rsid w:val="4B9A1456"/>
    <w:rsid w:val="4BA32C82"/>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905BB3"/>
    <w:rsid w:val="51946FCB"/>
    <w:rsid w:val="51DD796B"/>
    <w:rsid w:val="51DF373B"/>
    <w:rsid w:val="52701540"/>
    <w:rsid w:val="52EF4CB5"/>
    <w:rsid w:val="52F959F0"/>
    <w:rsid w:val="5302488E"/>
    <w:rsid w:val="53136173"/>
    <w:rsid w:val="539A4AC7"/>
    <w:rsid w:val="542631B6"/>
    <w:rsid w:val="54647343"/>
    <w:rsid w:val="54A61722"/>
    <w:rsid w:val="54B31FAF"/>
    <w:rsid w:val="55326D63"/>
    <w:rsid w:val="555D1A10"/>
    <w:rsid w:val="56AC4A78"/>
    <w:rsid w:val="56DB16B9"/>
    <w:rsid w:val="5737087F"/>
    <w:rsid w:val="574A23C3"/>
    <w:rsid w:val="577A3463"/>
    <w:rsid w:val="57F967AD"/>
    <w:rsid w:val="58052975"/>
    <w:rsid w:val="58E525CA"/>
    <w:rsid w:val="593D045A"/>
    <w:rsid w:val="5960739E"/>
    <w:rsid w:val="59896D0A"/>
    <w:rsid w:val="59B72684"/>
    <w:rsid w:val="5A9579AE"/>
    <w:rsid w:val="5AC468CD"/>
    <w:rsid w:val="5B342B9A"/>
    <w:rsid w:val="5B5953B0"/>
    <w:rsid w:val="5B5B1AB4"/>
    <w:rsid w:val="5B630802"/>
    <w:rsid w:val="5B807F68"/>
    <w:rsid w:val="5BFB631F"/>
    <w:rsid w:val="5C034D53"/>
    <w:rsid w:val="5E1D6F56"/>
    <w:rsid w:val="5E52187F"/>
    <w:rsid w:val="5E6A13CD"/>
    <w:rsid w:val="5E705D15"/>
    <w:rsid w:val="5E92274E"/>
    <w:rsid w:val="5E93326C"/>
    <w:rsid w:val="5E9F1A7A"/>
    <w:rsid w:val="5EFB4BA4"/>
    <w:rsid w:val="5F5F46B5"/>
    <w:rsid w:val="5F895CFD"/>
    <w:rsid w:val="5FB25360"/>
    <w:rsid w:val="5FBA3CC0"/>
    <w:rsid w:val="5FD90D61"/>
    <w:rsid w:val="60177697"/>
    <w:rsid w:val="602329DB"/>
    <w:rsid w:val="607777D6"/>
    <w:rsid w:val="60BC76A1"/>
    <w:rsid w:val="610B7637"/>
    <w:rsid w:val="615F5624"/>
    <w:rsid w:val="61BE4076"/>
    <w:rsid w:val="61D215CF"/>
    <w:rsid w:val="625C563D"/>
    <w:rsid w:val="626A1704"/>
    <w:rsid w:val="62B362C8"/>
    <w:rsid w:val="62C1330E"/>
    <w:rsid w:val="62CF5E0F"/>
    <w:rsid w:val="630C5A29"/>
    <w:rsid w:val="6342085E"/>
    <w:rsid w:val="636F415C"/>
    <w:rsid w:val="64785A9C"/>
    <w:rsid w:val="64917820"/>
    <w:rsid w:val="64AA1CC5"/>
    <w:rsid w:val="656B2909"/>
    <w:rsid w:val="65A3045D"/>
    <w:rsid w:val="65D97752"/>
    <w:rsid w:val="65E25E59"/>
    <w:rsid w:val="66307F76"/>
    <w:rsid w:val="66580EAF"/>
    <w:rsid w:val="66694D0D"/>
    <w:rsid w:val="667B4472"/>
    <w:rsid w:val="66F041A8"/>
    <w:rsid w:val="671109C3"/>
    <w:rsid w:val="6721178A"/>
    <w:rsid w:val="6739399A"/>
    <w:rsid w:val="673F39DE"/>
    <w:rsid w:val="674C5D22"/>
    <w:rsid w:val="67663AF8"/>
    <w:rsid w:val="67762CFD"/>
    <w:rsid w:val="6777598C"/>
    <w:rsid w:val="677A678D"/>
    <w:rsid w:val="68011379"/>
    <w:rsid w:val="68252C37"/>
    <w:rsid w:val="68817BAC"/>
    <w:rsid w:val="689A5E59"/>
    <w:rsid w:val="68EE72DF"/>
    <w:rsid w:val="692E2EB0"/>
    <w:rsid w:val="69485FEA"/>
    <w:rsid w:val="694C7BCA"/>
    <w:rsid w:val="69677DC0"/>
    <w:rsid w:val="69937EC7"/>
    <w:rsid w:val="69D64558"/>
    <w:rsid w:val="6A042548"/>
    <w:rsid w:val="6A471EFD"/>
    <w:rsid w:val="6A90616B"/>
    <w:rsid w:val="6AB57116"/>
    <w:rsid w:val="6B17424A"/>
    <w:rsid w:val="6B2218FA"/>
    <w:rsid w:val="6B691672"/>
    <w:rsid w:val="6BE97F42"/>
    <w:rsid w:val="6C5E6A51"/>
    <w:rsid w:val="6C6513C3"/>
    <w:rsid w:val="6C744268"/>
    <w:rsid w:val="6CD62D03"/>
    <w:rsid w:val="6CD97FB6"/>
    <w:rsid w:val="6D4B22B8"/>
    <w:rsid w:val="6D930013"/>
    <w:rsid w:val="6E1A1656"/>
    <w:rsid w:val="6E231DD6"/>
    <w:rsid w:val="6E5A5288"/>
    <w:rsid w:val="6EE013EE"/>
    <w:rsid w:val="6EE079F1"/>
    <w:rsid w:val="6EE42C42"/>
    <w:rsid w:val="6F7F7CB0"/>
    <w:rsid w:val="6FE0165C"/>
    <w:rsid w:val="70222744"/>
    <w:rsid w:val="706D2B21"/>
    <w:rsid w:val="707B1384"/>
    <w:rsid w:val="70857A34"/>
    <w:rsid w:val="70985D3C"/>
    <w:rsid w:val="71047C73"/>
    <w:rsid w:val="7109004F"/>
    <w:rsid w:val="71103167"/>
    <w:rsid w:val="712E56F7"/>
    <w:rsid w:val="71691ABB"/>
    <w:rsid w:val="71AE1AEA"/>
    <w:rsid w:val="71CF3B6C"/>
    <w:rsid w:val="71F80F33"/>
    <w:rsid w:val="722922C6"/>
    <w:rsid w:val="732D4B5D"/>
    <w:rsid w:val="73393C88"/>
    <w:rsid w:val="7362513F"/>
    <w:rsid w:val="73771D49"/>
    <w:rsid w:val="73A1354E"/>
    <w:rsid w:val="74A11E7D"/>
    <w:rsid w:val="75590B0A"/>
    <w:rsid w:val="7582279F"/>
    <w:rsid w:val="75843EB5"/>
    <w:rsid w:val="75BB71AF"/>
    <w:rsid w:val="75F01962"/>
    <w:rsid w:val="760E19DF"/>
    <w:rsid w:val="760F4A49"/>
    <w:rsid w:val="761B75CE"/>
    <w:rsid w:val="76676A53"/>
    <w:rsid w:val="76B620A1"/>
    <w:rsid w:val="76F20814"/>
    <w:rsid w:val="7711004A"/>
    <w:rsid w:val="77462524"/>
    <w:rsid w:val="7754544E"/>
    <w:rsid w:val="77A21064"/>
    <w:rsid w:val="77E34EB2"/>
    <w:rsid w:val="781564B8"/>
    <w:rsid w:val="78224ACF"/>
    <w:rsid w:val="78CD6DCC"/>
    <w:rsid w:val="78D07CAF"/>
    <w:rsid w:val="78DE12D7"/>
    <w:rsid w:val="78FC2038"/>
    <w:rsid w:val="79210683"/>
    <w:rsid w:val="799C3465"/>
    <w:rsid w:val="79B14EC4"/>
    <w:rsid w:val="7A2A6B4A"/>
    <w:rsid w:val="7A681070"/>
    <w:rsid w:val="7A860C7C"/>
    <w:rsid w:val="7AB879FE"/>
    <w:rsid w:val="7B3264DD"/>
    <w:rsid w:val="7B7374F2"/>
    <w:rsid w:val="7B81188A"/>
    <w:rsid w:val="7B9E2902"/>
    <w:rsid w:val="7BC854E2"/>
    <w:rsid w:val="7C0562EC"/>
    <w:rsid w:val="7C27683F"/>
    <w:rsid w:val="7C561932"/>
    <w:rsid w:val="7CB14B4D"/>
    <w:rsid w:val="7CBF620E"/>
    <w:rsid w:val="7CF26969"/>
    <w:rsid w:val="7D25523C"/>
    <w:rsid w:val="7DB23041"/>
    <w:rsid w:val="7E5F7809"/>
    <w:rsid w:val="7EB22415"/>
    <w:rsid w:val="7ED56C53"/>
    <w:rsid w:val="7EDB38E8"/>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2.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header" Target="header5.xml"/><Relationship Id="rId31" Type="http://schemas.openxmlformats.org/officeDocument/2006/relationships/header" Target="header4.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72</Pages>
  <Words>30902</Words>
  <Characters>32402</Characters>
  <Lines>305</Lines>
  <Paragraphs>86</Paragraphs>
  <TotalTime>22</TotalTime>
  <ScaleCrop>false</ScaleCrop>
  <LinksUpToDate>false</LinksUpToDate>
  <CharactersWithSpaces>38675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哎</cp:lastModifiedBy>
  <cp:lastPrinted>2022-07-01T03:19:00Z</cp:lastPrinted>
  <dcterms:modified xsi:type="dcterms:W3CDTF">2023-05-24T12:05:06Z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ED02EB12B8294FE5807EAA5D2C3C24E0</vt:lpwstr>
  </property>
</Properties>
</file>