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300" w:lineRule="auto"/>
        <w:jc w:val="center"/>
        <w:rPr>
          <w:rFonts w:ascii="宋体" w:hAnsi="宋体"/>
          <w:color w:val="auto"/>
          <w:sz w:val="30"/>
          <w:szCs w:val="30"/>
          <w:highlight w:val="none"/>
          <w:u w:val="none"/>
        </w:rPr>
      </w:pPr>
      <w:bookmarkStart w:id="8" w:name="_GoBack"/>
    </w:p>
    <w:p>
      <w:pPr>
        <w:pageBreakBefore w:val="0"/>
        <w:kinsoku/>
        <w:wordWrap/>
        <w:overflowPunct/>
        <w:topLinePunct w:val="0"/>
        <w:bidi w:val="0"/>
        <w:spacing w:line="300" w:lineRule="auto"/>
        <w:jc w:val="center"/>
        <w:rPr>
          <w:rFonts w:ascii="宋体" w:hAnsi="宋体"/>
          <w:color w:val="auto"/>
          <w:sz w:val="30"/>
          <w:szCs w:val="30"/>
          <w:highlight w:val="none"/>
          <w:u w:val="none"/>
        </w:rPr>
      </w:pPr>
      <w:r>
        <w:rPr>
          <w:rFonts w:ascii="宋体" w:hAnsi="宋体"/>
          <w:color w:val="auto"/>
          <w:sz w:val="44"/>
          <w:szCs w:val="48"/>
          <w:highlight w:val="none"/>
          <w:u w:val="none"/>
        </w:rPr>
        <w:t>重汽</w:t>
      </w:r>
      <w:r>
        <w:rPr>
          <w:rFonts w:hint="eastAsia" w:ascii="宋体" w:hAnsi="宋体"/>
          <w:color w:val="auto"/>
          <w:sz w:val="44"/>
          <w:szCs w:val="48"/>
          <w:highlight w:val="none"/>
          <w:u w:val="none"/>
        </w:rPr>
        <w:t>(济南)传动轴</w:t>
      </w:r>
      <w:r>
        <w:rPr>
          <w:rFonts w:ascii="宋体" w:hAnsi="宋体"/>
          <w:color w:val="auto"/>
          <w:sz w:val="44"/>
          <w:szCs w:val="48"/>
          <w:highlight w:val="none"/>
          <w:u w:val="none"/>
        </w:rPr>
        <w:t>有限公司</w:t>
      </w:r>
    </w:p>
    <w:p>
      <w:pPr>
        <w:pageBreakBefore w:val="0"/>
        <w:kinsoku/>
        <w:wordWrap/>
        <w:overflowPunct/>
        <w:topLinePunct w:val="0"/>
        <w:bidi w:val="0"/>
        <w:spacing w:line="300" w:lineRule="auto"/>
        <w:jc w:val="center"/>
        <w:rPr>
          <w:rFonts w:ascii="宋体" w:hAnsi="宋体"/>
          <w:color w:val="auto"/>
          <w:sz w:val="48"/>
          <w:szCs w:val="48"/>
          <w:highlight w:val="none"/>
          <w:u w:val="none"/>
        </w:rPr>
      </w:pPr>
      <w:r>
        <w:rPr>
          <w:rFonts w:hint="eastAsia" w:ascii="宋体" w:hAnsi="宋体"/>
          <w:color w:val="auto"/>
          <w:sz w:val="48"/>
          <w:szCs w:val="48"/>
          <w:highlight w:val="none"/>
          <w:u w:val="none"/>
          <w:lang w:val="en-US" w:eastAsia="zh-CN"/>
        </w:rPr>
        <w:t>底零生产线骑马螺栓热处理</w:t>
      </w:r>
      <w:r>
        <w:rPr>
          <w:rFonts w:hint="eastAsia" w:ascii="宋体" w:hAnsi="宋体"/>
          <w:color w:val="auto"/>
          <w:sz w:val="48"/>
          <w:szCs w:val="48"/>
          <w:highlight w:val="none"/>
          <w:u w:val="none"/>
        </w:rPr>
        <w:t>项目</w:t>
      </w:r>
    </w:p>
    <w:p>
      <w:pPr>
        <w:pageBreakBefore w:val="0"/>
        <w:kinsoku/>
        <w:wordWrap/>
        <w:overflowPunct/>
        <w:topLinePunct w:val="0"/>
        <w:bidi w:val="0"/>
        <w:spacing w:line="300" w:lineRule="auto"/>
        <w:jc w:val="right"/>
        <w:rPr>
          <w:color w:val="auto"/>
          <w:sz w:val="28"/>
          <w:szCs w:val="28"/>
          <w:highlight w:val="none"/>
          <w:u w:val="none"/>
        </w:rPr>
      </w:pPr>
    </w:p>
    <w:p>
      <w:pPr>
        <w:pageBreakBefore w:val="0"/>
        <w:kinsoku/>
        <w:wordWrap/>
        <w:overflowPunct/>
        <w:topLinePunct w:val="0"/>
        <w:bidi w:val="0"/>
        <w:spacing w:line="300" w:lineRule="auto"/>
        <w:jc w:val="right"/>
        <w:rPr>
          <w:color w:val="auto"/>
          <w:sz w:val="28"/>
          <w:szCs w:val="28"/>
          <w:highlight w:val="none"/>
          <w:u w:val="none"/>
        </w:rPr>
      </w:pPr>
    </w:p>
    <w:p>
      <w:pPr>
        <w:pageBreakBefore w:val="0"/>
        <w:kinsoku/>
        <w:wordWrap/>
        <w:overflowPunct/>
        <w:topLinePunct w:val="0"/>
        <w:bidi w:val="0"/>
        <w:spacing w:line="300" w:lineRule="auto"/>
        <w:ind w:right="280"/>
        <w:jc w:val="right"/>
        <w:rPr>
          <w:color w:val="auto"/>
          <w:sz w:val="28"/>
          <w:szCs w:val="28"/>
          <w:highlight w:val="none"/>
          <w:u w:val="none"/>
        </w:rPr>
      </w:pPr>
      <w:r>
        <w:rPr>
          <w:color w:val="auto"/>
          <w:sz w:val="28"/>
          <w:szCs w:val="28"/>
          <w:highlight w:val="none"/>
          <w:u w:val="none"/>
        </w:rPr>
        <w:t xml:space="preserve"> </w:t>
      </w:r>
    </w:p>
    <w:p>
      <w:pPr>
        <w:pageBreakBefore w:val="0"/>
        <w:kinsoku/>
        <w:wordWrap/>
        <w:overflowPunct/>
        <w:topLinePunct w:val="0"/>
        <w:bidi w:val="0"/>
        <w:spacing w:line="300" w:lineRule="auto"/>
        <w:jc w:val="center"/>
        <w:rPr>
          <w:rFonts w:ascii="黑体" w:hAnsi="宋体" w:eastAsia="黑体"/>
          <w:color w:val="auto"/>
          <w:sz w:val="84"/>
          <w:szCs w:val="84"/>
          <w:highlight w:val="none"/>
          <w:u w:val="none"/>
        </w:rPr>
      </w:pPr>
      <w:r>
        <w:rPr>
          <w:rFonts w:hint="eastAsia" w:ascii="黑体" w:hAnsi="宋体" w:eastAsia="黑体"/>
          <w:color w:val="auto"/>
          <w:sz w:val="84"/>
          <w:szCs w:val="84"/>
          <w:highlight w:val="none"/>
          <w:u w:val="none"/>
        </w:rPr>
        <w:t>招</w:t>
      </w:r>
    </w:p>
    <w:p>
      <w:pPr>
        <w:pageBreakBefore w:val="0"/>
        <w:kinsoku/>
        <w:wordWrap/>
        <w:overflowPunct/>
        <w:topLinePunct w:val="0"/>
        <w:bidi w:val="0"/>
        <w:spacing w:line="300" w:lineRule="auto"/>
        <w:jc w:val="center"/>
        <w:rPr>
          <w:rFonts w:ascii="黑体" w:hAnsi="宋体" w:eastAsia="黑体"/>
          <w:color w:val="auto"/>
          <w:sz w:val="84"/>
          <w:szCs w:val="84"/>
          <w:highlight w:val="none"/>
          <w:u w:val="none"/>
        </w:rPr>
      </w:pPr>
    </w:p>
    <w:p>
      <w:pPr>
        <w:pageBreakBefore w:val="0"/>
        <w:kinsoku/>
        <w:wordWrap/>
        <w:overflowPunct/>
        <w:topLinePunct w:val="0"/>
        <w:bidi w:val="0"/>
        <w:spacing w:line="300" w:lineRule="auto"/>
        <w:jc w:val="center"/>
        <w:rPr>
          <w:rFonts w:ascii="黑体" w:hAnsi="宋体" w:eastAsia="黑体"/>
          <w:color w:val="auto"/>
          <w:sz w:val="84"/>
          <w:szCs w:val="84"/>
          <w:highlight w:val="none"/>
          <w:u w:val="none"/>
        </w:rPr>
      </w:pPr>
      <w:r>
        <w:rPr>
          <w:rFonts w:hint="eastAsia" w:ascii="黑体" w:hAnsi="宋体" w:eastAsia="黑体"/>
          <w:color w:val="auto"/>
          <w:sz w:val="84"/>
          <w:szCs w:val="84"/>
          <w:highlight w:val="none"/>
          <w:u w:val="none"/>
        </w:rPr>
        <w:t>标</w:t>
      </w:r>
    </w:p>
    <w:p>
      <w:pPr>
        <w:pageBreakBefore w:val="0"/>
        <w:kinsoku/>
        <w:wordWrap/>
        <w:overflowPunct/>
        <w:topLinePunct w:val="0"/>
        <w:bidi w:val="0"/>
        <w:spacing w:line="300" w:lineRule="auto"/>
        <w:jc w:val="center"/>
        <w:rPr>
          <w:rFonts w:ascii="黑体" w:hAnsi="宋体" w:eastAsia="黑体"/>
          <w:color w:val="auto"/>
          <w:sz w:val="84"/>
          <w:szCs w:val="84"/>
          <w:highlight w:val="none"/>
          <w:u w:val="none"/>
        </w:rPr>
      </w:pPr>
    </w:p>
    <w:p>
      <w:pPr>
        <w:pageBreakBefore w:val="0"/>
        <w:kinsoku/>
        <w:wordWrap/>
        <w:overflowPunct/>
        <w:topLinePunct w:val="0"/>
        <w:bidi w:val="0"/>
        <w:spacing w:line="300" w:lineRule="auto"/>
        <w:jc w:val="center"/>
        <w:rPr>
          <w:rFonts w:ascii="宋体" w:hAnsi="宋体"/>
          <w:color w:val="auto"/>
          <w:sz w:val="72"/>
          <w:szCs w:val="72"/>
          <w:highlight w:val="none"/>
          <w:u w:val="none"/>
        </w:rPr>
      </w:pPr>
      <w:r>
        <w:rPr>
          <w:rFonts w:hint="eastAsia" w:ascii="黑体" w:hAnsi="宋体" w:eastAsia="黑体"/>
          <w:color w:val="auto"/>
          <w:sz w:val="84"/>
          <w:szCs w:val="84"/>
          <w:highlight w:val="none"/>
          <w:u w:val="none"/>
        </w:rPr>
        <w:t>书</w:t>
      </w:r>
    </w:p>
    <w:p>
      <w:pPr>
        <w:pageBreakBefore w:val="0"/>
        <w:kinsoku/>
        <w:wordWrap/>
        <w:overflowPunct/>
        <w:topLinePunct w:val="0"/>
        <w:bidi w:val="0"/>
        <w:spacing w:line="300" w:lineRule="auto"/>
        <w:jc w:val="center"/>
        <w:rPr>
          <w:rFonts w:ascii="宋体" w:hAnsi="宋体"/>
          <w:color w:val="auto"/>
          <w:sz w:val="48"/>
          <w:szCs w:val="48"/>
          <w:highlight w:val="none"/>
          <w:u w:val="none"/>
        </w:rPr>
      </w:pPr>
    </w:p>
    <w:p>
      <w:pPr>
        <w:pageBreakBefore w:val="0"/>
        <w:kinsoku/>
        <w:wordWrap/>
        <w:overflowPunct/>
        <w:topLinePunct w:val="0"/>
        <w:bidi w:val="0"/>
        <w:spacing w:line="300" w:lineRule="auto"/>
        <w:jc w:val="center"/>
        <w:rPr>
          <w:rFonts w:ascii="宋体" w:hAnsi="宋体"/>
          <w:color w:val="auto"/>
          <w:sz w:val="28"/>
          <w:szCs w:val="28"/>
          <w:highlight w:val="none"/>
          <w:u w:val="none"/>
        </w:rPr>
      </w:pPr>
    </w:p>
    <w:p>
      <w:pPr>
        <w:pageBreakBefore w:val="0"/>
        <w:kinsoku/>
        <w:wordWrap/>
        <w:overflowPunct/>
        <w:topLinePunct w:val="0"/>
        <w:bidi w:val="0"/>
        <w:spacing w:line="300" w:lineRule="auto"/>
        <w:jc w:val="center"/>
        <w:rPr>
          <w:rFonts w:ascii="宋体" w:hAnsi="宋体"/>
          <w:color w:val="auto"/>
          <w:sz w:val="28"/>
          <w:szCs w:val="28"/>
          <w:highlight w:val="none"/>
          <w:u w:val="none"/>
        </w:rPr>
      </w:pPr>
      <w:r>
        <w:rPr>
          <w:rFonts w:hint="eastAsia" w:ascii="宋体" w:hAnsi="宋体"/>
          <w:color w:val="auto"/>
          <w:sz w:val="28"/>
          <w:szCs w:val="28"/>
          <w:highlight w:val="none"/>
          <w:u w:val="none"/>
        </w:rPr>
        <w:t>招 标 人：重汽（济南）传动轴有限公司</w:t>
      </w:r>
    </w:p>
    <w:p>
      <w:pPr>
        <w:pageBreakBefore w:val="0"/>
        <w:kinsoku/>
        <w:wordWrap/>
        <w:overflowPunct/>
        <w:topLinePunct w:val="0"/>
        <w:bidi w:val="0"/>
        <w:spacing w:line="300" w:lineRule="auto"/>
        <w:jc w:val="center"/>
        <w:rPr>
          <w:rFonts w:ascii="宋体" w:hAnsi="宋体"/>
          <w:color w:val="auto"/>
          <w:sz w:val="28"/>
          <w:szCs w:val="28"/>
          <w:highlight w:val="none"/>
          <w:u w:val="none"/>
        </w:rPr>
      </w:pPr>
      <w:r>
        <w:rPr>
          <w:rFonts w:hint="eastAsia" w:ascii="宋体" w:hAnsi="宋体"/>
          <w:color w:val="auto"/>
          <w:sz w:val="28"/>
          <w:szCs w:val="28"/>
          <w:highlight w:val="none"/>
          <w:u w:val="none"/>
        </w:rPr>
        <w:t>202</w:t>
      </w:r>
      <w:r>
        <w:rPr>
          <w:rFonts w:hint="eastAsia" w:ascii="宋体" w:hAnsi="宋体"/>
          <w:color w:val="auto"/>
          <w:sz w:val="28"/>
          <w:szCs w:val="28"/>
          <w:highlight w:val="none"/>
          <w:u w:val="none"/>
          <w:lang w:val="en-US" w:eastAsia="zh-CN"/>
        </w:rPr>
        <w:t>3</w:t>
      </w:r>
      <w:r>
        <w:rPr>
          <w:rFonts w:hint="eastAsia" w:ascii="宋体" w:hAnsi="宋体"/>
          <w:color w:val="auto"/>
          <w:sz w:val="28"/>
          <w:szCs w:val="28"/>
          <w:highlight w:val="none"/>
          <w:u w:val="none"/>
        </w:rPr>
        <w:t>年</w:t>
      </w:r>
      <w:r>
        <w:rPr>
          <w:rFonts w:hint="eastAsia" w:ascii="宋体" w:hAnsi="宋体"/>
          <w:color w:val="auto"/>
          <w:sz w:val="28"/>
          <w:szCs w:val="28"/>
          <w:highlight w:val="none"/>
          <w:u w:val="none"/>
          <w:lang w:val="en-US" w:eastAsia="zh-CN"/>
        </w:rPr>
        <w:t>1</w:t>
      </w:r>
      <w:r>
        <w:rPr>
          <w:rFonts w:hint="eastAsia" w:ascii="宋体" w:hAnsi="宋体"/>
          <w:color w:val="auto"/>
          <w:sz w:val="28"/>
          <w:szCs w:val="28"/>
          <w:highlight w:val="none"/>
          <w:u w:val="none"/>
        </w:rPr>
        <w:t>月</w:t>
      </w:r>
    </w:p>
    <w:p>
      <w:pPr>
        <w:pageBreakBefore w:val="0"/>
        <w:kinsoku/>
        <w:wordWrap/>
        <w:overflowPunct/>
        <w:topLinePunct w:val="0"/>
        <w:bidi w:val="0"/>
        <w:spacing w:line="300" w:lineRule="auto"/>
        <w:jc w:val="center"/>
        <w:rPr>
          <w:rFonts w:ascii="宋体" w:hAnsi="宋体"/>
          <w:b/>
          <w:bCs/>
          <w:color w:val="auto"/>
          <w:sz w:val="48"/>
          <w:szCs w:val="48"/>
          <w:highlight w:val="none"/>
          <w:u w:val="none"/>
        </w:rPr>
      </w:pPr>
    </w:p>
    <w:p>
      <w:pPr>
        <w:pageBreakBefore w:val="0"/>
        <w:kinsoku/>
        <w:wordWrap/>
        <w:overflowPunct/>
        <w:topLinePunct w:val="0"/>
        <w:bidi w:val="0"/>
        <w:spacing w:line="300" w:lineRule="auto"/>
        <w:jc w:val="center"/>
        <w:rPr>
          <w:rFonts w:ascii="宋体" w:hAnsi="宋体"/>
          <w:b/>
          <w:bCs/>
          <w:color w:val="auto"/>
          <w:sz w:val="48"/>
          <w:szCs w:val="48"/>
          <w:highlight w:val="none"/>
          <w:u w:val="none"/>
        </w:rPr>
      </w:pPr>
    </w:p>
    <w:p>
      <w:pPr>
        <w:pStyle w:val="10"/>
        <w:pageBreakBefore w:val="0"/>
        <w:kinsoku/>
        <w:wordWrap/>
        <w:overflowPunct/>
        <w:topLinePunct w:val="0"/>
        <w:bidi w:val="0"/>
        <w:spacing w:line="300" w:lineRule="auto"/>
        <w:jc w:val="center"/>
        <w:rPr>
          <w:color w:val="auto"/>
          <w:highlight w:val="none"/>
          <w:u w:val="none"/>
        </w:rPr>
        <w:sectPr>
          <w:headerReference r:id="rId3" w:type="default"/>
          <w:footerReference r:id="rId4" w:type="default"/>
          <w:pgSz w:w="11906" w:h="16838"/>
          <w:pgMar w:top="1587" w:right="1134" w:bottom="1134" w:left="1134" w:header="851" w:footer="850" w:gutter="0"/>
          <w:pgNumType w:fmt="decimal"/>
          <w:cols w:space="720" w:num="1"/>
          <w:docGrid w:type="linesAndChars" w:linePitch="328" w:charSpace="855"/>
        </w:sectPr>
      </w:pPr>
    </w:p>
    <w:p>
      <w:pPr>
        <w:pageBreakBefore w:val="0"/>
        <w:kinsoku/>
        <w:wordWrap/>
        <w:overflowPunct/>
        <w:topLinePunct w:val="0"/>
        <w:bidi w:val="0"/>
        <w:spacing w:line="300" w:lineRule="auto"/>
        <w:jc w:val="center"/>
        <w:rPr>
          <w:rFonts w:ascii="宋体" w:hAnsi="宋体"/>
          <w:b/>
          <w:bCs/>
          <w:color w:val="auto"/>
          <w:sz w:val="48"/>
          <w:szCs w:val="48"/>
          <w:highlight w:val="none"/>
          <w:u w:val="none"/>
        </w:rPr>
      </w:pPr>
      <w:r>
        <w:rPr>
          <w:rFonts w:ascii="宋体" w:hAnsi="宋体"/>
          <w:b/>
          <w:bCs/>
          <w:color w:val="auto"/>
          <w:sz w:val="48"/>
          <w:szCs w:val="48"/>
          <w:highlight w:val="none"/>
          <w:u w:val="none"/>
        </w:rPr>
        <w:tab/>
      </w:r>
      <w:r>
        <w:rPr>
          <w:rFonts w:ascii="宋体" w:hAnsi="宋体"/>
          <w:b/>
          <w:bCs/>
          <w:color w:val="auto"/>
          <w:sz w:val="48"/>
          <w:szCs w:val="48"/>
          <w:highlight w:val="none"/>
          <w:u w:val="none"/>
        </w:rPr>
        <w:t>目   录</w:t>
      </w:r>
    </w:p>
    <w:p>
      <w:pPr>
        <w:pageBreakBefore w:val="0"/>
        <w:tabs>
          <w:tab w:val="left" w:pos="3240"/>
        </w:tabs>
        <w:kinsoku/>
        <w:wordWrap/>
        <w:overflowPunct/>
        <w:topLinePunct w:val="0"/>
        <w:bidi w:val="0"/>
        <w:spacing w:line="300" w:lineRule="auto"/>
        <w:rPr>
          <w:rFonts w:ascii="宋体" w:hAnsi="宋体"/>
          <w:b/>
          <w:bCs/>
          <w:color w:val="auto"/>
          <w:sz w:val="24"/>
          <w:highlight w:val="none"/>
          <w:u w:val="none"/>
        </w:rPr>
      </w:pPr>
      <w:r>
        <w:rPr>
          <w:rFonts w:ascii="宋体" w:hAnsi="宋体"/>
          <w:b/>
          <w:bCs/>
          <w:color w:val="auto"/>
          <w:sz w:val="24"/>
          <w:highlight w:val="none"/>
          <w:u w:val="none"/>
        </w:rPr>
        <w:tab/>
      </w:r>
    </w:p>
    <w:p>
      <w:pPr>
        <w:pageBreakBefore w:val="0"/>
        <w:tabs>
          <w:tab w:val="left" w:pos="3240"/>
        </w:tabs>
        <w:kinsoku/>
        <w:wordWrap/>
        <w:overflowPunct/>
        <w:topLinePunct w:val="0"/>
        <w:bidi w:val="0"/>
        <w:spacing w:line="300" w:lineRule="auto"/>
        <w:rPr>
          <w:rFonts w:ascii="宋体" w:hAnsi="宋体"/>
          <w:b/>
          <w:bCs/>
          <w:color w:val="auto"/>
          <w:sz w:val="24"/>
          <w:highlight w:val="none"/>
          <w:u w:val="none"/>
        </w:rPr>
      </w:pPr>
    </w:p>
    <w:p>
      <w:pPr>
        <w:pageBreakBefore w:val="0"/>
        <w:tabs>
          <w:tab w:val="left" w:pos="3240"/>
        </w:tabs>
        <w:kinsoku/>
        <w:wordWrap/>
        <w:overflowPunct/>
        <w:topLinePunct w:val="0"/>
        <w:bidi w:val="0"/>
        <w:spacing w:line="300" w:lineRule="auto"/>
        <w:rPr>
          <w:rFonts w:ascii="宋体" w:hAnsi="宋体"/>
          <w:b/>
          <w:bCs/>
          <w:color w:val="auto"/>
          <w:sz w:val="24"/>
          <w:highlight w:val="none"/>
          <w:u w:val="none"/>
        </w:rPr>
      </w:pPr>
    </w:p>
    <w:p>
      <w:pPr>
        <w:pageBreakBefore w:val="0"/>
        <w:kinsoku/>
        <w:wordWrap/>
        <w:overflowPunct/>
        <w:topLinePunct w:val="0"/>
        <w:bidi w:val="0"/>
        <w:spacing w:line="300" w:lineRule="auto"/>
        <w:ind w:left="420" w:leftChars="200"/>
        <w:jc w:val="left"/>
        <w:rPr>
          <w:rStyle w:val="26"/>
          <w:b/>
          <w:caps/>
          <w:color w:val="auto"/>
          <w:sz w:val="28"/>
          <w:szCs w:val="28"/>
          <w:highlight w:val="none"/>
          <w:u w:val="none"/>
        </w:rPr>
      </w:pPr>
      <w:r>
        <w:rPr>
          <w:rFonts w:ascii="宋体" w:hAnsi="宋体"/>
          <w:b/>
          <w:caps/>
          <w:color w:val="auto"/>
          <w:sz w:val="24"/>
          <w:szCs w:val="28"/>
          <w:highlight w:val="none"/>
          <w:u w:val="none"/>
        </w:rPr>
        <w:fldChar w:fldCharType="begin"/>
      </w:r>
      <w:r>
        <w:rPr>
          <w:rFonts w:ascii="宋体" w:hAnsi="宋体"/>
          <w:b/>
          <w:caps/>
          <w:color w:val="auto"/>
          <w:sz w:val="24"/>
          <w:szCs w:val="28"/>
          <w:highlight w:val="none"/>
          <w:u w:val="none"/>
        </w:rPr>
        <w:instrText xml:space="preserve"> TOC \o "1-2" \h \z </w:instrText>
      </w:r>
      <w:r>
        <w:rPr>
          <w:rFonts w:ascii="宋体" w:hAnsi="宋体"/>
          <w:b/>
          <w:caps/>
          <w:color w:val="auto"/>
          <w:sz w:val="24"/>
          <w:szCs w:val="28"/>
          <w:highlight w:val="none"/>
          <w:u w:val="none"/>
        </w:rPr>
        <w:fldChar w:fldCharType="separate"/>
      </w:r>
      <w:r>
        <w:rPr>
          <w:color w:val="auto"/>
          <w:highlight w:val="none"/>
          <w:u w:val="none"/>
        </w:rPr>
        <w:fldChar w:fldCharType="begin"/>
      </w:r>
      <w:r>
        <w:rPr>
          <w:color w:val="auto"/>
          <w:highlight w:val="none"/>
          <w:u w:val="none"/>
        </w:rPr>
        <w:instrText xml:space="preserve"> HYPERLINK \l "_Toc357155294" </w:instrText>
      </w:r>
      <w:r>
        <w:rPr>
          <w:color w:val="auto"/>
          <w:highlight w:val="none"/>
          <w:u w:val="none"/>
        </w:rPr>
        <w:fldChar w:fldCharType="separate"/>
      </w:r>
      <w:r>
        <w:rPr>
          <w:rStyle w:val="26"/>
          <w:rFonts w:hint="eastAsia"/>
          <w:b/>
          <w:caps/>
          <w:color w:val="auto"/>
          <w:sz w:val="28"/>
          <w:szCs w:val="28"/>
          <w:highlight w:val="none"/>
          <w:u w:val="none"/>
        </w:rPr>
        <w:t xml:space="preserve">第一章  招标公告                                  </w:t>
      </w:r>
      <w:r>
        <w:rPr>
          <w:rStyle w:val="26"/>
          <w:rFonts w:hint="eastAsia"/>
          <w:b/>
          <w:caps/>
          <w:color w:val="auto"/>
          <w:sz w:val="28"/>
          <w:szCs w:val="28"/>
          <w:highlight w:val="none"/>
          <w:u w:val="none"/>
        </w:rPr>
        <w:tab/>
      </w:r>
      <w:r>
        <w:rPr>
          <w:rStyle w:val="26"/>
          <w:rFonts w:hint="eastAsia"/>
          <w:b/>
          <w:caps/>
          <w:color w:val="auto"/>
          <w:sz w:val="28"/>
          <w:szCs w:val="28"/>
          <w:highlight w:val="none"/>
          <w:u w:val="none"/>
        </w:rPr>
        <w:fldChar w:fldCharType="end"/>
      </w:r>
      <w:r>
        <w:rPr>
          <w:rStyle w:val="26"/>
          <w:rFonts w:hint="eastAsia"/>
          <w:b/>
          <w:caps/>
          <w:color w:val="auto"/>
          <w:sz w:val="28"/>
          <w:szCs w:val="28"/>
          <w:highlight w:val="none"/>
          <w:u w:val="none"/>
        </w:rPr>
        <w:t>2（页码）</w:t>
      </w:r>
    </w:p>
    <w:p>
      <w:pPr>
        <w:pageBreakBefore w:val="0"/>
        <w:kinsoku/>
        <w:wordWrap/>
        <w:overflowPunct/>
        <w:topLinePunct w:val="0"/>
        <w:bidi w:val="0"/>
        <w:spacing w:line="300" w:lineRule="auto"/>
        <w:ind w:left="420" w:leftChars="200"/>
        <w:jc w:val="left"/>
        <w:rPr>
          <w:rStyle w:val="26"/>
          <w:b/>
          <w:caps/>
          <w:color w:val="auto"/>
          <w:sz w:val="28"/>
          <w:szCs w:val="28"/>
          <w:highlight w:val="none"/>
          <w:u w:val="none"/>
        </w:rPr>
      </w:pPr>
      <w:r>
        <w:rPr>
          <w:color w:val="auto"/>
          <w:highlight w:val="none"/>
          <w:u w:val="none"/>
        </w:rPr>
        <w:fldChar w:fldCharType="begin"/>
      </w:r>
      <w:r>
        <w:rPr>
          <w:color w:val="auto"/>
          <w:highlight w:val="none"/>
          <w:u w:val="none"/>
        </w:rPr>
        <w:instrText xml:space="preserve"> HYPERLINK \l "_Toc357155295" </w:instrText>
      </w:r>
      <w:r>
        <w:rPr>
          <w:color w:val="auto"/>
          <w:highlight w:val="none"/>
          <w:u w:val="none"/>
        </w:rPr>
        <w:fldChar w:fldCharType="separate"/>
      </w:r>
      <w:r>
        <w:rPr>
          <w:rStyle w:val="26"/>
          <w:rFonts w:hint="eastAsia"/>
          <w:b/>
          <w:caps/>
          <w:color w:val="auto"/>
          <w:sz w:val="28"/>
          <w:szCs w:val="28"/>
          <w:highlight w:val="none"/>
          <w:u w:val="none"/>
        </w:rPr>
        <w:t xml:space="preserve">第二章  投标文件编制                        </w:t>
      </w:r>
      <w:r>
        <w:rPr>
          <w:rStyle w:val="26"/>
          <w:rFonts w:hint="eastAsia"/>
          <w:b/>
          <w:caps/>
          <w:color w:val="auto"/>
          <w:sz w:val="28"/>
          <w:szCs w:val="28"/>
          <w:highlight w:val="none"/>
          <w:u w:val="none"/>
        </w:rPr>
        <w:tab/>
      </w:r>
      <w:r>
        <w:rPr>
          <w:rStyle w:val="26"/>
          <w:rFonts w:hint="eastAsia"/>
          <w:b/>
          <w:caps/>
          <w:color w:val="auto"/>
          <w:sz w:val="28"/>
          <w:szCs w:val="28"/>
          <w:highlight w:val="none"/>
          <w:u w:val="none"/>
        </w:rPr>
        <w:fldChar w:fldCharType="end"/>
      </w:r>
      <w:r>
        <w:rPr>
          <w:rStyle w:val="26"/>
          <w:rFonts w:hint="eastAsia"/>
          <w:b/>
          <w:caps/>
          <w:color w:val="auto"/>
          <w:sz w:val="28"/>
          <w:szCs w:val="28"/>
          <w:highlight w:val="none"/>
          <w:u w:val="none"/>
        </w:rPr>
        <w:t xml:space="preserve">      </w:t>
      </w:r>
      <w:r>
        <w:rPr>
          <w:rStyle w:val="26"/>
          <w:rFonts w:hint="eastAsia"/>
          <w:b/>
          <w:caps/>
          <w:color w:val="auto"/>
          <w:sz w:val="28"/>
          <w:szCs w:val="28"/>
          <w:highlight w:val="none"/>
          <w:u w:val="none"/>
          <w:lang w:val="en-US" w:eastAsia="zh-CN"/>
        </w:rPr>
        <w:t>10</w:t>
      </w:r>
      <w:r>
        <w:rPr>
          <w:rStyle w:val="26"/>
          <w:rFonts w:hint="eastAsia"/>
          <w:b/>
          <w:caps/>
          <w:color w:val="auto"/>
          <w:sz w:val="28"/>
          <w:szCs w:val="28"/>
          <w:highlight w:val="none"/>
          <w:u w:val="none"/>
        </w:rPr>
        <w:t>（页码）</w:t>
      </w:r>
    </w:p>
    <w:p>
      <w:pPr>
        <w:pageBreakBefore w:val="0"/>
        <w:kinsoku/>
        <w:wordWrap/>
        <w:overflowPunct/>
        <w:topLinePunct w:val="0"/>
        <w:bidi w:val="0"/>
        <w:spacing w:line="300" w:lineRule="auto"/>
        <w:ind w:left="420" w:leftChars="200"/>
        <w:jc w:val="left"/>
        <w:rPr>
          <w:rStyle w:val="26"/>
          <w:b/>
          <w:caps/>
          <w:color w:val="auto"/>
          <w:sz w:val="28"/>
          <w:szCs w:val="28"/>
          <w:highlight w:val="none"/>
          <w:u w:val="none"/>
        </w:rPr>
      </w:pPr>
      <w:r>
        <w:rPr>
          <w:color w:val="auto"/>
          <w:highlight w:val="none"/>
          <w:u w:val="none"/>
        </w:rPr>
        <w:fldChar w:fldCharType="begin"/>
      </w:r>
      <w:r>
        <w:rPr>
          <w:color w:val="auto"/>
          <w:highlight w:val="none"/>
          <w:u w:val="none"/>
        </w:rPr>
        <w:instrText xml:space="preserve"> HYPERLINK \l "_Toc357155295" </w:instrText>
      </w:r>
      <w:r>
        <w:rPr>
          <w:color w:val="auto"/>
          <w:highlight w:val="none"/>
          <w:u w:val="none"/>
        </w:rPr>
        <w:fldChar w:fldCharType="separate"/>
      </w:r>
      <w:r>
        <w:rPr>
          <w:rStyle w:val="26"/>
          <w:rFonts w:hint="eastAsia"/>
          <w:b/>
          <w:caps/>
          <w:color w:val="auto"/>
          <w:sz w:val="28"/>
          <w:szCs w:val="28"/>
          <w:highlight w:val="none"/>
          <w:u w:val="none"/>
        </w:rPr>
        <w:t xml:space="preserve">第三章  项目基本标准及基本要求                    </w:t>
      </w:r>
      <w:r>
        <w:rPr>
          <w:rStyle w:val="26"/>
          <w:rFonts w:hint="eastAsia"/>
          <w:b/>
          <w:caps/>
          <w:color w:val="auto"/>
          <w:sz w:val="28"/>
          <w:szCs w:val="28"/>
          <w:highlight w:val="none"/>
          <w:u w:val="none"/>
        </w:rPr>
        <w:fldChar w:fldCharType="end"/>
      </w:r>
      <w:r>
        <w:rPr>
          <w:rStyle w:val="26"/>
          <w:rFonts w:hint="eastAsia"/>
          <w:b/>
          <w:caps/>
          <w:color w:val="auto"/>
          <w:sz w:val="28"/>
          <w:szCs w:val="28"/>
          <w:highlight w:val="none"/>
          <w:u w:val="none"/>
        </w:rPr>
        <w:t xml:space="preserve"> 2</w:t>
      </w:r>
      <w:r>
        <w:rPr>
          <w:rStyle w:val="26"/>
          <w:rFonts w:hint="eastAsia"/>
          <w:b/>
          <w:caps/>
          <w:color w:val="auto"/>
          <w:sz w:val="28"/>
          <w:szCs w:val="28"/>
          <w:highlight w:val="none"/>
          <w:u w:val="none"/>
          <w:lang w:val="en-US" w:eastAsia="zh-CN"/>
        </w:rPr>
        <w:t>3</w:t>
      </w:r>
      <w:r>
        <w:rPr>
          <w:rStyle w:val="26"/>
          <w:rFonts w:hint="eastAsia"/>
          <w:b/>
          <w:caps/>
          <w:color w:val="auto"/>
          <w:sz w:val="28"/>
          <w:szCs w:val="28"/>
          <w:highlight w:val="none"/>
          <w:u w:val="none"/>
        </w:rPr>
        <w:t>（页码）</w:t>
      </w:r>
    </w:p>
    <w:p>
      <w:pPr>
        <w:pageBreakBefore w:val="0"/>
        <w:kinsoku/>
        <w:wordWrap/>
        <w:overflowPunct/>
        <w:topLinePunct w:val="0"/>
        <w:bidi w:val="0"/>
        <w:spacing w:line="300" w:lineRule="auto"/>
        <w:ind w:left="420" w:leftChars="200"/>
        <w:jc w:val="left"/>
        <w:rPr>
          <w:b/>
          <w:color w:val="auto"/>
          <w:sz w:val="28"/>
          <w:highlight w:val="none"/>
          <w:u w:val="none"/>
        </w:rPr>
      </w:pPr>
      <w:r>
        <w:rPr>
          <w:color w:val="auto"/>
          <w:highlight w:val="none"/>
          <w:u w:val="none"/>
        </w:rPr>
        <w:fldChar w:fldCharType="begin"/>
      </w:r>
      <w:r>
        <w:rPr>
          <w:color w:val="auto"/>
          <w:highlight w:val="none"/>
          <w:u w:val="none"/>
        </w:rPr>
        <w:instrText xml:space="preserve"> HYPERLINK \l "_Toc357155295" </w:instrText>
      </w:r>
      <w:r>
        <w:rPr>
          <w:color w:val="auto"/>
          <w:highlight w:val="none"/>
          <w:u w:val="none"/>
        </w:rPr>
        <w:fldChar w:fldCharType="separate"/>
      </w:r>
      <w:r>
        <w:rPr>
          <w:rStyle w:val="26"/>
          <w:rFonts w:hint="eastAsia"/>
          <w:b/>
          <w:caps/>
          <w:color w:val="auto"/>
          <w:sz w:val="28"/>
          <w:szCs w:val="28"/>
          <w:highlight w:val="none"/>
          <w:u w:val="none"/>
        </w:rPr>
        <w:t xml:space="preserve">第四章  项目合同                            </w:t>
      </w:r>
      <w:r>
        <w:rPr>
          <w:rStyle w:val="26"/>
          <w:rFonts w:hint="eastAsia"/>
          <w:b/>
          <w:caps/>
          <w:color w:val="auto"/>
          <w:sz w:val="28"/>
          <w:szCs w:val="28"/>
          <w:highlight w:val="none"/>
          <w:u w:val="none"/>
        </w:rPr>
        <w:tab/>
      </w:r>
      <w:r>
        <w:rPr>
          <w:rStyle w:val="26"/>
          <w:rFonts w:hint="eastAsia"/>
          <w:b/>
          <w:caps/>
          <w:color w:val="auto"/>
          <w:sz w:val="28"/>
          <w:szCs w:val="28"/>
          <w:highlight w:val="none"/>
          <w:u w:val="none"/>
        </w:rPr>
        <w:fldChar w:fldCharType="end"/>
      </w:r>
      <w:r>
        <w:rPr>
          <w:rFonts w:hint="eastAsia"/>
          <w:b/>
          <w:color w:val="auto"/>
          <w:sz w:val="28"/>
          <w:highlight w:val="none"/>
          <w:u w:val="none"/>
        </w:rPr>
        <w:t xml:space="preserve">      2</w:t>
      </w:r>
      <w:r>
        <w:rPr>
          <w:rFonts w:hint="eastAsia"/>
          <w:b/>
          <w:color w:val="auto"/>
          <w:sz w:val="28"/>
          <w:highlight w:val="none"/>
          <w:u w:val="none"/>
          <w:lang w:val="en-US" w:eastAsia="zh-CN"/>
        </w:rPr>
        <w:t>5</w:t>
      </w:r>
      <w:r>
        <w:rPr>
          <w:rFonts w:hint="eastAsia"/>
          <w:b/>
          <w:color w:val="auto"/>
          <w:sz w:val="28"/>
          <w:highlight w:val="none"/>
          <w:u w:val="none"/>
        </w:rPr>
        <w:t>（页码）</w:t>
      </w:r>
    </w:p>
    <w:p>
      <w:pPr>
        <w:pageBreakBefore w:val="0"/>
        <w:kinsoku/>
        <w:wordWrap/>
        <w:overflowPunct/>
        <w:topLinePunct w:val="0"/>
        <w:bidi w:val="0"/>
        <w:spacing w:line="300" w:lineRule="auto"/>
        <w:jc w:val="left"/>
        <w:rPr>
          <w:rFonts w:ascii="宋体" w:hAnsi="宋体"/>
          <w:b/>
          <w:caps/>
          <w:color w:val="auto"/>
          <w:sz w:val="28"/>
          <w:szCs w:val="28"/>
          <w:highlight w:val="none"/>
          <w:u w:val="none"/>
        </w:rPr>
      </w:pPr>
    </w:p>
    <w:p>
      <w:pPr>
        <w:pStyle w:val="10"/>
        <w:pageBreakBefore w:val="0"/>
        <w:kinsoku/>
        <w:wordWrap/>
        <w:overflowPunct/>
        <w:topLinePunct w:val="0"/>
        <w:bidi w:val="0"/>
        <w:spacing w:line="300" w:lineRule="auto"/>
        <w:jc w:val="center"/>
        <w:rPr>
          <w:color w:val="auto"/>
          <w:highlight w:val="none"/>
          <w:u w:val="none"/>
        </w:rPr>
      </w:pPr>
      <w:r>
        <w:rPr>
          <w:color w:val="auto"/>
          <w:highlight w:val="none"/>
          <w:u w:val="none"/>
        </w:rPr>
        <w:fldChar w:fldCharType="end"/>
      </w:r>
    </w:p>
    <w:p>
      <w:pPr>
        <w:pStyle w:val="10"/>
        <w:pageBreakBefore w:val="0"/>
        <w:kinsoku/>
        <w:wordWrap/>
        <w:overflowPunct/>
        <w:topLinePunct w:val="0"/>
        <w:bidi w:val="0"/>
        <w:spacing w:line="300" w:lineRule="auto"/>
        <w:jc w:val="center"/>
        <w:rPr>
          <w:color w:val="auto"/>
          <w:highlight w:val="none"/>
          <w:u w:val="none"/>
        </w:rPr>
      </w:pPr>
    </w:p>
    <w:p>
      <w:pPr>
        <w:pStyle w:val="10"/>
        <w:pageBreakBefore w:val="0"/>
        <w:kinsoku/>
        <w:wordWrap/>
        <w:overflowPunct/>
        <w:topLinePunct w:val="0"/>
        <w:bidi w:val="0"/>
        <w:spacing w:line="300" w:lineRule="auto"/>
        <w:jc w:val="center"/>
        <w:rPr>
          <w:color w:val="auto"/>
          <w:highlight w:val="none"/>
          <w:u w:val="none"/>
        </w:rPr>
      </w:pPr>
    </w:p>
    <w:p>
      <w:pPr>
        <w:pStyle w:val="10"/>
        <w:pageBreakBefore w:val="0"/>
        <w:kinsoku/>
        <w:wordWrap/>
        <w:overflowPunct/>
        <w:topLinePunct w:val="0"/>
        <w:bidi w:val="0"/>
        <w:spacing w:line="300" w:lineRule="auto"/>
        <w:jc w:val="center"/>
        <w:rPr>
          <w:color w:val="auto"/>
          <w:highlight w:val="none"/>
          <w:u w:val="none"/>
        </w:rPr>
      </w:pPr>
    </w:p>
    <w:p>
      <w:pPr>
        <w:pStyle w:val="10"/>
        <w:pageBreakBefore w:val="0"/>
        <w:kinsoku/>
        <w:wordWrap/>
        <w:overflowPunct/>
        <w:topLinePunct w:val="0"/>
        <w:bidi w:val="0"/>
        <w:spacing w:line="300" w:lineRule="auto"/>
        <w:jc w:val="center"/>
        <w:rPr>
          <w:color w:val="auto"/>
          <w:highlight w:val="none"/>
          <w:u w:val="none"/>
        </w:rPr>
      </w:pPr>
    </w:p>
    <w:p>
      <w:pPr>
        <w:pStyle w:val="10"/>
        <w:pageBreakBefore w:val="0"/>
        <w:kinsoku/>
        <w:wordWrap/>
        <w:overflowPunct/>
        <w:topLinePunct w:val="0"/>
        <w:bidi w:val="0"/>
        <w:spacing w:line="300" w:lineRule="auto"/>
        <w:jc w:val="center"/>
        <w:rPr>
          <w:color w:val="auto"/>
          <w:highlight w:val="none"/>
          <w:u w:val="none"/>
        </w:rPr>
      </w:pPr>
    </w:p>
    <w:p>
      <w:pPr>
        <w:pStyle w:val="10"/>
        <w:pageBreakBefore w:val="0"/>
        <w:kinsoku/>
        <w:wordWrap/>
        <w:overflowPunct/>
        <w:topLinePunct w:val="0"/>
        <w:bidi w:val="0"/>
        <w:spacing w:line="300" w:lineRule="auto"/>
        <w:jc w:val="center"/>
        <w:rPr>
          <w:color w:val="auto"/>
          <w:highlight w:val="none"/>
          <w:u w:val="none"/>
        </w:rPr>
      </w:pPr>
    </w:p>
    <w:p>
      <w:pPr>
        <w:pStyle w:val="10"/>
        <w:pageBreakBefore w:val="0"/>
        <w:kinsoku/>
        <w:wordWrap/>
        <w:overflowPunct/>
        <w:topLinePunct w:val="0"/>
        <w:bidi w:val="0"/>
        <w:spacing w:line="300" w:lineRule="auto"/>
        <w:jc w:val="center"/>
        <w:rPr>
          <w:color w:val="auto"/>
          <w:highlight w:val="none"/>
          <w:u w:val="none"/>
        </w:rPr>
      </w:pPr>
    </w:p>
    <w:p>
      <w:pPr>
        <w:pStyle w:val="10"/>
        <w:pageBreakBefore w:val="0"/>
        <w:kinsoku/>
        <w:wordWrap/>
        <w:overflowPunct/>
        <w:topLinePunct w:val="0"/>
        <w:bidi w:val="0"/>
        <w:spacing w:line="300" w:lineRule="auto"/>
        <w:jc w:val="center"/>
        <w:rPr>
          <w:color w:val="auto"/>
          <w:highlight w:val="none"/>
          <w:u w:val="none"/>
        </w:rPr>
      </w:pPr>
    </w:p>
    <w:p>
      <w:pPr>
        <w:pStyle w:val="10"/>
        <w:pageBreakBefore w:val="0"/>
        <w:kinsoku/>
        <w:wordWrap/>
        <w:overflowPunct/>
        <w:topLinePunct w:val="0"/>
        <w:bidi w:val="0"/>
        <w:spacing w:line="300" w:lineRule="auto"/>
        <w:jc w:val="center"/>
        <w:rPr>
          <w:color w:val="auto"/>
          <w:highlight w:val="none"/>
          <w:u w:val="none"/>
        </w:rPr>
      </w:pPr>
    </w:p>
    <w:p>
      <w:pPr>
        <w:pStyle w:val="10"/>
        <w:pageBreakBefore w:val="0"/>
        <w:kinsoku/>
        <w:wordWrap/>
        <w:overflowPunct/>
        <w:topLinePunct w:val="0"/>
        <w:bidi w:val="0"/>
        <w:spacing w:line="300" w:lineRule="auto"/>
        <w:jc w:val="center"/>
        <w:rPr>
          <w:color w:val="auto"/>
          <w:highlight w:val="none"/>
          <w:u w:val="none"/>
        </w:rPr>
      </w:pPr>
    </w:p>
    <w:p>
      <w:pPr>
        <w:pStyle w:val="10"/>
        <w:pageBreakBefore w:val="0"/>
        <w:kinsoku/>
        <w:wordWrap/>
        <w:overflowPunct/>
        <w:topLinePunct w:val="0"/>
        <w:bidi w:val="0"/>
        <w:spacing w:line="300" w:lineRule="auto"/>
        <w:jc w:val="center"/>
        <w:rPr>
          <w:color w:val="auto"/>
          <w:highlight w:val="none"/>
          <w:u w:val="none"/>
        </w:rPr>
      </w:pPr>
    </w:p>
    <w:p>
      <w:pPr>
        <w:pStyle w:val="10"/>
        <w:pageBreakBefore w:val="0"/>
        <w:kinsoku/>
        <w:wordWrap/>
        <w:overflowPunct/>
        <w:topLinePunct w:val="0"/>
        <w:bidi w:val="0"/>
        <w:spacing w:line="300" w:lineRule="auto"/>
        <w:jc w:val="center"/>
        <w:rPr>
          <w:color w:val="auto"/>
          <w:highlight w:val="none"/>
          <w:u w:val="none"/>
        </w:rPr>
      </w:pPr>
    </w:p>
    <w:p>
      <w:pPr>
        <w:pStyle w:val="10"/>
        <w:pageBreakBefore w:val="0"/>
        <w:kinsoku/>
        <w:wordWrap/>
        <w:overflowPunct/>
        <w:topLinePunct w:val="0"/>
        <w:bidi w:val="0"/>
        <w:spacing w:line="300" w:lineRule="auto"/>
        <w:jc w:val="center"/>
        <w:rPr>
          <w:color w:val="auto"/>
          <w:highlight w:val="none"/>
          <w:u w:val="none"/>
        </w:rPr>
      </w:pPr>
    </w:p>
    <w:p>
      <w:pPr>
        <w:pStyle w:val="10"/>
        <w:pageBreakBefore w:val="0"/>
        <w:kinsoku/>
        <w:wordWrap/>
        <w:overflowPunct/>
        <w:topLinePunct w:val="0"/>
        <w:bidi w:val="0"/>
        <w:spacing w:line="300" w:lineRule="auto"/>
        <w:jc w:val="center"/>
        <w:rPr>
          <w:color w:val="auto"/>
          <w:highlight w:val="none"/>
          <w:u w:val="none"/>
        </w:rPr>
      </w:pPr>
    </w:p>
    <w:p>
      <w:pPr>
        <w:pStyle w:val="10"/>
        <w:pageBreakBefore w:val="0"/>
        <w:kinsoku/>
        <w:wordWrap/>
        <w:overflowPunct/>
        <w:topLinePunct w:val="0"/>
        <w:bidi w:val="0"/>
        <w:spacing w:line="300" w:lineRule="auto"/>
        <w:jc w:val="center"/>
        <w:rPr>
          <w:color w:val="auto"/>
          <w:highlight w:val="none"/>
          <w:u w:val="none"/>
        </w:rPr>
      </w:pPr>
    </w:p>
    <w:p>
      <w:pPr>
        <w:pStyle w:val="10"/>
        <w:pageBreakBefore w:val="0"/>
        <w:kinsoku/>
        <w:wordWrap/>
        <w:overflowPunct/>
        <w:topLinePunct w:val="0"/>
        <w:bidi w:val="0"/>
        <w:spacing w:line="300" w:lineRule="auto"/>
        <w:jc w:val="center"/>
        <w:rPr>
          <w:color w:val="auto"/>
          <w:highlight w:val="none"/>
          <w:u w:val="none"/>
        </w:rPr>
      </w:pPr>
    </w:p>
    <w:p>
      <w:pPr>
        <w:pStyle w:val="10"/>
        <w:pageBreakBefore w:val="0"/>
        <w:kinsoku/>
        <w:wordWrap/>
        <w:overflowPunct/>
        <w:topLinePunct w:val="0"/>
        <w:bidi w:val="0"/>
        <w:spacing w:line="300" w:lineRule="auto"/>
        <w:rPr>
          <w:color w:val="auto"/>
          <w:highlight w:val="none"/>
          <w:u w:val="none"/>
        </w:rPr>
      </w:pPr>
    </w:p>
    <w:p>
      <w:pPr>
        <w:pStyle w:val="10"/>
        <w:pageBreakBefore w:val="0"/>
        <w:kinsoku/>
        <w:wordWrap/>
        <w:overflowPunct/>
        <w:topLinePunct w:val="0"/>
        <w:bidi w:val="0"/>
        <w:spacing w:line="300" w:lineRule="auto"/>
        <w:rPr>
          <w:color w:val="auto"/>
          <w:highlight w:val="none"/>
          <w:u w:val="none"/>
        </w:rPr>
      </w:pPr>
    </w:p>
    <w:p>
      <w:pPr>
        <w:pStyle w:val="10"/>
        <w:pageBreakBefore w:val="0"/>
        <w:kinsoku/>
        <w:wordWrap/>
        <w:overflowPunct/>
        <w:topLinePunct w:val="0"/>
        <w:bidi w:val="0"/>
        <w:spacing w:line="300" w:lineRule="auto"/>
        <w:rPr>
          <w:color w:val="auto"/>
          <w:highlight w:val="none"/>
          <w:u w:val="none"/>
        </w:rPr>
      </w:pPr>
    </w:p>
    <w:p>
      <w:pPr>
        <w:pStyle w:val="10"/>
        <w:pageBreakBefore w:val="0"/>
        <w:kinsoku/>
        <w:wordWrap/>
        <w:overflowPunct/>
        <w:topLinePunct w:val="0"/>
        <w:bidi w:val="0"/>
        <w:spacing w:line="300" w:lineRule="auto"/>
        <w:rPr>
          <w:color w:val="auto"/>
          <w:highlight w:val="none"/>
          <w:u w:val="none"/>
        </w:rPr>
      </w:pPr>
    </w:p>
    <w:p>
      <w:pPr>
        <w:pStyle w:val="10"/>
        <w:pageBreakBefore w:val="0"/>
        <w:kinsoku/>
        <w:wordWrap/>
        <w:overflowPunct/>
        <w:topLinePunct w:val="0"/>
        <w:bidi w:val="0"/>
        <w:spacing w:line="300" w:lineRule="auto"/>
        <w:rPr>
          <w:color w:val="auto"/>
          <w:highlight w:val="none"/>
          <w:u w:val="none"/>
        </w:rPr>
      </w:pPr>
    </w:p>
    <w:p>
      <w:pPr>
        <w:pStyle w:val="10"/>
        <w:pageBreakBefore w:val="0"/>
        <w:kinsoku/>
        <w:wordWrap/>
        <w:overflowPunct/>
        <w:topLinePunct w:val="0"/>
        <w:bidi w:val="0"/>
        <w:spacing w:line="300" w:lineRule="auto"/>
        <w:rPr>
          <w:color w:val="auto"/>
          <w:highlight w:val="none"/>
          <w:u w:val="none"/>
        </w:rPr>
      </w:pPr>
    </w:p>
    <w:p>
      <w:pPr>
        <w:pStyle w:val="10"/>
        <w:pageBreakBefore w:val="0"/>
        <w:kinsoku/>
        <w:wordWrap/>
        <w:overflowPunct/>
        <w:topLinePunct w:val="0"/>
        <w:bidi w:val="0"/>
        <w:spacing w:line="300" w:lineRule="auto"/>
        <w:rPr>
          <w:color w:val="auto"/>
          <w:highlight w:val="none"/>
          <w:u w:val="none"/>
        </w:rPr>
      </w:pPr>
    </w:p>
    <w:p>
      <w:pPr>
        <w:pStyle w:val="10"/>
        <w:pageBreakBefore w:val="0"/>
        <w:kinsoku/>
        <w:wordWrap/>
        <w:overflowPunct/>
        <w:topLinePunct w:val="0"/>
        <w:bidi w:val="0"/>
        <w:spacing w:line="300" w:lineRule="auto"/>
        <w:rPr>
          <w:color w:val="auto"/>
          <w:highlight w:val="none"/>
          <w:u w:val="none"/>
        </w:rPr>
      </w:pPr>
    </w:p>
    <w:p>
      <w:pPr>
        <w:pStyle w:val="10"/>
        <w:pageBreakBefore w:val="0"/>
        <w:kinsoku/>
        <w:wordWrap/>
        <w:overflowPunct/>
        <w:topLinePunct w:val="0"/>
        <w:bidi w:val="0"/>
        <w:spacing w:line="300" w:lineRule="auto"/>
        <w:jc w:val="center"/>
        <w:rPr>
          <w:rFonts w:ascii="黑体" w:eastAsia="黑体"/>
          <w:b/>
          <w:bCs/>
          <w:color w:val="auto"/>
          <w:sz w:val="36"/>
          <w:szCs w:val="36"/>
          <w:highlight w:val="none"/>
          <w:u w:val="none"/>
        </w:rPr>
      </w:pPr>
      <w:r>
        <w:rPr>
          <w:rFonts w:hint="eastAsia" w:ascii="黑体" w:eastAsia="黑体"/>
          <w:b/>
          <w:bCs/>
          <w:color w:val="auto"/>
          <w:sz w:val="36"/>
          <w:szCs w:val="36"/>
          <w:highlight w:val="none"/>
          <w:u w:val="none"/>
        </w:rPr>
        <w:t>第一章 招标公告</w:t>
      </w:r>
    </w:p>
    <w:p>
      <w:pPr>
        <w:pStyle w:val="10"/>
        <w:pageBreakBefore w:val="0"/>
        <w:kinsoku/>
        <w:wordWrap/>
        <w:overflowPunct/>
        <w:topLinePunct w:val="0"/>
        <w:bidi w:val="0"/>
        <w:spacing w:line="300" w:lineRule="auto"/>
        <w:rPr>
          <w:rFonts w:ascii="黑体" w:eastAsia="黑体"/>
          <w:b/>
          <w:bCs/>
          <w:color w:val="auto"/>
          <w:sz w:val="28"/>
          <w:highlight w:val="none"/>
          <w:u w:val="none"/>
        </w:rPr>
      </w:pPr>
      <w:r>
        <w:rPr>
          <w:rFonts w:hint="eastAsia" w:ascii="黑体" w:eastAsia="黑体"/>
          <w:b/>
          <w:bCs/>
          <w:color w:val="auto"/>
          <w:sz w:val="28"/>
          <w:highlight w:val="none"/>
          <w:u w:val="none"/>
        </w:rPr>
        <w:t>一、项目名称</w:t>
      </w:r>
    </w:p>
    <w:p>
      <w:pPr>
        <w:pStyle w:val="10"/>
        <w:pageBreakBefore w:val="0"/>
        <w:kinsoku/>
        <w:wordWrap/>
        <w:overflowPunct/>
        <w:topLinePunct w:val="0"/>
        <w:bidi w:val="0"/>
        <w:spacing w:line="300" w:lineRule="auto"/>
        <w:ind w:left="420"/>
        <w:rPr>
          <w:color w:val="auto"/>
          <w:szCs w:val="22"/>
          <w:highlight w:val="none"/>
          <w:u w:val="none"/>
        </w:rPr>
      </w:pPr>
      <w:bookmarkStart w:id="0" w:name="OLE_LINK1"/>
      <w:r>
        <w:rPr>
          <w:rFonts w:hint="eastAsia"/>
          <w:color w:val="auto"/>
          <w:highlight w:val="none"/>
          <w:u w:val="none"/>
        </w:rPr>
        <w:t>项目名称：</w:t>
      </w:r>
      <w:r>
        <w:rPr>
          <w:rFonts w:hint="eastAsia"/>
          <w:color w:val="auto"/>
          <w:highlight w:val="none"/>
          <w:u w:val="none"/>
          <w:lang w:val="en-US" w:eastAsia="zh-CN"/>
        </w:rPr>
        <w:t>底零生产线骑马螺栓热处理</w:t>
      </w:r>
      <w:r>
        <w:rPr>
          <w:rFonts w:hint="eastAsia"/>
          <w:color w:val="auto"/>
          <w:szCs w:val="22"/>
          <w:highlight w:val="none"/>
          <w:u w:val="none"/>
        </w:rPr>
        <w:t>项目</w:t>
      </w:r>
    </w:p>
    <w:bookmarkEnd w:id="0"/>
    <w:p>
      <w:pPr>
        <w:pStyle w:val="10"/>
        <w:pageBreakBefore w:val="0"/>
        <w:kinsoku/>
        <w:wordWrap/>
        <w:overflowPunct/>
        <w:topLinePunct w:val="0"/>
        <w:bidi w:val="0"/>
        <w:spacing w:line="300" w:lineRule="auto"/>
        <w:rPr>
          <w:rFonts w:ascii="黑体" w:eastAsia="黑体"/>
          <w:b/>
          <w:bCs/>
          <w:color w:val="auto"/>
          <w:sz w:val="28"/>
          <w:highlight w:val="none"/>
          <w:u w:val="none"/>
        </w:rPr>
      </w:pPr>
      <w:r>
        <w:rPr>
          <w:rFonts w:hint="eastAsia" w:ascii="黑体" w:eastAsia="黑体"/>
          <w:b/>
          <w:bCs/>
          <w:color w:val="auto"/>
          <w:sz w:val="28"/>
          <w:highlight w:val="none"/>
          <w:u w:val="none"/>
        </w:rPr>
        <w:t>二、招标内容及形式</w:t>
      </w:r>
    </w:p>
    <w:p>
      <w:pPr>
        <w:pStyle w:val="10"/>
        <w:pageBreakBefore w:val="0"/>
        <w:kinsoku/>
        <w:wordWrap/>
        <w:overflowPunct/>
        <w:topLinePunct w:val="0"/>
        <w:bidi w:val="0"/>
        <w:spacing w:line="300" w:lineRule="auto"/>
        <w:ind w:firstLine="420" w:firstLineChars="200"/>
        <w:rPr>
          <w:color w:val="auto"/>
          <w:highlight w:val="none"/>
          <w:u w:val="none"/>
        </w:rPr>
      </w:pPr>
      <w:r>
        <w:rPr>
          <w:rFonts w:hint="eastAsia"/>
          <w:color w:val="auto"/>
          <w:highlight w:val="none"/>
          <w:u w:val="none"/>
        </w:rPr>
        <w:t>招标内容：重汽（济南）传动轴有限公司</w:t>
      </w:r>
      <w:r>
        <w:rPr>
          <w:rFonts w:hint="eastAsia"/>
          <w:color w:val="auto"/>
          <w:highlight w:val="none"/>
          <w:u w:val="none"/>
          <w:lang w:val="en-US" w:eastAsia="zh-CN"/>
        </w:rPr>
        <w:t>底零生产线骑马螺栓热处理</w:t>
      </w:r>
      <w:r>
        <w:rPr>
          <w:rFonts w:hint="eastAsia"/>
          <w:color w:val="auto"/>
          <w:highlight w:val="none"/>
          <w:u w:val="none"/>
        </w:rPr>
        <w:t>工序外包</w:t>
      </w:r>
    </w:p>
    <w:p>
      <w:pPr>
        <w:pageBreakBefore w:val="0"/>
        <w:kinsoku/>
        <w:wordWrap/>
        <w:overflowPunct/>
        <w:topLinePunct w:val="0"/>
        <w:bidi w:val="0"/>
        <w:spacing w:line="30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1.项目概述</w:t>
      </w:r>
    </w:p>
    <w:p>
      <w:pPr>
        <w:pageBreakBefore w:val="0"/>
        <w:kinsoku/>
        <w:wordWrap/>
        <w:overflowPunct/>
        <w:topLinePunct w:val="0"/>
        <w:bidi w:val="0"/>
        <w:spacing w:line="300" w:lineRule="auto"/>
        <w:ind w:firstLine="420" w:firstLineChars="200"/>
        <w:jc w:val="left"/>
        <w:rPr>
          <w:rFonts w:hint="eastAsia" w:ascii="宋体" w:hAnsi="宋体"/>
          <w:color w:val="auto"/>
          <w:szCs w:val="21"/>
          <w:highlight w:val="none"/>
          <w:u w:val="none"/>
          <w:lang w:eastAsia="zh-CN"/>
        </w:rPr>
      </w:pPr>
      <w:r>
        <w:rPr>
          <w:rFonts w:hint="eastAsia"/>
          <w:color w:val="auto"/>
          <w:highlight w:val="none"/>
          <w:u w:val="none"/>
          <w:lang w:val="en-US" w:eastAsia="zh-CN"/>
        </w:rPr>
        <w:t>底零生产线骑马螺栓热处理</w:t>
      </w:r>
      <w:r>
        <w:rPr>
          <w:rFonts w:hint="eastAsia" w:ascii="宋体" w:hAnsi="宋体"/>
          <w:color w:val="auto"/>
          <w:szCs w:val="21"/>
          <w:highlight w:val="none"/>
          <w:u w:val="none"/>
        </w:rPr>
        <w:t>项目地点位于重汽（济南）传动轴</w:t>
      </w:r>
      <w:r>
        <w:rPr>
          <w:rFonts w:hint="eastAsia" w:hAnsi="Courier New"/>
          <w:color w:val="auto"/>
          <w:szCs w:val="21"/>
          <w:highlight w:val="none"/>
          <w:u w:val="none"/>
        </w:rPr>
        <w:t>有限公司</w:t>
      </w:r>
      <w:r>
        <w:rPr>
          <w:rFonts w:hint="eastAsia" w:hAnsi="Courier New"/>
          <w:color w:val="auto"/>
          <w:szCs w:val="21"/>
          <w:highlight w:val="none"/>
          <w:u w:val="none"/>
          <w:lang w:val="en-US" w:eastAsia="zh-CN"/>
        </w:rPr>
        <w:t>底零生产线</w:t>
      </w:r>
      <w:r>
        <w:rPr>
          <w:rFonts w:hint="eastAsia" w:hAnsi="Courier New"/>
          <w:color w:val="auto"/>
          <w:szCs w:val="21"/>
          <w:highlight w:val="none"/>
          <w:u w:val="none"/>
        </w:rPr>
        <w:t>相关区域。每日产量根据生产计划确定，外包费用执行合同产品单价，数量以车间周转单为结算依据，其外包费用为单价与数量的乘积之和，</w:t>
      </w:r>
      <w:r>
        <w:rPr>
          <w:rFonts w:hint="eastAsia" w:hAnsi="Courier New"/>
          <w:color w:val="auto"/>
          <w:szCs w:val="21"/>
          <w:highlight w:val="none"/>
          <w:u w:val="none"/>
          <w:lang w:val="en-US" w:eastAsia="zh-CN"/>
        </w:rPr>
        <w:t>其中</w:t>
      </w:r>
      <w:bookmarkStart w:id="1" w:name="OLE_LINK2"/>
      <w:r>
        <w:rPr>
          <w:rFonts w:hint="eastAsia" w:hAnsi="Courier New"/>
          <w:color w:val="auto"/>
          <w:szCs w:val="21"/>
          <w:highlight w:val="none"/>
          <w:u w:val="none"/>
          <w:lang w:val="en-US" w:eastAsia="zh-CN"/>
        </w:rPr>
        <w:t>人员定员</w:t>
      </w:r>
      <w:r>
        <w:rPr>
          <w:rFonts w:hint="eastAsia" w:ascii="宋体" w:hAnsi="宋体"/>
          <w:color w:val="auto"/>
          <w:szCs w:val="21"/>
          <w:highlight w:val="none"/>
          <w:u w:val="none"/>
        </w:rPr>
        <w:t>详见下表</w:t>
      </w:r>
      <w:r>
        <w:rPr>
          <w:rFonts w:hint="eastAsia" w:ascii="宋体" w:hAnsi="宋体"/>
          <w:color w:val="auto"/>
          <w:szCs w:val="21"/>
          <w:highlight w:val="none"/>
          <w:u w:val="none"/>
          <w:lang w:eastAsia="zh-CN"/>
        </w:rPr>
        <w:t>：</w:t>
      </w:r>
      <w:bookmarkEnd w:id="1"/>
    </w:p>
    <w:tbl>
      <w:tblPr>
        <w:tblStyle w:val="20"/>
        <w:tblW w:w="8794" w:type="dxa"/>
        <w:tblInd w:w="0" w:type="dxa"/>
        <w:tblLayout w:type="fixed"/>
        <w:tblCellMar>
          <w:top w:w="15" w:type="dxa"/>
          <w:left w:w="15" w:type="dxa"/>
          <w:bottom w:w="15" w:type="dxa"/>
          <w:right w:w="15" w:type="dxa"/>
        </w:tblCellMar>
      </w:tblPr>
      <w:tblGrid>
        <w:gridCol w:w="1355"/>
        <w:gridCol w:w="1169"/>
        <w:gridCol w:w="1188"/>
        <w:gridCol w:w="1716"/>
        <w:gridCol w:w="1164"/>
        <w:gridCol w:w="1200"/>
        <w:gridCol w:w="1002"/>
      </w:tblGrid>
      <w:tr>
        <w:tblPrEx>
          <w:tblCellMar>
            <w:top w:w="15" w:type="dxa"/>
            <w:left w:w="15" w:type="dxa"/>
            <w:bottom w:w="15" w:type="dxa"/>
            <w:right w:w="15" w:type="dxa"/>
          </w:tblCellMar>
        </w:tblPrEx>
        <w:trPr>
          <w:trHeight w:val="623" w:hRule="atLeast"/>
        </w:trPr>
        <w:tc>
          <w:tcPr>
            <w:tcW w:w="1355" w:type="dxa"/>
            <w:tcBorders>
              <w:top w:val="single" w:color="000000" w:sz="4" w:space="0"/>
              <w:left w:val="single" w:color="000000" w:sz="4" w:space="0"/>
              <w:bottom w:val="single" w:color="auto"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r>
              <w:rPr>
                <w:rFonts w:hint="eastAsia" w:ascii="宋体" w:hAnsi="宋体" w:eastAsia="宋体" w:cs="宋体"/>
                <w:b w:val="0"/>
                <w:bCs/>
                <w:color w:val="auto"/>
                <w:kern w:val="0"/>
                <w:sz w:val="21"/>
                <w:szCs w:val="21"/>
                <w:highlight w:val="none"/>
                <w:u w:val="none"/>
                <w:lang w:bidi="ar"/>
              </w:rPr>
              <w:t>序号</w:t>
            </w:r>
          </w:p>
        </w:tc>
        <w:tc>
          <w:tcPr>
            <w:tcW w:w="1169" w:type="dxa"/>
            <w:tcBorders>
              <w:top w:val="single" w:color="000000" w:sz="4" w:space="0"/>
              <w:left w:val="single" w:color="000000" w:sz="4" w:space="0"/>
              <w:bottom w:val="single" w:color="auto"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r>
              <w:rPr>
                <w:rFonts w:hint="eastAsia" w:ascii="宋体" w:hAnsi="宋体" w:eastAsia="宋体" w:cs="宋体"/>
                <w:b w:val="0"/>
                <w:bCs/>
                <w:color w:val="auto"/>
                <w:kern w:val="0"/>
                <w:sz w:val="21"/>
                <w:szCs w:val="21"/>
                <w:highlight w:val="none"/>
                <w:u w:val="none"/>
                <w:lang w:val="en-US" w:eastAsia="zh-CN" w:bidi="ar"/>
              </w:rPr>
              <w:t>生产线</w:t>
            </w:r>
          </w:p>
        </w:tc>
        <w:tc>
          <w:tcPr>
            <w:tcW w:w="1188" w:type="dxa"/>
            <w:tcBorders>
              <w:top w:val="single" w:color="000000" w:sz="4" w:space="0"/>
              <w:left w:val="single" w:color="000000" w:sz="4" w:space="0"/>
              <w:bottom w:val="single" w:color="auto"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r>
              <w:rPr>
                <w:rFonts w:hint="eastAsia" w:ascii="宋体" w:hAnsi="宋体" w:eastAsia="宋体" w:cs="宋体"/>
                <w:b w:val="0"/>
                <w:bCs/>
                <w:color w:val="auto"/>
                <w:kern w:val="0"/>
                <w:sz w:val="21"/>
                <w:szCs w:val="21"/>
                <w:highlight w:val="none"/>
                <w:u w:val="none"/>
                <w:lang w:val="en-US" w:eastAsia="zh-CN" w:bidi="ar"/>
              </w:rPr>
              <w:t>人员类别</w:t>
            </w:r>
          </w:p>
        </w:tc>
        <w:tc>
          <w:tcPr>
            <w:tcW w:w="1716" w:type="dxa"/>
            <w:tcBorders>
              <w:top w:val="single" w:color="000000" w:sz="4" w:space="0"/>
              <w:left w:val="single" w:color="000000" w:sz="4" w:space="0"/>
              <w:bottom w:val="single" w:color="auto"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r>
              <w:rPr>
                <w:rFonts w:hint="eastAsia" w:ascii="宋体" w:hAnsi="宋体" w:eastAsia="宋体" w:cs="宋体"/>
                <w:b w:val="0"/>
                <w:bCs/>
                <w:color w:val="auto"/>
                <w:kern w:val="0"/>
                <w:sz w:val="21"/>
                <w:szCs w:val="21"/>
                <w:highlight w:val="none"/>
                <w:u w:val="none"/>
                <w:lang w:bidi="ar"/>
              </w:rPr>
              <w:t>工序内容</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r>
              <w:rPr>
                <w:rFonts w:hint="eastAsia" w:ascii="宋体" w:hAnsi="宋体" w:eastAsia="宋体" w:cs="宋体"/>
                <w:b w:val="0"/>
                <w:bCs/>
                <w:color w:val="auto"/>
                <w:kern w:val="0"/>
                <w:sz w:val="21"/>
                <w:szCs w:val="21"/>
                <w:highlight w:val="none"/>
                <w:u w:val="none"/>
                <w:lang w:val="en-US" w:eastAsia="zh-CN" w:bidi="ar"/>
              </w:rPr>
              <w:t>人数</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r>
              <w:rPr>
                <w:rFonts w:hint="eastAsia" w:ascii="宋体" w:hAnsi="宋体" w:eastAsia="宋体" w:cs="宋体"/>
                <w:b w:val="0"/>
                <w:bCs/>
                <w:color w:val="auto"/>
                <w:kern w:val="0"/>
                <w:sz w:val="21"/>
                <w:szCs w:val="21"/>
                <w:highlight w:val="none"/>
                <w:u w:val="none"/>
                <w:lang w:val="en-US" w:eastAsia="zh-CN" w:bidi="ar"/>
              </w:rPr>
              <w:t>白班/夜班</w:t>
            </w:r>
          </w:p>
        </w:tc>
        <w:tc>
          <w:tcPr>
            <w:tcW w:w="1002"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r>
              <w:rPr>
                <w:rFonts w:hint="eastAsia" w:ascii="宋体" w:hAnsi="宋体" w:eastAsia="宋体" w:cs="宋体"/>
                <w:b w:val="0"/>
                <w:bCs/>
                <w:color w:val="auto"/>
                <w:kern w:val="0"/>
                <w:sz w:val="21"/>
                <w:szCs w:val="21"/>
                <w:highlight w:val="none"/>
                <w:u w:val="none"/>
                <w:lang w:val="en-US" w:eastAsia="zh-CN" w:bidi="ar"/>
              </w:rPr>
              <w:t>备注</w:t>
            </w:r>
          </w:p>
        </w:tc>
      </w:tr>
      <w:tr>
        <w:tblPrEx>
          <w:tblCellMar>
            <w:top w:w="15" w:type="dxa"/>
            <w:left w:w="15" w:type="dxa"/>
            <w:bottom w:w="15" w:type="dxa"/>
            <w:right w:w="15" w:type="dxa"/>
          </w:tblCellMar>
        </w:tblPrEx>
        <w:trPr>
          <w:trHeight w:val="454" w:hRule="atLeast"/>
        </w:trPr>
        <w:tc>
          <w:tcPr>
            <w:tcW w:w="135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r>
              <w:rPr>
                <w:rFonts w:hint="eastAsia" w:ascii="宋体" w:hAnsi="宋体" w:eastAsia="宋体" w:cs="宋体"/>
                <w:b w:val="0"/>
                <w:bCs/>
                <w:color w:val="auto"/>
                <w:kern w:val="0"/>
                <w:sz w:val="21"/>
                <w:szCs w:val="21"/>
                <w:highlight w:val="none"/>
                <w:u w:val="none"/>
                <w:lang w:bidi="ar"/>
              </w:rPr>
              <w:t>1</w:t>
            </w:r>
          </w:p>
        </w:tc>
        <w:tc>
          <w:tcPr>
            <w:tcW w:w="1169" w:type="dxa"/>
            <w:vMerge w:val="restart"/>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r>
              <w:rPr>
                <w:rFonts w:hint="eastAsia" w:ascii="宋体" w:hAnsi="宋体" w:eastAsia="宋体" w:cs="宋体"/>
                <w:b w:val="0"/>
                <w:bCs/>
                <w:color w:val="auto"/>
                <w:kern w:val="0"/>
                <w:sz w:val="21"/>
                <w:szCs w:val="21"/>
                <w:highlight w:val="none"/>
                <w:u w:val="none"/>
                <w:lang w:val="en-US" w:eastAsia="zh-CN" w:bidi="ar"/>
              </w:rPr>
              <w:t>骑马螺栓热处理线</w:t>
            </w:r>
            <w:r>
              <w:rPr>
                <w:rFonts w:hint="eastAsia" w:ascii="宋体" w:hAnsi="宋体" w:eastAsia="宋体" w:cs="宋体"/>
                <w:b w:val="0"/>
                <w:bCs/>
                <w:color w:val="auto"/>
                <w:kern w:val="0"/>
                <w:sz w:val="21"/>
                <w:szCs w:val="21"/>
                <w:highlight w:val="none"/>
                <w:u w:val="none"/>
                <w:lang w:val="en-US" w:eastAsia="zh-CN" w:bidi="ar"/>
              </w:rPr>
              <w:br w:type="textWrapping"/>
            </w:r>
            <w:r>
              <w:rPr>
                <w:rFonts w:hint="eastAsia" w:ascii="宋体" w:hAnsi="宋体" w:eastAsia="宋体" w:cs="宋体"/>
                <w:b w:val="0"/>
                <w:bCs/>
                <w:color w:val="auto"/>
                <w:kern w:val="0"/>
                <w:sz w:val="21"/>
                <w:szCs w:val="21"/>
                <w:highlight w:val="none"/>
                <w:u w:val="none"/>
                <w:lang w:val="en-US" w:eastAsia="zh-CN" w:bidi="ar"/>
              </w:rPr>
              <w:t>（单班双线生产）</w:t>
            </w:r>
          </w:p>
        </w:tc>
        <w:tc>
          <w:tcPr>
            <w:tcW w:w="1188" w:type="dxa"/>
            <w:vMerge w:val="restart"/>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r>
              <w:rPr>
                <w:rFonts w:hint="eastAsia" w:ascii="宋体" w:hAnsi="宋体" w:eastAsia="宋体" w:cs="宋体"/>
                <w:b w:val="0"/>
                <w:bCs/>
                <w:color w:val="auto"/>
                <w:kern w:val="0"/>
                <w:sz w:val="21"/>
                <w:szCs w:val="21"/>
                <w:highlight w:val="none"/>
                <w:u w:val="none"/>
                <w:lang w:val="en-US" w:eastAsia="zh-CN" w:bidi="ar"/>
              </w:rPr>
              <w:t>工艺人员</w:t>
            </w:r>
          </w:p>
        </w:tc>
        <w:tc>
          <w:tcPr>
            <w:tcW w:w="1716"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r>
              <w:rPr>
                <w:rFonts w:hint="eastAsia" w:ascii="宋体" w:hAnsi="宋体" w:eastAsia="宋体" w:cs="宋体"/>
                <w:b w:val="0"/>
                <w:bCs/>
                <w:color w:val="auto"/>
                <w:kern w:val="0"/>
                <w:sz w:val="21"/>
                <w:szCs w:val="21"/>
                <w:highlight w:val="none"/>
                <w:u w:val="none"/>
                <w:lang w:val="en-US" w:eastAsia="zh-CN" w:bidi="ar"/>
              </w:rPr>
              <w:t>上件</w:t>
            </w:r>
          </w:p>
        </w:tc>
        <w:tc>
          <w:tcPr>
            <w:tcW w:w="1164" w:type="dxa"/>
            <w:tcBorders>
              <w:top w:val="single" w:color="000000" w:sz="4" w:space="0"/>
              <w:left w:val="single" w:color="auto"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r>
              <w:rPr>
                <w:rFonts w:hint="eastAsia" w:ascii="宋体" w:hAnsi="宋体" w:eastAsia="宋体" w:cs="宋体"/>
                <w:b w:val="0"/>
                <w:bCs/>
                <w:color w:val="auto"/>
                <w:kern w:val="0"/>
                <w:sz w:val="21"/>
                <w:szCs w:val="21"/>
                <w:highlight w:val="none"/>
                <w:u w:val="none"/>
                <w:lang w:val="en-US" w:eastAsia="zh-CN" w:bidi="ar"/>
              </w:rPr>
              <w:t>1</w:t>
            </w:r>
          </w:p>
        </w:tc>
        <w:tc>
          <w:tcPr>
            <w:tcW w:w="1200" w:type="dxa"/>
            <w:tcBorders>
              <w:top w:val="single" w:color="000000" w:sz="4" w:space="0"/>
              <w:left w:val="single" w:color="auto"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r>
              <w:rPr>
                <w:rFonts w:hint="eastAsia" w:ascii="宋体" w:hAnsi="宋体" w:eastAsia="宋体" w:cs="宋体"/>
                <w:b w:val="0"/>
                <w:bCs/>
                <w:color w:val="auto"/>
                <w:kern w:val="0"/>
                <w:sz w:val="21"/>
                <w:szCs w:val="21"/>
                <w:highlight w:val="none"/>
                <w:u w:val="none"/>
                <w:lang w:val="en-US" w:eastAsia="zh-CN" w:bidi="ar"/>
              </w:rPr>
              <w:t>白班</w:t>
            </w:r>
          </w:p>
        </w:tc>
        <w:tc>
          <w:tcPr>
            <w:tcW w:w="1002" w:type="dxa"/>
            <w:tcBorders>
              <w:top w:val="single" w:color="000000" w:sz="4" w:space="0"/>
              <w:left w:val="single" w:color="auto"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p>
        </w:tc>
      </w:tr>
      <w:tr>
        <w:tblPrEx>
          <w:tblCellMar>
            <w:top w:w="15" w:type="dxa"/>
            <w:left w:w="15" w:type="dxa"/>
            <w:bottom w:w="15" w:type="dxa"/>
            <w:right w:w="15" w:type="dxa"/>
          </w:tblCellMar>
        </w:tblPrEx>
        <w:trPr>
          <w:trHeight w:val="445" w:hRule="atLeast"/>
        </w:trPr>
        <w:tc>
          <w:tcPr>
            <w:tcW w:w="135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r>
              <w:rPr>
                <w:rFonts w:hint="eastAsia" w:ascii="宋体" w:hAnsi="宋体" w:eastAsia="宋体" w:cs="宋体"/>
                <w:b w:val="0"/>
                <w:bCs/>
                <w:color w:val="auto"/>
                <w:kern w:val="0"/>
                <w:sz w:val="21"/>
                <w:szCs w:val="21"/>
                <w:highlight w:val="none"/>
                <w:u w:val="none"/>
                <w:lang w:bidi="ar"/>
              </w:rPr>
              <w:t>2</w:t>
            </w:r>
          </w:p>
        </w:tc>
        <w:tc>
          <w:tcPr>
            <w:tcW w:w="1169"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p>
        </w:tc>
        <w:tc>
          <w:tcPr>
            <w:tcW w:w="1188"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p>
        </w:tc>
        <w:tc>
          <w:tcPr>
            <w:tcW w:w="1716"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r>
              <w:rPr>
                <w:rFonts w:hint="eastAsia" w:ascii="宋体" w:hAnsi="宋体" w:eastAsia="宋体" w:cs="宋体"/>
                <w:b w:val="0"/>
                <w:bCs/>
                <w:color w:val="auto"/>
                <w:kern w:val="0"/>
                <w:sz w:val="21"/>
                <w:szCs w:val="21"/>
                <w:highlight w:val="none"/>
                <w:u w:val="none"/>
                <w:lang w:val="en-US" w:eastAsia="zh-CN" w:bidi="ar"/>
              </w:rPr>
              <w:t>整理（钩件）</w:t>
            </w:r>
          </w:p>
        </w:tc>
        <w:tc>
          <w:tcPr>
            <w:tcW w:w="1164" w:type="dxa"/>
            <w:tcBorders>
              <w:top w:val="single" w:color="000000" w:sz="4" w:space="0"/>
              <w:left w:val="single" w:color="auto"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r>
              <w:rPr>
                <w:rFonts w:hint="eastAsia" w:ascii="宋体" w:hAnsi="宋体" w:eastAsia="宋体" w:cs="宋体"/>
                <w:b w:val="0"/>
                <w:bCs/>
                <w:color w:val="auto"/>
                <w:kern w:val="0"/>
                <w:sz w:val="21"/>
                <w:szCs w:val="21"/>
                <w:highlight w:val="none"/>
                <w:u w:val="none"/>
                <w:lang w:val="en-US" w:eastAsia="zh-CN" w:bidi="ar"/>
              </w:rPr>
              <w:t>1</w:t>
            </w:r>
          </w:p>
        </w:tc>
        <w:tc>
          <w:tcPr>
            <w:tcW w:w="1200" w:type="dxa"/>
            <w:tcBorders>
              <w:top w:val="single" w:color="000000" w:sz="4" w:space="0"/>
              <w:left w:val="single" w:color="auto"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r>
              <w:rPr>
                <w:rFonts w:hint="eastAsia" w:ascii="宋体" w:hAnsi="宋体" w:eastAsia="宋体" w:cs="宋体"/>
                <w:b w:val="0"/>
                <w:bCs/>
                <w:color w:val="auto"/>
                <w:kern w:val="0"/>
                <w:sz w:val="21"/>
                <w:szCs w:val="21"/>
                <w:highlight w:val="none"/>
                <w:u w:val="none"/>
                <w:lang w:val="en-US" w:eastAsia="zh-CN" w:bidi="ar"/>
              </w:rPr>
              <w:t>白班</w:t>
            </w:r>
          </w:p>
        </w:tc>
        <w:tc>
          <w:tcPr>
            <w:tcW w:w="1002" w:type="dxa"/>
            <w:tcBorders>
              <w:top w:val="single" w:color="000000" w:sz="4" w:space="0"/>
              <w:left w:val="single" w:color="auto"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p>
        </w:tc>
      </w:tr>
      <w:tr>
        <w:tblPrEx>
          <w:tblCellMar>
            <w:top w:w="15" w:type="dxa"/>
            <w:left w:w="15" w:type="dxa"/>
            <w:bottom w:w="15" w:type="dxa"/>
            <w:right w:w="15" w:type="dxa"/>
          </w:tblCellMar>
        </w:tblPrEx>
        <w:trPr>
          <w:trHeight w:val="445" w:hRule="atLeast"/>
        </w:trPr>
        <w:tc>
          <w:tcPr>
            <w:tcW w:w="135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r>
              <w:rPr>
                <w:rFonts w:hint="eastAsia" w:ascii="宋体" w:hAnsi="宋体" w:eastAsia="宋体" w:cs="宋体"/>
                <w:b w:val="0"/>
                <w:bCs/>
                <w:color w:val="auto"/>
                <w:kern w:val="0"/>
                <w:sz w:val="21"/>
                <w:szCs w:val="21"/>
                <w:highlight w:val="none"/>
                <w:u w:val="none"/>
                <w:lang w:bidi="ar"/>
              </w:rPr>
              <w:t>3</w:t>
            </w:r>
          </w:p>
        </w:tc>
        <w:tc>
          <w:tcPr>
            <w:tcW w:w="1169"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p>
        </w:tc>
        <w:tc>
          <w:tcPr>
            <w:tcW w:w="1188"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p>
        </w:tc>
        <w:tc>
          <w:tcPr>
            <w:tcW w:w="1716"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r>
              <w:rPr>
                <w:rFonts w:hint="eastAsia" w:ascii="宋体" w:hAnsi="宋体" w:eastAsia="宋体" w:cs="宋体"/>
                <w:b w:val="0"/>
                <w:bCs/>
                <w:color w:val="auto"/>
                <w:kern w:val="0"/>
                <w:sz w:val="21"/>
                <w:szCs w:val="21"/>
                <w:highlight w:val="none"/>
                <w:u w:val="none"/>
                <w:lang w:val="en-US" w:eastAsia="zh-CN" w:bidi="ar"/>
              </w:rPr>
              <w:t>下件</w:t>
            </w:r>
          </w:p>
        </w:tc>
        <w:tc>
          <w:tcPr>
            <w:tcW w:w="1164" w:type="dxa"/>
            <w:tcBorders>
              <w:top w:val="single" w:color="000000" w:sz="4" w:space="0"/>
              <w:left w:val="single" w:color="auto"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r>
              <w:rPr>
                <w:rFonts w:hint="eastAsia" w:ascii="宋体" w:hAnsi="宋体" w:eastAsia="宋体" w:cs="宋体"/>
                <w:b w:val="0"/>
                <w:bCs/>
                <w:color w:val="auto"/>
                <w:kern w:val="0"/>
                <w:sz w:val="21"/>
                <w:szCs w:val="21"/>
                <w:highlight w:val="none"/>
                <w:u w:val="none"/>
                <w:lang w:val="en-US" w:eastAsia="zh-CN" w:bidi="ar"/>
              </w:rPr>
              <w:t>1</w:t>
            </w:r>
          </w:p>
        </w:tc>
        <w:tc>
          <w:tcPr>
            <w:tcW w:w="1200" w:type="dxa"/>
            <w:tcBorders>
              <w:top w:val="single" w:color="000000" w:sz="4" w:space="0"/>
              <w:left w:val="single" w:color="auto"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r>
              <w:rPr>
                <w:rFonts w:hint="eastAsia" w:ascii="宋体" w:hAnsi="宋体" w:eastAsia="宋体" w:cs="宋体"/>
                <w:b w:val="0"/>
                <w:bCs/>
                <w:color w:val="auto"/>
                <w:kern w:val="0"/>
                <w:sz w:val="21"/>
                <w:szCs w:val="21"/>
                <w:highlight w:val="none"/>
                <w:u w:val="none"/>
                <w:lang w:val="en-US" w:eastAsia="zh-CN" w:bidi="ar"/>
              </w:rPr>
              <w:t>白班</w:t>
            </w:r>
          </w:p>
        </w:tc>
        <w:tc>
          <w:tcPr>
            <w:tcW w:w="1002" w:type="dxa"/>
            <w:tcBorders>
              <w:top w:val="single" w:color="000000" w:sz="4" w:space="0"/>
              <w:left w:val="single" w:color="auto"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p>
        </w:tc>
      </w:tr>
      <w:tr>
        <w:tblPrEx>
          <w:tblCellMar>
            <w:top w:w="15" w:type="dxa"/>
            <w:left w:w="15" w:type="dxa"/>
            <w:bottom w:w="15" w:type="dxa"/>
            <w:right w:w="15" w:type="dxa"/>
          </w:tblCellMar>
        </w:tblPrEx>
        <w:trPr>
          <w:trHeight w:val="419" w:hRule="atLeast"/>
        </w:trPr>
        <w:tc>
          <w:tcPr>
            <w:tcW w:w="135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r>
              <w:rPr>
                <w:rFonts w:hint="eastAsia" w:ascii="宋体" w:hAnsi="宋体" w:eastAsia="宋体" w:cs="宋体"/>
                <w:b w:val="0"/>
                <w:bCs/>
                <w:color w:val="auto"/>
                <w:kern w:val="0"/>
                <w:sz w:val="21"/>
                <w:szCs w:val="21"/>
                <w:highlight w:val="none"/>
                <w:u w:val="none"/>
                <w:lang w:bidi="ar"/>
              </w:rPr>
              <w:t>4</w:t>
            </w:r>
          </w:p>
        </w:tc>
        <w:tc>
          <w:tcPr>
            <w:tcW w:w="1169"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p>
        </w:tc>
        <w:tc>
          <w:tcPr>
            <w:tcW w:w="1188" w:type="dxa"/>
            <w:vMerge w:val="restart"/>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r>
              <w:rPr>
                <w:rFonts w:hint="eastAsia" w:ascii="宋体" w:hAnsi="宋体" w:eastAsia="宋体" w:cs="宋体"/>
                <w:b w:val="0"/>
                <w:bCs/>
                <w:color w:val="auto"/>
                <w:kern w:val="0"/>
                <w:sz w:val="21"/>
                <w:szCs w:val="21"/>
                <w:highlight w:val="none"/>
                <w:u w:val="none"/>
                <w:lang w:val="en-US" w:eastAsia="zh-CN" w:bidi="ar"/>
              </w:rPr>
              <w:t>辅助人员</w:t>
            </w:r>
          </w:p>
        </w:tc>
        <w:tc>
          <w:tcPr>
            <w:tcW w:w="1716"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r>
              <w:rPr>
                <w:rFonts w:hint="eastAsia" w:ascii="宋体" w:hAnsi="宋体" w:eastAsia="宋体" w:cs="宋体"/>
                <w:b w:val="0"/>
                <w:bCs/>
                <w:color w:val="auto"/>
                <w:kern w:val="0"/>
                <w:sz w:val="21"/>
                <w:szCs w:val="21"/>
                <w:highlight w:val="none"/>
                <w:u w:val="none"/>
                <w:lang w:val="en-US" w:eastAsia="zh-CN" w:bidi="ar"/>
              </w:rPr>
              <w:t>叉车周转</w:t>
            </w:r>
          </w:p>
        </w:tc>
        <w:tc>
          <w:tcPr>
            <w:tcW w:w="1164" w:type="dxa"/>
            <w:tcBorders>
              <w:top w:val="single" w:color="000000" w:sz="4" w:space="0"/>
              <w:left w:val="single" w:color="auto"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r>
              <w:rPr>
                <w:rFonts w:hint="eastAsia" w:ascii="宋体" w:hAnsi="宋体" w:eastAsia="宋体" w:cs="宋体"/>
                <w:b w:val="0"/>
                <w:bCs/>
                <w:color w:val="auto"/>
                <w:kern w:val="0"/>
                <w:sz w:val="21"/>
                <w:szCs w:val="21"/>
                <w:highlight w:val="none"/>
                <w:u w:val="none"/>
                <w:lang w:val="en-US" w:eastAsia="zh-CN" w:bidi="ar"/>
              </w:rPr>
              <w:t>1</w:t>
            </w:r>
          </w:p>
        </w:tc>
        <w:tc>
          <w:tcPr>
            <w:tcW w:w="1200" w:type="dxa"/>
            <w:tcBorders>
              <w:top w:val="single" w:color="000000" w:sz="4" w:space="0"/>
              <w:left w:val="single" w:color="auto"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r>
              <w:rPr>
                <w:rFonts w:hint="eastAsia" w:ascii="宋体" w:hAnsi="宋体" w:eastAsia="宋体" w:cs="宋体"/>
                <w:b w:val="0"/>
                <w:bCs/>
                <w:color w:val="auto"/>
                <w:kern w:val="0"/>
                <w:sz w:val="21"/>
                <w:szCs w:val="21"/>
                <w:highlight w:val="none"/>
                <w:u w:val="none"/>
                <w:lang w:val="en-US" w:eastAsia="zh-CN" w:bidi="ar"/>
              </w:rPr>
              <w:t>白班</w:t>
            </w:r>
          </w:p>
        </w:tc>
        <w:tc>
          <w:tcPr>
            <w:tcW w:w="1002" w:type="dxa"/>
            <w:tcBorders>
              <w:top w:val="single" w:color="000000" w:sz="4" w:space="0"/>
              <w:left w:val="single" w:color="auto"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p>
        </w:tc>
      </w:tr>
      <w:tr>
        <w:tblPrEx>
          <w:tblCellMar>
            <w:top w:w="15" w:type="dxa"/>
            <w:left w:w="15" w:type="dxa"/>
            <w:bottom w:w="15" w:type="dxa"/>
            <w:right w:w="15" w:type="dxa"/>
          </w:tblCellMar>
        </w:tblPrEx>
        <w:trPr>
          <w:trHeight w:val="419" w:hRule="atLeast"/>
        </w:trPr>
        <w:tc>
          <w:tcPr>
            <w:tcW w:w="135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r>
              <w:rPr>
                <w:rFonts w:hint="eastAsia" w:ascii="宋体" w:hAnsi="宋体" w:eastAsia="宋体" w:cs="宋体"/>
                <w:b w:val="0"/>
                <w:bCs/>
                <w:color w:val="auto"/>
                <w:kern w:val="0"/>
                <w:sz w:val="21"/>
                <w:szCs w:val="21"/>
                <w:highlight w:val="none"/>
                <w:u w:val="none"/>
                <w:lang w:val="en-US" w:eastAsia="zh-CN" w:bidi="ar"/>
              </w:rPr>
              <w:t>5</w:t>
            </w:r>
          </w:p>
        </w:tc>
        <w:tc>
          <w:tcPr>
            <w:tcW w:w="1169"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p>
        </w:tc>
        <w:tc>
          <w:tcPr>
            <w:tcW w:w="1188"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p>
        </w:tc>
        <w:tc>
          <w:tcPr>
            <w:tcW w:w="1716"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r>
              <w:rPr>
                <w:rFonts w:hint="eastAsia" w:ascii="宋体" w:hAnsi="宋体" w:eastAsia="宋体" w:cs="宋体"/>
                <w:b w:val="0"/>
                <w:bCs/>
                <w:color w:val="auto"/>
                <w:kern w:val="0"/>
                <w:sz w:val="21"/>
                <w:szCs w:val="21"/>
                <w:highlight w:val="none"/>
                <w:u w:val="none"/>
                <w:lang w:val="en-US" w:eastAsia="zh-CN" w:bidi="ar"/>
              </w:rPr>
              <w:t>行车周转</w:t>
            </w:r>
          </w:p>
        </w:tc>
        <w:tc>
          <w:tcPr>
            <w:tcW w:w="1164" w:type="dxa"/>
            <w:tcBorders>
              <w:top w:val="single" w:color="000000" w:sz="4" w:space="0"/>
              <w:left w:val="single" w:color="auto"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r>
              <w:rPr>
                <w:rFonts w:hint="eastAsia" w:ascii="宋体" w:hAnsi="宋体" w:eastAsia="宋体" w:cs="宋体"/>
                <w:b w:val="0"/>
                <w:bCs/>
                <w:color w:val="auto"/>
                <w:kern w:val="0"/>
                <w:sz w:val="21"/>
                <w:szCs w:val="21"/>
                <w:highlight w:val="none"/>
                <w:u w:val="none"/>
                <w:lang w:val="en-US" w:eastAsia="zh-CN" w:bidi="ar"/>
              </w:rPr>
              <w:t>1</w:t>
            </w:r>
          </w:p>
        </w:tc>
        <w:tc>
          <w:tcPr>
            <w:tcW w:w="1200" w:type="dxa"/>
            <w:tcBorders>
              <w:top w:val="single" w:color="000000" w:sz="4" w:space="0"/>
              <w:left w:val="single" w:color="auto"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r>
              <w:rPr>
                <w:rFonts w:hint="eastAsia" w:ascii="宋体" w:hAnsi="宋体" w:eastAsia="宋体" w:cs="宋体"/>
                <w:b w:val="0"/>
                <w:bCs/>
                <w:color w:val="auto"/>
                <w:kern w:val="0"/>
                <w:sz w:val="21"/>
                <w:szCs w:val="21"/>
                <w:highlight w:val="none"/>
                <w:u w:val="none"/>
                <w:lang w:val="en-US" w:eastAsia="zh-CN" w:bidi="ar"/>
              </w:rPr>
              <w:t>白班</w:t>
            </w:r>
          </w:p>
        </w:tc>
        <w:tc>
          <w:tcPr>
            <w:tcW w:w="1002" w:type="dxa"/>
            <w:tcBorders>
              <w:top w:val="single" w:color="000000" w:sz="4" w:space="0"/>
              <w:left w:val="single" w:color="auto"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p>
        </w:tc>
      </w:tr>
      <w:tr>
        <w:tblPrEx>
          <w:tblCellMar>
            <w:top w:w="15" w:type="dxa"/>
            <w:left w:w="15" w:type="dxa"/>
            <w:bottom w:w="15" w:type="dxa"/>
            <w:right w:w="15" w:type="dxa"/>
          </w:tblCellMar>
        </w:tblPrEx>
        <w:trPr>
          <w:trHeight w:val="419" w:hRule="atLeast"/>
        </w:trPr>
        <w:tc>
          <w:tcPr>
            <w:tcW w:w="135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r>
              <w:rPr>
                <w:rFonts w:hint="eastAsia" w:ascii="宋体" w:hAnsi="宋体" w:eastAsia="宋体" w:cs="宋体"/>
                <w:b w:val="0"/>
                <w:bCs/>
                <w:color w:val="auto"/>
                <w:kern w:val="0"/>
                <w:sz w:val="21"/>
                <w:szCs w:val="21"/>
                <w:highlight w:val="none"/>
                <w:u w:val="none"/>
                <w:lang w:val="en-US" w:eastAsia="zh-CN" w:bidi="ar"/>
              </w:rPr>
              <w:t>6</w:t>
            </w:r>
          </w:p>
        </w:tc>
        <w:tc>
          <w:tcPr>
            <w:tcW w:w="1169"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p>
        </w:tc>
        <w:tc>
          <w:tcPr>
            <w:tcW w:w="1188"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p>
        </w:tc>
        <w:tc>
          <w:tcPr>
            <w:tcW w:w="1716"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r>
              <w:rPr>
                <w:rFonts w:hint="eastAsia" w:ascii="宋体" w:hAnsi="宋体" w:eastAsia="宋体" w:cs="宋体"/>
                <w:b w:val="0"/>
                <w:bCs/>
                <w:color w:val="auto"/>
                <w:kern w:val="0"/>
                <w:sz w:val="21"/>
                <w:szCs w:val="21"/>
                <w:highlight w:val="none"/>
                <w:u w:val="none"/>
                <w:lang w:val="en-US" w:eastAsia="zh-CN" w:bidi="ar"/>
              </w:rPr>
              <w:t>设备保养</w:t>
            </w:r>
          </w:p>
        </w:tc>
        <w:tc>
          <w:tcPr>
            <w:tcW w:w="1164" w:type="dxa"/>
            <w:tcBorders>
              <w:top w:val="single" w:color="000000" w:sz="4" w:space="0"/>
              <w:left w:val="single" w:color="auto"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r>
              <w:rPr>
                <w:rFonts w:hint="eastAsia" w:ascii="宋体" w:hAnsi="宋体" w:eastAsia="宋体" w:cs="宋体"/>
                <w:b w:val="0"/>
                <w:bCs/>
                <w:color w:val="auto"/>
                <w:kern w:val="0"/>
                <w:sz w:val="21"/>
                <w:szCs w:val="21"/>
                <w:highlight w:val="none"/>
                <w:u w:val="none"/>
                <w:lang w:val="en-US" w:eastAsia="zh-CN" w:bidi="ar"/>
              </w:rPr>
              <w:t>1</w:t>
            </w:r>
          </w:p>
        </w:tc>
        <w:tc>
          <w:tcPr>
            <w:tcW w:w="1200" w:type="dxa"/>
            <w:tcBorders>
              <w:top w:val="single" w:color="000000" w:sz="4" w:space="0"/>
              <w:left w:val="single" w:color="auto"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r>
              <w:rPr>
                <w:rFonts w:hint="eastAsia" w:ascii="宋体" w:hAnsi="宋体" w:eastAsia="宋体" w:cs="宋体"/>
                <w:b w:val="0"/>
                <w:bCs/>
                <w:color w:val="auto"/>
                <w:kern w:val="0"/>
                <w:sz w:val="21"/>
                <w:szCs w:val="21"/>
                <w:highlight w:val="none"/>
                <w:u w:val="none"/>
                <w:lang w:val="en-US" w:eastAsia="zh-CN" w:bidi="ar"/>
              </w:rPr>
              <w:t>白班</w:t>
            </w:r>
          </w:p>
        </w:tc>
        <w:tc>
          <w:tcPr>
            <w:tcW w:w="1002" w:type="dxa"/>
            <w:tcBorders>
              <w:top w:val="single" w:color="000000" w:sz="4" w:space="0"/>
              <w:left w:val="single" w:color="auto"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p>
        </w:tc>
      </w:tr>
      <w:tr>
        <w:tblPrEx>
          <w:tblCellMar>
            <w:top w:w="15" w:type="dxa"/>
            <w:left w:w="15" w:type="dxa"/>
            <w:bottom w:w="15" w:type="dxa"/>
            <w:right w:w="15" w:type="dxa"/>
          </w:tblCellMar>
        </w:tblPrEx>
        <w:trPr>
          <w:trHeight w:val="419" w:hRule="atLeast"/>
        </w:trPr>
        <w:tc>
          <w:tcPr>
            <w:tcW w:w="135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r>
              <w:rPr>
                <w:rFonts w:hint="eastAsia" w:ascii="宋体" w:hAnsi="宋体" w:eastAsia="宋体" w:cs="宋体"/>
                <w:b w:val="0"/>
                <w:bCs/>
                <w:color w:val="auto"/>
                <w:kern w:val="0"/>
                <w:sz w:val="21"/>
                <w:szCs w:val="21"/>
                <w:highlight w:val="none"/>
                <w:u w:val="none"/>
                <w:lang w:val="en-US" w:eastAsia="zh-CN" w:bidi="ar"/>
              </w:rPr>
              <w:t>7</w:t>
            </w:r>
          </w:p>
        </w:tc>
        <w:tc>
          <w:tcPr>
            <w:tcW w:w="1169" w:type="dxa"/>
            <w:vMerge w:val="restart"/>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r>
              <w:rPr>
                <w:rFonts w:hint="eastAsia" w:ascii="宋体" w:hAnsi="宋体" w:eastAsia="宋体" w:cs="宋体"/>
                <w:b w:val="0"/>
                <w:bCs/>
                <w:color w:val="auto"/>
                <w:kern w:val="0"/>
                <w:sz w:val="21"/>
                <w:szCs w:val="21"/>
                <w:highlight w:val="none"/>
                <w:u w:val="none"/>
                <w:lang w:val="en-US" w:eastAsia="zh-CN" w:bidi="ar"/>
              </w:rPr>
              <w:t>骑马螺栓抛丸线</w:t>
            </w:r>
            <w:r>
              <w:rPr>
                <w:rFonts w:hint="eastAsia" w:ascii="宋体" w:hAnsi="宋体" w:eastAsia="宋体" w:cs="宋体"/>
                <w:b w:val="0"/>
                <w:bCs/>
                <w:color w:val="auto"/>
                <w:kern w:val="0"/>
                <w:sz w:val="21"/>
                <w:szCs w:val="21"/>
                <w:highlight w:val="none"/>
                <w:u w:val="none"/>
                <w:lang w:val="en-US" w:eastAsia="zh-CN" w:bidi="ar"/>
              </w:rPr>
              <w:br w:type="textWrapping"/>
            </w:r>
            <w:r>
              <w:rPr>
                <w:rFonts w:hint="eastAsia" w:ascii="宋体" w:hAnsi="宋体" w:eastAsia="宋体" w:cs="宋体"/>
                <w:b w:val="0"/>
                <w:bCs/>
                <w:color w:val="auto"/>
                <w:kern w:val="0"/>
                <w:sz w:val="21"/>
                <w:szCs w:val="21"/>
                <w:highlight w:val="none"/>
                <w:u w:val="none"/>
                <w:lang w:val="en-US" w:eastAsia="zh-CN" w:bidi="ar"/>
              </w:rPr>
              <w:t>（单班）</w:t>
            </w:r>
          </w:p>
        </w:tc>
        <w:tc>
          <w:tcPr>
            <w:tcW w:w="1188" w:type="dxa"/>
            <w:vMerge w:val="restart"/>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r>
              <w:rPr>
                <w:rFonts w:hint="eastAsia" w:ascii="宋体" w:hAnsi="宋体" w:eastAsia="宋体" w:cs="宋体"/>
                <w:b w:val="0"/>
                <w:bCs/>
                <w:color w:val="auto"/>
                <w:kern w:val="0"/>
                <w:sz w:val="21"/>
                <w:szCs w:val="21"/>
                <w:highlight w:val="none"/>
                <w:u w:val="none"/>
                <w:lang w:val="en-US" w:eastAsia="zh-CN" w:bidi="ar"/>
              </w:rPr>
              <w:t>工艺人员</w:t>
            </w:r>
          </w:p>
        </w:tc>
        <w:tc>
          <w:tcPr>
            <w:tcW w:w="1716"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r>
              <w:rPr>
                <w:rFonts w:hint="eastAsia" w:ascii="宋体" w:hAnsi="宋体" w:eastAsia="宋体" w:cs="宋体"/>
                <w:b w:val="0"/>
                <w:bCs/>
                <w:color w:val="auto"/>
                <w:kern w:val="0"/>
                <w:sz w:val="21"/>
                <w:szCs w:val="21"/>
                <w:highlight w:val="none"/>
                <w:u w:val="none"/>
                <w:lang w:val="en-US" w:eastAsia="zh-CN" w:bidi="ar"/>
              </w:rPr>
              <w:t>上件</w:t>
            </w:r>
          </w:p>
        </w:tc>
        <w:tc>
          <w:tcPr>
            <w:tcW w:w="1164" w:type="dxa"/>
            <w:tcBorders>
              <w:top w:val="single" w:color="000000" w:sz="4" w:space="0"/>
              <w:left w:val="single" w:color="auto"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r>
              <w:rPr>
                <w:rFonts w:hint="eastAsia" w:ascii="宋体" w:hAnsi="宋体" w:eastAsia="宋体" w:cs="宋体"/>
                <w:b w:val="0"/>
                <w:bCs/>
                <w:color w:val="auto"/>
                <w:kern w:val="0"/>
                <w:sz w:val="21"/>
                <w:szCs w:val="21"/>
                <w:highlight w:val="none"/>
                <w:u w:val="none"/>
                <w:lang w:val="en-US" w:eastAsia="zh-CN" w:bidi="ar"/>
              </w:rPr>
              <w:t>4</w:t>
            </w:r>
          </w:p>
        </w:tc>
        <w:tc>
          <w:tcPr>
            <w:tcW w:w="1200" w:type="dxa"/>
            <w:tcBorders>
              <w:top w:val="single" w:color="000000" w:sz="4" w:space="0"/>
              <w:left w:val="single" w:color="auto"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r>
              <w:rPr>
                <w:rFonts w:hint="eastAsia" w:ascii="宋体" w:hAnsi="宋体" w:eastAsia="宋体" w:cs="宋体"/>
                <w:b w:val="0"/>
                <w:bCs/>
                <w:color w:val="auto"/>
                <w:kern w:val="0"/>
                <w:sz w:val="21"/>
                <w:szCs w:val="21"/>
                <w:highlight w:val="none"/>
                <w:u w:val="none"/>
                <w:lang w:val="en-US" w:eastAsia="zh-CN" w:bidi="ar"/>
              </w:rPr>
              <w:t>白班</w:t>
            </w:r>
          </w:p>
        </w:tc>
        <w:tc>
          <w:tcPr>
            <w:tcW w:w="1002" w:type="dxa"/>
            <w:tcBorders>
              <w:top w:val="single" w:color="000000" w:sz="4" w:space="0"/>
              <w:left w:val="single" w:color="auto"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p>
        </w:tc>
      </w:tr>
      <w:tr>
        <w:tblPrEx>
          <w:tblCellMar>
            <w:top w:w="15" w:type="dxa"/>
            <w:left w:w="15" w:type="dxa"/>
            <w:bottom w:w="15" w:type="dxa"/>
            <w:right w:w="15" w:type="dxa"/>
          </w:tblCellMar>
        </w:tblPrEx>
        <w:trPr>
          <w:trHeight w:val="419" w:hRule="atLeast"/>
        </w:trPr>
        <w:tc>
          <w:tcPr>
            <w:tcW w:w="1355" w:type="dxa"/>
            <w:tcBorders>
              <w:top w:val="single" w:color="auto" w:sz="4" w:space="0"/>
              <w:left w:val="single" w:color="000000" w:sz="4" w:space="0"/>
              <w:bottom w:val="single" w:color="auto"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r>
              <w:rPr>
                <w:rFonts w:hint="eastAsia" w:ascii="宋体" w:hAnsi="宋体" w:eastAsia="宋体" w:cs="宋体"/>
                <w:b w:val="0"/>
                <w:bCs/>
                <w:color w:val="auto"/>
                <w:kern w:val="0"/>
                <w:sz w:val="21"/>
                <w:szCs w:val="21"/>
                <w:highlight w:val="none"/>
                <w:u w:val="none"/>
                <w:lang w:val="en-US" w:eastAsia="zh-CN" w:bidi="ar"/>
              </w:rPr>
              <w:t>8</w:t>
            </w:r>
          </w:p>
        </w:tc>
        <w:tc>
          <w:tcPr>
            <w:tcW w:w="1169" w:type="dxa"/>
            <w:vMerge w:val="continue"/>
            <w:tcBorders>
              <w:top w:val="single" w:color="auto" w:sz="4" w:space="0"/>
              <w:left w:val="single" w:color="000000" w:sz="4" w:space="0"/>
              <w:bottom w:val="single" w:color="auto"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p>
        </w:tc>
        <w:tc>
          <w:tcPr>
            <w:tcW w:w="1188" w:type="dxa"/>
            <w:vMerge w:val="continue"/>
            <w:tcBorders>
              <w:top w:val="single" w:color="auto" w:sz="4" w:space="0"/>
              <w:left w:val="single" w:color="000000" w:sz="4" w:space="0"/>
              <w:bottom w:val="single" w:color="auto"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p>
        </w:tc>
        <w:tc>
          <w:tcPr>
            <w:tcW w:w="1716" w:type="dxa"/>
            <w:tcBorders>
              <w:top w:val="single" w:color="auto" w:sz="4" w:space="0"/>
              <w:left w:val="single" w:color="000000" w:sz="4" w:space="0"/>
              <w:bottom w:val="single" w:color="auto"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r>
              <w:rPr>
                <w:rFonts w:hint="eastAsia" w:ascii="宋体" w:hAnsi="宋体" w:eastAsia="宋体" w:cs="宋体"/>
                <w:b w:val="0"/>
                <w:bCs/>
                <w:color w:val="auto"/>
                <w:kern w:val="0"/>
                <w:sz w:val="21"/>
                <w:szCs w:val="21"/>
                <w:highlight w:val="none"/>
                <w:u w:val="none"/>
                <w:lang w:val="en-US" w:eastAsia="zh-CN" w:bidi="ar"/>
              </w:rPr>
              <w:t>下件</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r>
              <w:rPr>
                <w:rFonts w:hint="eastAsia" w:ascii="宋体" w:hAnsi="宋体" w:eastAsia="宋体" w:cs="宋体"/>
                <w:b w:val="0"/>
                <w:bCs/>
                <w:color w:val="auto"/>
                <w:kern w:val="0"/>
                <w:sz w:val="21"/>
                <w:szCs w:val="21"/>
                <w:highlight w:val="none"/>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r>
              <w:rPr>
                <w:rFonts w:hint="eastAsia" w:ascii="宋体" w:hAnsi="宋体" w:eastAsia="宋体" w:cs="宋体"/>
                <w:b w:val="0"/>
                <w:bCs/>
                <w:color w:val="auto"/>
                <w:kern w:val="0"/>
                <w:sz w:val="21"/>
                <w:szCs w:val="21"/>
                <w:highlight w:val="none"/>
                <w:u w:val="none"/>
                <w:lang w:val="en-US" w:eastAsia="zh-CN" w:bidi="ar"/>
              </w:rPr>
              <w:t>白班</w:t>
            </w:r>
          </w:p>
        </w:tc>
        <w:tc>
          <w:tcPr>
            <w:tcW w:w="1002"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p>
        </w:tc>
      </w:tr>
      <w:tr>
        <w:tblPrEx>
          <w:tblCellMar>
            <w:top w:w="15" w:type="dxa"/>
            <w:left w:w="15" w:type="dxa"/>
            <w:bottom w:w="15" w:type="dxa"/>
            <w:right w:w="15" w:type="dxa"/>
          </w:tblCellMar>
        </w:tblPrEx>
        <w:trPr>
          <w:trHeight w:val="419" w:hRule="atLeast"/>
        </w:trPr>
        <w:tc>
          <w:tcPr>
            <w:tcW w:w="1355" w:type="dxa"/>
            <w:tcBorders>
              <w:top w:val="single" w:color="auto" w:sz="4" w:space="0"/>
              <w:left w:val="single" w:color="000000" w:sz="4" w:space="0"/>
              <w:bottom w:val="single" w:color="auto"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r>
              <w:rPr>
                <w:rFonts w:hint="eastAsia" w:ascii="宋体" w:hAnsi="宋体" w:eastAsia="宋体" w:cs="宋体"/>
                <w:b w:val="0"/>
                <w:bCs/>
                <w:color w:val="auto"/>
                <w:kern w:val="0"/>
                <w:sz w:val="21"/>
                <w:szCs w:val="21"/>
                <w:highlight w:val="none"/>
                <w:u w:val="none"/>
                <w:lang w:val="en-US" w:eastAsia="zh-CN" w:bidi="ar"/>
              </w:rPr>
              <w:t>9</w:t>
            </w:r>
          </w:p>
        </w:tc>
        <w:tc>
          <w:tcPr>
            <w:tcW w:w="1169" w:type="dxa"/>
            <w:vMerge w:val="continue"/>
            <w:tcBorders>
              <w:top w:val="single" w:color="auto" w:sz="4" w:space="0"/>
              <w:left w:val="single" w:color="000000" w:sz="4" w:space="0"/>
              <w:bottom w:val="single" w:color="auto"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p>
        </w:tc>
        <w:tc>
          <w:tcPr>
            <w:tcW w:w="1188" w:type="dxa"/>
            <w:vMerge w:val="restart"/>
            <w:tcBorders>
              <w:top w:val="single" w:color="auto" w:sz="4" w:space="0"/>
              <w:left w:val="single" w:color="000000" w:sz="4" w:space="0"/>
              <w:bottom w:val="single" w:color="auto"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r>
              <w:rPr>
                <w:rFonts w:hint="eastAsia" w:ascii="宋体" w:hAnsi="宋体" w:eastAsia="宋体" w:cs="宋体"/>
                <w:b w:val="0"/>
                <w:bCs/>
                <w:color w:val="auto"/>
                <w:kern w:val="0"/>
                <w:sz w:val="21"/>
                <w:szCs w:val="21"/>
                <w:highlight w:val="none"/>
                <w:u w:val="none"/>
                <w:lang w:val="en-US" w:eastAsia="zh-CN" w:bidi="ar"/>
              </w:rPr>
              <w:t>辅助人员</w:t>
            </w:r>
          </w:p>
        </w:tc>
        <w:tc>
          <w:tcPr>
            <w:tcW w:w="1716" w:type="dxa"/>
            <w:tcBorders>
              <w:top w:val="single" w:color="auto" w:sz="4" w:space="0"/>
              <w:left w:val="single" w:color="000000" w:sz="4" w:space="0"/>
              <w:bottom w:val="single" w:color="auto"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r>
              <w:rPr>
                <w:rFonts w:hint="eastAsia" w:ascii="宋体" w:hAnsi="宋体" w:eastAsia="宋体" w:cs="宋体"/>
                <w:b w:val="0"/>
                <w:bCs/>
                <w:color w:val="auto"/>
                <w:kern w:val="0"/>
                <w:sz w:val="21"/>
                <w:szCs w:val="21"/>
                <w:highlight w:val="none"/>
                <w:u w:val="none"/>
                <w:lang w:val="en-US" w:eastAsia="zh-CN" w:bidi="ar"/>
              </w:rPr>
              <w:t>叉车周转</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r>
              <w:rPr>
                <w:rFonts w:hint="eastAsia" w:ascii="宋体" w:hAnsi="宋体" w:eastAsia="宋体" w:cs="宋体"/>
                <w:b w:val="0"/>
                <w:bCs/>
                <w:color w:val="auto"/>
                <w:kern w:val="0"/>
                <w:sz w:val="21"/>
                <w:szCs w:val="21"/>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r>
              <w:rPr>
                <w:rFonts w:hint="eastAsia" w:ascii="宋体" w:hAnsi="宋体" w:eastAsia="宋体" w:cs="宋体"/>
                <w:b w:val="0"/>
                <w:bCs/>
                <w:color w:val="auto"/>
                <w:kern w:val="0"/>
                <w:sz w:val="21"/>
                <w:szCs w:val="21"/>
                <w:highlight w:val="none"/>
                <w:u w:val="none"/>
                <w:lang w:val="en-US" w:eastAsia="zh-CN" w:bidi="ar"/>
              </w:rPr>
              <w:t>白班</w:t>
            </w:r>
          </w:p>
        </w:tc>
        <w:tc>
          <w:tcPr>
            <w:tcW w:w="1002"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p>
        </w:tc>
      </w:tr>
      <w:tr>
        <w:tblPrEx>
          <w:tblCellMar>
            <w:top w:w="15" w:type="dxa"/>
            <w:left w:w="15" w:type="dxa"/>
            <w:bottom w:w="15" w:type="dxa"/>
            <w:right w:w="15" w:type="dxa"/>
          </w:tblCellMar>
        </w:tblPrEx>
        <w:trPr>
          <w:trHeight w:val="419" w:hRule="atLeast"/>
        </w:trPr>
        <w:tc>
          <w:tcPr>
            <w:tcW w:w="1355" w:type="dxa"/>
            <w:tcBorders>
              <w:top w:val="single" w:color="auto" w:sz="4" w:space="0"/>
              <w:left w:val="single" w:color="000000" w:sz="4" w:space="0"/>
              <w:bottom w:val="single" w:color="auto"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r>
              <w:rPr>
                <w:rFonts w:hint="eastAsia" w:ascii="宋体" w:hAnsi="宋体" w:eastAsia="宋体" w:cs="宋体"/>
                <w:b w:val="0"/>
                <w:bCs/>
                <w:color w:val="auto"/>
                <w:kern w:val="0"/>
                <w:sz w:val="21"/>
                <w:szCs w:val="21"/>
                <w:highlight w:val="none"/>
                <w:u w:val="none"/>
                <w:lang w:val="en-US" w:eastAsia="zh-CN" w:bidi="ar"/>
              </w:rPr>
              <w:t>10</w:t>
            </w:r>
          </w:p>
        </w:tc>
        <w:tc>
          <w:tcPr>
            <w:tcW w:w="1169" w:type="dxa"/>
            <w:vMerge w:val="continue"/>
            <w:tcBorders>
              <w:top w:val="single" w:color="auto" w:sz="4" w:space="0"/>
              <w:left w:val="single" w:color="000000" w:sz="4" w:space="0"/>
              <w:bottom w:val="single" w:color="auto"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p>
        </w:tc>
        <w:tc>
          <w:tcPr>
            <w:tcW w:w="1188" w:type="dxa"/>
            <w:vMerge w:val="continue"/>
            <w:tcBorders>
              <w:top w:val="single" w:color="auto" w:sz="4" w:space="0"/>
              <w:left w:val="single" w:color="000000" w:sz="4" w:space="0"/>
              <w:bottom w:val="single" w:color="auto"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p>
        </w:tc>
        <w:tc>
          <w:tcPr>
            <w:tcW w:w="1716" w:type="dxa"/>
            <w:tcBorders>
              <w:top w:val="single" w:color="auto" w:sz="4" w:space="0"/>
              <w:left w:val="single" w:color="000000" w:sz="4" w:space="0"/>
              <w:bottom w:val="single" w:color="auto"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r>
              <w:rPr>
                <w:rFonts w:hint="eastAsia" w:ascii="宋体" w:hAnsi="宋体" w:eastAsia="宋体" w:cs="宋体"/>
                <w:b w:val="0"/>
                <w:bCs/>
                <w:color w:val="auto"/>
                <w:kern w:val="0"/>
                <w:sz w:val="21"/>
                <w:szCs w:val="21"/>
                <w:highlight w:val="none"/>
                <w:u w:val="none"/>
                <w:lang w:val="en-US" w:eastAsia="zh-CN" w:bidi="ar"/>
              </w:rPr>
              <w:t>设备维修</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bidi="ar"/>
              </w:rPr>
            </w:pPr>
            <w:r>
              <w:rPr>
                <w:rFonts w:hint="eastAsia" w:ascii="宋体" w:hAnsi="宋体" w:eastAsia="宋体" w:cs="宋体"/>
                <w:b w:val="0"/>
                <w:bCs/>
                <w:color w:val="auto"/>
                <w:kern w:val="0"/>
                <w:sz w:val="21"/>
                <w:szCs w:val="21"/>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r>
              <w:rPr>
                <w:rFonts w:hint="eastAsia" w:ascii="宋体" w:hAnsi="宋体" w:eastAsia="宋体" w:cs="宋体"/>
                <w:b w:val="0"/>
                <w:bCs/>
                <w:color w:val="auto"/>
                <w:kern w:val="0"/>
                <w:sz w:val="21"/>
                <w:szCs w:val="21"/>
                <w:highlight w:val="none"/>
                <w:u w:val="none"/>
                <w:lang w:val="en-US" w:eastAsia="zh-CN" w:bidi="ar"/>
              </w:rPr>
              <w:t>白班</w:t>
            </w:r>
          </w:p>
        </w:tc>
        <w:tc>
          <w:tcPr>
            <w:tcW w:w="1002"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p>
        </w:tc>
      </w:tr>
      <w:tr>
        <w:tblPrEx>
          <w:tblCellMar>
            <w:top w:w="15" w:type="dxa"/>
            <w:left w:w="15" w:type="dxa"/>
            <w:bottom w:w="15" w:type="dxa"/>
            <w:right w:w="15" w:type="dxa"/>
          </w:tblCellMar>
        </w:tblPrEx>
        <w:trPr>
          <w:trHeight w:val="419" w:hRule="atLeast"/>
        </w:trPr>
        <w:tc>
          <w:tcPr>
            <w:tcW w:w="5428" w:type="dxa"/>
            <w:gridSpan w:val="4"/>
            <w:tcBorders>
              <w:top w:val="single" w:color="auto" w:sz="4" w:space="0"/>
              <w:left w:val="single" w:color="000000" w:sz="4" w:space="0"/>
              <w:bottom w:val="single" w:color="auto"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r>
              <w:rPr>
                <w:rFonts w:hint="eastAsia" w:ascii="宋体" w:hAnsi="宋体" w:eastAsia="宋体" w:cs="宋体"/>
                <w:b w:val="0"/>
                <w:bCs/>
                <w:color w:val="auto"/>
                <w:kern w:val="0"/>
                <w:sz w:val="21"/>
                <w:szCs w:val="21"/>
                <w:highlight w:val="none"/>
                <w:u w:val="none"/>
                <w:lang w:val="en-US" w:eastAsia="zh-CN" w:bidi="ar"/>
              </w:rPr>
              <w:t>合计</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r>
              <w:rPr>
                <w:rFonts w:hint="eastAsia" w:ascii="宋体" w:hAnsi="宋体" w:eastAsia="宋体" w:cs="宋体"/>
                <w:b w:val="0"/>
                <w:bCs/>
                <w:color w:val="auto"/>
                <w:kern w:val="0"/>
                <w:sz w:val="21"/>
                <w:szCs w:val="21"/>
                <w:highlight w:val="none"/>
                <w:u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b w:val="0"/>
                <w:bCs/>
                <w:color w:val="auto"/>
                <w:kern w:val="0"/>
                <w:sz w:val="21"/>
                <w:szCs w:val="21"/>
                <w:highlight w:val="none"/>
                <w:u w:val="none"/>
                <w:lang w:val="en-US" w:eastAsia="zh-CN" w:bidi="ar"/>
              </w:rPr>
            </w:pPr>
          </w:p>
        </w:tc>
      </w:tr>
    </w:tbl>
    <w:p>
      <w:pPr>
        <w:pStyle w:val="9"/>
        <w:pageBreakBefore w:val="0"/>
        <w:kinsoku/>
        <w:wordWrap/>
        <w:overflowPunct/>
        <w:topLinePunct w:val="0"/>
        <w:bidi w:val="0"/>
        <w:spacing w:line="300" w:lineRule="auto"/>
        <w:rPr>
          <w:rFonts w:hint="eastAsia"/>
          <w:color w:val="auto"/>
          <w:highlight w:val="none"/>
          <w:u w:val="none"/>
        </w:rPr>
      </w:pPr>
    </w:p>
    <w:p>
      <w:pPr>
        <w:pageBreakBefore w:val="0"/>
        <w:kinsoku/>
        <w:wordWrap/>
        <w:overflowPunct/>
        <w:topLinePunct w:val="0"/>
        <w:bidi w:val="0"/>
        <w:spacing w:line="30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2.用工年龄要求：</w:t>
      </w:r>
    </w:p>
    <w:p>
      <w:pPr>
        <w:pageBreakBefore w:val="0"/>
        <w:kinsoku/>
        <w:wordWrap/>
        <w:overflowPunct/>
        <w:topLinePunct w:val="0"/>
        <w:bidi w:val="0"/>
        <w:spacing w:line="30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女性低于50岁，男性低于60岁，且身体健康，无潜在疾病，上岗前需提供身份证信息及健康合格查体报告和职业病医院查体合格报告。</w:t>
      </w:r>
    </w:p>
    <w:p>
      <w:pPr>
        <w:pageBreakBefore w:val="0"/>
        <w:kinsoku/>
        <w:wordWrap/>
        <w:overflowPunct/>
        <w:topLinePunct w:val="0"/>
        <w:bidi w:val="0"/>
        <w:spacing w:line="300" w:lineRule="auto"/>
        <w:ind w:firstLine="420" w:firstLineChars="200"/>
        <w:rPr>
          <w:color w:val="auto"/>
          <w:highlight w:val="none"/>
          <w:u w:val="none"/>
        </w:rPr>
      </w:pPr>
      <w:r>
        <w:rPr>
          <w:rFonts w:hint="eastAsia" w:ascii="宋体" w:hAnsi="宋体"/>
          <w:color w:val="auto"/>
          <w:szCs w:val="21"/>
          <w:highlight w:val="none"/>
          <w:u w:val="none"/>
        </w:rPr>
        <w:t>3.中标方需承诺人员到齐时间，招标人需求为一周内到齐。</w:t>
      </w:r>
      <w:r>
        <w:rPr>
          <w:rFonts w:ascii="宋体" w:hAnsi="宋体"/>
          <w:color w:val="auto"/>
          <w:szCs w:val="21"/>
          <w:highlight w:val="none"/>
          <w:u w:val="none"/>
        </w:rPr>
        <w:t>投标方需通过现场考察确定人员数量，可根据实际生产情况调整，但不允许因人员问题耽误生产节拍。另外，到生产现场了解具体产品及生产情况，在满足生产节拍及</w:t>
      </w:r>
      <w:r>
        <w:rPr>
          <w:rFonts w:hint="eastAsia" w:ascii="宋体" w:hAnsi="宋体"/>
          <w:color w:val="auto"/>
          <w:szCs w:val="21"/>
          <w:highlight w:val="none"/>
          <w:u w:val="none"/>
        </w:rPr>
        <w:t>喷涂</w:t>
      </w:r>
      <w:r>
        <w:rPr>
          <w:rFonts w:ascii="宋体" w:hAnsi="宋体"/>
          <w:color w:val="auto"/>
          <w:szCs w:val="21"/>
          <w:highlight w:val="none"/>
          <w:u w:val="none"/>
        </w:rPr>
        <w:t>质量的情况下，确定合理的人数将有助于投标方做出合理的投标报价，从而有助于中标。</w:t>
      </w:r>
    </w:p>
    <w:p>
      <w:pPr>
        <w:pStyle w:val="10"/>
        <w:pageBreakBefore w:val="0"/>
        <w:kinsoku/>
        <w:wordWrap/>
        <w:overflowPunct/>
        <w:topLinePunct w:val="0"/>
        <w:bidi w:val="0"/>
        <w:spacing w:line="300" w:lineRule="auto"/>
        <w:rPr>
          <w:rFonts w:ascii="黑体" w:eastAsia="黑体"/>
          <w:b/>
          <w:bCs/>
          <w:color w:val="auto"/>
          <w:sz w:val="28"/>
          <w:highlight w:val="none"/>
          <w:u w:val="none"/>
        </w:rPr>
      </w:pPr>
      <w:r>
        <w:rPr>
          <w:rFonts w:hint="eastAsia" w:ascii="黑体" w:eastAsia="黑体"/>
          <w:b/>
          <w:bCs/>
          <w:color w:val="auto"/>
          <w:sz w:val="28"/>
          <w:highlight w:val="none"/>
          <w:u w:val="none"/>
        </w:rPr>
        <w:t>三、招标形式</w:t>
      </w:r>
    </w:p>
    <w:p>
      <w:pPr>
        <w:pStyle w:val="10"/>
        <w:pageBreakBefore w:val="0"/>
        <w:kinsoku/>
        <w:wordWrap/>
        <w:overflowPunct/>
        <w:topLinePunct w:val="0"/>
        <w:bidi w:val="0"/>
        <w:spacing w:line="300" w:lineRule="auto"/>
        <w:ind w:firstLine="420" w:firstLineChars="200"/>
        <w:rPr>
          <w:color w:val="auto"/>
          <w:highlight w:val="none"/>
          <w:u w:val="none"/>
        </w:rPr>
      </w:pPr>
      <w:r>
        <w:rPr>
          <w:rFonts w:hint="eastAsia"/>
          <w:color w:val="auto"/>
          <w:highlight w:val="none"/>
          <w:u w:val="none"/>
        </w:rPr>
        <w:t>招标形式：公开招标。</w:t>
      </w:r>
    </w:p>
    <w:p>
      <w:pPr>
        <w:pStyle w:val="10"/>
        <w:pageBreakBefore w:val="0"/>
        <w:kinsoku/>
        <w:wordWrap/>
        <w:overflowPunct/>
        <w:topLinePunct w:val="0"/>
        <w:bidi w:val="0"/>
        <w:spacing w:line="300" w:lineRule="auto"/>
        <w:rPr>
          <w:rFonts w:ascii="黑体" w:eastAsia="黑体"/>
          <w:b/>
          <w:bCs/>
          <w:color w:val="auto"/>
          <w:sz w:val="28"/>
          <w:highlight w:val="none"/>
          <w:u w:val="none"/>
        </w:rPr>
      </w:pPr>
      <w:r>
        <w:rPr>
          <w:rFonts w:hint="eastAsia" w:ascii="黑体" w:eastAsia="黑体"/>
          <w:b/>
          <w:bCs/>
          <w:color w:val="auto"/>
          <w:sz w:val="28"/>
          <w:highlight w:val="none"/>
          <w:u w:val="none"/>
        </w:rPr>
        <w:t>四、议程安排</w:t>
      </w:r>
    </w:p>
    <w:p>
      <w:pPr>
        <w:pStyle w:val="10"/>
        <w:pageBreakBefore w:val="0"/>
        <w:kinsoku/>
        <w:wordWrap/>
        <w:overflowPunct/>
        <w:topLinePunct w:val="0"/>
        <w:autoSpaceDE/>
        <w:autoSpaceDN/>
        <w:bidi w:val="0"/>
        <w:spacing w:line="300" w:lineRule="auto"/>
        <w:ind w:firstLine="420" w:firstLineChars="200"/>
        <w:rPr>
          <w:color w:val="auto"/>
          <w:szCs w:val="21"/>
          <w:highlight w:val="none"/>
          <w:u w:val="none"/>
        </w:rPr>
      </w:pPr>
      <w:bookmarkStart w:id="2" w:name="OLE_LINK6"/>
      <w:r>
        <w:rPr>
          <w:rFonts w:hint="eastAsia"/>
          <w:color w:val="auto"/>
          <w:szCs w:val="21"/>
          <w:highlight w:val="none"/>
          <w:u w:val="none"/>
        </w:rPr>
        <w:t>1.发标时间：本项目于202</w:t>
      </w:r>
      <w:r>
        <w:rPr>
          <w:rFonts w:hint="eastAsia"/>
          <w:color w:val="auto"/>
          <w:szCs w:val="21"/>
          <w:highlight w:val="none"/>
          <w:u w:val="none"/>
          <w:lang w:val="en-US" w:eastAsia="zh-CN"/>
        </w:rPr>
        <w:t>3</w:t>
      </w:r>
      <w:r>
        <w:rPr>
          <w:rFonts w:hint="eastAsia"/>
          <w:color w:val="auto"/>
          <w:szCs w:val="21"/>
          <w:highlight w:val="none"/>
          <w:u w:val="none"/>
        </w:rPr>
        <w:t>年</w:t>
      </w:r>
      <w:r>
        <w:rPr>
          <w:rFonts w:hint="eastAsia"/>
          <w:color w:val="auto"/>
          <w:szCs w:val="21"/>
          <w:highlight w:val="none"/>
          <w:u w:val="none"/>
          <w:lang w:val="en-US" w:eastAsia="zh-CN"/>
        </w:rPr>
        <w:t>1</w:t>
      </w:r>
      <w:r>
        <w:rPr>
          <w:rFonts w:hint="eastAsia"/>
          <w:color w:val="auto"/>
          <w:szCs w:val="21"/>
          <w:highlight w:val="none"/>
          <w:u w:val="none"/>
        </w:rPr>
        <w:t>月</w:t>
      </w:r>
      <w:r>
        <w:rPr>
          <w:rFonts w:hint="eastAsia"/>
          <w:color w:val="auto"/>
          <w:szCs w:val="21"/>
          <w:highlight w:val="none"/>
          <w:u w:val="none"/>
          <w:lang w:val="en-US" w:eastAsia="zh-CN"/>
        </w:rPr>
        <w:t>1</w:t>
      </w:r>
      <w:r>
        <w:rPr>
          <w:rFonts w:hint="eastAsia"/>
          <w:color w:val="auto"/>
          <w:szCs w:val="21"/>
          <w:highlight w:val="none"/>
          <w:u w:val="none"/>
        </w:rPr>
        <w:t>日在中国重汽官网</w:t>
      </w:r>
      <w:r>
        <w:rPr>
          <w:color w:val="auto"/>
          <w:highlight w:val="none"/>
          <w:u w:val="none"/>
        </w:rPr>
        <w:fldChar w:fldCharType="begin"/>
      </w:r>
      <w:r>
        <w:rPr>
          <w:color w:val="auto"/>
          <w:highlight w:val="none"/>
          <w:u w:val="none"/>
        </w:rPr>
        <w:instrText xml:space="preserve"> HYPERLINK "http://www.cnhtc.com.cn" </w:instrText>
      </w:r>
      <w:r>
        <w:rPr>
          <w:color w:val="auto"/>
          <w:highlight w:val="none"/>
          <w:u w:val="none"/>
        </w:rPr>
        <w:fldChar w:fldCharType="separate"/>
      </w:r>
      <w:r>
        <w:rPr>
          <w:rFonts w:hint="eastAsia"/>
          <w:color w:val="auto"/>
          <w:szCs w:val="21"/>
          <w:highlight w:val="none"/>
          <w:u w:val="none"/>
        </w:rPr>
        <w:t>http://www.cnhtc.com.cn</w:t>
      </w:r>
      <w:r>
        <w:rPr>
          <w:color w:val="auto"/>
          <w:szCs w:val="21"/>
          <w:highlight w:val="none"/>
          <w:u w:val="none"/>
        </w:rPr>
        <w:fldChar w:fldCharType="end"/>
      </w:r>
      <w:r>
        <w:rPr>
          <w:rFonts w:hint="eastAsia"/>
          <w:color w:val="auto"/>
          <w:szCs w:val="21"/>
          <w:highlight w:val="none"/>
          <w:u w:val="none"/>
        </w:rPr>
        <w:t>（快讯中心-通知公告）发布招标公告。</w:t>
      </w:r>
    </w:p>
    <w:p>
      <w:pPr>
        <w:pStyle w:val="10"/>
        <w:pageBreakBefore w:val="0"/>
        <w:kinsoku/>
        <w:wordWrap/>
        <w:overflowPunct/>
        <w:topLinePunct w:val="0"/>
        <w:autoSpaceDE/>
        <w:autoSpaceDN/>
        <w:bidi w:val="0"/>
        <w:spacing w:line="300" w:lineRule="auto"/>
        <w:ind w:firstLine="420" w:firstLineChars="200"/>
        <w:rPr>
          <w:color w:val="auto"/>
          <w:szCs w:val="21"/>
          <w:highlight w:val="none"/>
          <w:u w:val="none"/>
        </w:rPr>
      </w:pPr>
      <w:r>
        <w:rPr>
          <w:rFonts w:hint="eastAsia"/>
          <w:color w:val="auto"/>
          <w:highlight w:val="none"/>
          <w:u w:val="none"/>
        </w:rPr>
        <w:t>2.报名截止时间：202</w:t>
      </w:r>
      <w:r>
        <w:rPr>
          <w:rFonts w:hint="eastAsia"/>
          <w:color w:val="auto"/>
          <w:highlight w:val="none"/>
          <w:u w:val="none"/>
          <w:lang w:val="en-US" w:eastAsia="zh-CN"/>
        </w:rPr>
        <w:t>3</w:t>
      </w:r>
      <w:r>
        <w:rPr>
          <w:rFonts w:hint="eastAsia"/>
          <w:color w:val="auto"/>
          <w:highlight w:val="none"/>
          <w:u w:val="none"/>
        </w:rPr>
        <w:t>年</w:t>
      </w:r>
      <w:r>
        <w:rPr>
          <w:rFonts w:hint="eastAsia"/>
          <w:color w:val="auto"/>
          <w:highlight w:val="none"/>
          <w:u w:val="none"/>
          <w:lang w:val="en-US" w:eastAsia="zh-CN"/>
        </w:rPr>
        <w:t>1</w:t>
      </w:r>
      <w:r>
        <w:rPr>
          <w:rFonts w:hint="eastAsia"/>
          <w:color w:val="auto"/>
          <w:highlight w:val="none"/>
          <w:u w:val="none"/>
        </w:rPr>
        <w:t>月</w:t>
      </w:r>
      <w:r>
        <w:rPr>
          <w:rFonts w:hint="eastAsia"/>
          <w:color w:val="auto"/>
          <w:highlight w:val="none"/>
          <w:u w:val="none"/>
          <w:lang w:val="en-US" w:eastAsia="zh-CN"/>
        </w:rPr>
        <w:t>16</w:t>
      </w:r>
      <w:r>
        <w:rPr>
          <w:rFonts w:hint="eastAsia"/>
          <w:color w:val="auto"/>
          <w:highlight w:val="none"/>
          <w:u w:val="none"/>
        </w:rPr>
        <w:t>日下午17点前（书面、电话）。</w:t>
      </w:r>
    </w:p>
    <w:p>
      <w:pPr>
        <w:pStyle w:val="10"/>
        <w:keepNext w:val="0"/>
        <w:keepLines w:val="0"/>
        <w:pageBreakBefore w:val="0"/>
        <w:widowControl w:val="0"/>
        <w:kinsoku/>
        <w:wordWrap/>
        <w:overflowPunct/>
        <w:topLinePunct w:val="0"/>
        <w:autoSpaceDE/>
        <w:autoSpaceDN/>
        <w:bidi w:val="0"/>
        <w:spacing w:line="300" w:lineRule="auto"/>
        <w:ind w:firstLine="420" w:firstLineChars="200"/>
        <w:textAlignment w:val="auto"/>
        <w:rPr>
          <w:color w:val="auto"/>
          <w:szCs w:val="21"/>
          <w:highlight w:val="none"/>
          <w:u w:val="none"/>
        </w:rPr>
      </w:pPr>
      <w:r>
        <w:rPr>
          <w:rFonts w:hint="eastAsia"/>
          <w:color w:val="auto"/>
          <w:szCs w:val="21"/>
          <w:highlight w:val="none"/>
          <w:u w:val="none"/>
        </w:rPr>
        <w:t>3.答疑时间：截止至202</w:t>
      </w:r>
      <w:r>
        <w:rPr>
          <w:rFonts w:hint="eastAsia"/>
          <w:color w:val="auto"/>
          <w:szCs w:val="21"/>
          <w:highlight w:val="none"/>
          <w:u w:val="none"/>
          <w:lang w:val="en-US" w:eastAsia="zh-CN"/>
        </w:rPr>
        <w:t>3</w:t>
      </w:r>
      <w:r>
        <w:rPr>
          <w:rFonts w:hint="eastAsia"/>
          <w:color w:val="auto"/>
          <w:szCs w:val="21"/>
          <w:highlight w:val="none"/>
          <w:u w:val="none"/>
        </w:rPr>
        <w:t>年</w:t>
      </w:r>
      <w:r>
        <w:rPr>
          <w:rFonts w:hint="eastAsia"/>
          <w:color w:val="auto"/>
          <w:szCs w:val="21"/>
          <w:highlight w:val="none"/>
          <w:u w:val="none"/>
          <w:lang w:val="en-US" w:eastAsia="zh-CN"/>
        </w:rPr>
        <w:t>1</w:t>
      </w:r>
      <w:r>
        <w:rPr>
          <w:rFonts w:hint="eastAsia"/>
          <w:color w:val="auto"/>
          <w:szCs w:val="21"/>
          <w:highlight w:val="none"/>
          <w:u w:val="none"/>
        </w:rPr>
        <w:t>月</w:t>
      </w:r>
      <w:r>
        <w:rPr>
          <w:rFonts w:hint="eastAsia"/>
          <w:color w:val="auto"/>
          <w:szCs w:val="21"/>
          <w:highlight w:val="none"/>
          <w:u w:val="none"/>
          <w:lang w:val="en-US" w:eastAsia="zh-CN"/>
        </w:rPr>
        <w:t>16</w:t>
      </w:r>
      <w:r>
        <w:rPr>
          <w:rFonts w:hint="eastAsia"/>
          <w:color w:val="auto"/>
          <w:szCs w:val="21"/>
          <w:highlight w:val="none"/>
          <w:u w:val="none"/>
        </w:rPr>
        <w:t>日</w:t>
      </w:r>
      <w:r>
        <w:rPr>
          <w:rFonts w:hint="eastAsia"/>
          <w:color w:val="auto"/>
          <w:highlight w:val="none"/>
          <w:u w:val="none"/>
        </w:rPr>
        <w:t>下午17点前</w:t>
      </w:r>
      <w:r>
        <w:rPr>
          <w:rFonts w:hint="eastAsia"/>
          <w:color w:val="auto"/>
          <w:szCs w:val="21"/>
          <w:highlight w:val="none"/>
          <w:u w:val="none"/>
        </w:rPr>
        <w:t>（若有变动另行通知）。</w:t>
      </w:r>
    </w:p>
    <w:p>
      <w:pPr>
        <w:pStyle w:val="10"/>
        <w:keepNext w:val="0"/>
        <w:keepLines w:val="0"/>
        <w:pageBreakBefore w:val="0"/>
        <w:widowControl w:val="0"/>
        <w:kinsoku/>
        <w:wordWrap/>
        <w:overflowPunct/>
        <w:topLinePunct w:val="0"/>
        <w:autoSpaceDE/>
        <w:autoSpaceDN/>
        <w:bidi w:val="0"/>
        <w:spacing w:line="300" w:lineRule="auto"/>
        <w:ind w:firstLine="420" w:firstLineChars="200"/>
        <w:textAlignment w:val="auto"/>
        <w:rPr>
          <w:color w:val="auto"/>
          <w:szCs w:val="21"/>
          <w:highlight w:val="none"/>
          <w:u w:val="none"/>
        </w:rPr>
      </w:pPr>
      <w:r>
        <w:rPr>
          <w:rFonts w:hint="eastAsia"/>
          <w:color w:val="auto"/>
          <w:szCs w:val="21"/>
          <w:highlight w:val="none"/>
          <w:u w:val="none"/>
        </w:rPr>
        <w:t xml:space="preserve">  答疑方式：</w:t>
      </w:r>
      <w:r>
        <w:rPr>
          <w:rFonts w:hint="eastAsia"/>
          <w:color w:val="auto"/>
          <w:highlight w:val="none"/>
          <w:u w:val="none"/>
        </w:rPr>
        <w:t>书面（或电话）答疑。</w:t>
      </w:r>
    </w:p>
    <w:p>
      <w:pPr>
        <w:pStyle w:val="10"/>
        <w:keepNext w:val="0"/>
        <w:keepLines w:val="0"/>
        <w:pageBreakBefore w:val="0"/>
        <w:widowControl w:val="0"/>
        <w:kinsoku/>
        <w:wordWrap/>
        <w:overflowPunct/>
        <w:topLinePunct w:val="0"/>
        <w:autoSpaceDE/>
        <w:autoSpaceDN/>
        <w:bidi w:val="0"/>
        <w:spacing w:line="300" w:lineRule="auto"/>
        <w:ind w:firstLine="630" w:firstLineChars="300"/>
        <w:textAlignment w:val="auto"/>
        <w:rPr>
          <w:color w:val="auto"/>
          <w:szCs w:val="21"/>
          <w:highlight w:val="none"/>
          <w:u w:val="none"/>
        </w:rPr>
      </w:pPr>
      <w:r>
        <w:rPr>
          <w:rFonts w:hint="eastAsia"/>
          <w:color w:val="auto"/>
          <w:szCs w:val="21"/>
          <w:highlight w:val="none"/>
          <w:u w:val="none"/>
        </w:rPr>
        <w:t>答疑联系人及联系电话：刘业辉 13405582863</w:t>
      </w:r>
    </w:p>
    <w:p>
      <w:pPr>
        <w:pStyle w:val="10"/>
        <w:keepNext w:val="0"/>
        <w:keepLines w:val="0"/>
        <w:pageBreakBefore w:val="0"/>
        <w:widowControl w:val="0"/>
        <w:kinsoku/>
        <w:wordWrap/>
        <w:overflowPunct/>
        <w:topLinePunct w:val="0"/>
        <w:autoSpaceDE/>
        <w:autoSpaceDN/>
        <w:bidi w:val="0"/>
        <w:spacing w:line="300" w:lineRule="auto"/>
        <w:ind w:firstLine="630" w:firstLineChars="300"/>
        <w:textAlignment w:val="auto"/>
        <w:rPr>
          <w:color w:val="auto"/>
          <w:szCs w:val="21"/>
          <w:highlight w:val="none"/>
          <w:u w:val="none"/>
        </w:rPr>
      </w:pPr>
      <w:r>
        <w:rPr>
          <w:rFonts w:hint="eastAsia"/>
          <w:color w:val="auto"/>
          <w:szCs w:val="21"/>
          <w:highlight w:val="none"/>
          <w:u w:val="none"/>
        </w:rPr>
        <w:t>邮箱：liu.yehui@sinotruk.com</w:t>
      </w:r>
    </w:p>
    <w:p>
      <w:pPr>
        <w:pStyle w:val="10"/>
        <w:keepNext w:val="0"/>
        <w:keepLines w:val="0"/>
        <w:pageBreakBefore w:val="0"/>
        <w:widowControl w:val="0"/>
        <w:kinsoku/>
        <w:wordWrap/>
        <w:overflowPunct/>
        <w:topLinePunct w:val="0"/>
        <w:autoSpaceDE/>
        <w:autoSpaceDN/>
        <w:bidi w:val="0"/>
        <w:spacing w:line="300" w:lineRule="auto"/>
        <w:ind w:firstLine="420" w:firstLineChars="200"/>
        <w:textAlignment w:val="auto"/>
        <w:rPr>
          <w:color w:val="auto"/>
          <w:szCs w:val="21"/>
          <w:highlight w:val="none"/>
          <w:u w:val="none"/>
        </w:rPr>
      </w:pPr>
      <w:r>
        <w:rPr>
          <w:rFonts w:hint="eastAsia"/>
          <w:color w:val="auto"/>
          <w:szCs w:val="21"/>
          <w:highlight w:val="none"/>
          <w:u w:val="none"/>
        </w:rPr>
        <w:t>4.开标时间：2022年</w:t>
      </w:r>
      <w:r>
        <w:rPr>
          <w:rFonts w:hint="eastAsia"/>
          <w:color w:val="auto"/>
          <w:szCs w:val="21"/>
          <w:highlight w:val="none"/>
          <w:u w:val="none"/>
          <w:lang w:val="en-US" w:eastAsia="zh-CN"/>
        </w:rPr>
        <w:t>1</w:t>
      </w:r>
      <w:r>
        <w:rPr>
          <w:rFonts w:hint="eastAsia"/>
          <w:color w:val="auto"/>
          <w:szCs w:val="21"/>
          <w:highlight w:val="none"/>
          <w:u w:val="none"/>
        </w:rPr>
        <w:t>月</w:t>
      </w:r>
      <w:r>
        <w:rPr>
          <w:rFonts w:hint="eastAsia"/>
          <w:color w:val="auto"/>
          <w:szCs w:val="21"/>
          <w:highlight w:val="none"/>
          <w:u w:val="none"/>
          <w:lang w:val="en-US" w:eastAsia="zh-CN"/>
        </w:rPr>
        <w:t>17</w:t>
      </w:r>
      <w:r>
        <w:rPr>
          <w:rFonts w:hint="eastAsia"/>
          <w:color w:val="auto"/>
          <w:szCs w:val="21"/>
          <w:highlight w:val="none"/>
          <w:u w:val="none"/>
        </w:rPr>
        <w:t>日上午9</w:t>
      </w:r>
      <w:r>
        <w:rPr>
          <w:color w:val="auto"/>
          <w:szCs w:val="21"/>
          <w:highlight w:val="none"/>
          <w:u w:val="none"/>
        </w:rPr>
        <w:t>:</w:t>
      </w:r>
      <w:r>
        <w:rPr>
          <w:rFonts w:hint="eastAsia"/>
          <w:color w:val="auto"/>
          <w:szCs w:val="21"/>
          <w:highlight w:val="none"/>
          <w:u w:val="none"/>
        </w:rPr>
        <w:t>0</w:t>
      </w:r>
      <w:r>
        <w:rPr>
          <w:color w:val="auto"/>
          <w:szCs w:val="21"/>
          <w:highlight w:val="none"/>
          <w:u w:val="none"/>
        </w:rPr>
        <w:t>0</w:t>
      </w:r>
      <w:r>
        <w:rPr>
          <w:rFonts w:hint="eastAsia"/>
          <w:color w:val="auto"/>
          <w:szCs w:val="21"/>
          <w:highlight w:val="none"/>
          <w:u w:val="none"/>
        </w:rPr>
        <w:t>（若有变动另行通知）。</w:t>
      </w:r>
      <w:bookmarkEnd w:id="2"/>
    </w:p>
    <w:p>
      <w:pPr>
        <w:pageBreakBefore w:val="0"/>
        <w:kinsoku/>
        <w:wordWrap/>
        <w:overflowPunct/>
        <w:topLinePunct w:val="0"/>
        <w:bidi w:val="0"/>
        <w:adjustRightInd w:val="0"/>
        <w:snapToGrid w:val="0"/>
        <w:spacing w:line="300" w:lineRule="auto"/>
        <w:ind w:firstLine="420" w:firstLineChars="200"/>
        <w:rPr>
          <w:rFonts w:ascii="宋体" w:hAnsi="宋体"/>
          <w:color w:val="auto"/>
          <w:szCs w:val="21"/>
          <w:highlight w:val="none"/>
          <w:u w:val="none"/>
        </w:rPr>
      </w:pPr>
      <w:r>
        <w:rPr>
          <w:rFonts w:hint="eastAsia" w:ascii="宋体" w:hAnsi="Courier New"/>
          <w:color w:val="auto"/>
          <w:szCs w:val="21"/>
          <w:highlight w:val="none"/>
          <w:u w:val="none"/>
        </w:rPr>
        <w:t>5.</w:t>
      </w:r>
      <w:r>
        <w:rPr>
          <w:rFonts w:hint="eastAsia"/>
          <w:color w:val="auto"/>
          <w:szCs w:val="21"/>
          <w:highlight w:val="none"/>
          <w:u w:val="none"/>
        </w:rPr>
        <w:t>投标地点：</w:t>
      </w:r>
      <w:r>
        <w:rPr>
          <w:rFonts w:hint="eastAsia" w:ascii="宋体" w:hAnsi="宋体"/>
          <w:color w:val="auto"/>
          <w:szCs w:val="21"/>
          <w:highlight w:val="none"/>
          <w:u w:val="none"/>
        </w:rPr>
        <w:t>山东省济南市章丘区圣井街道潘王路西重汽工业园北三厂</w:t>
      </w:r>
    </w:p>
    <w:p>
      <w:pPr>
        <w:pStyle w:val="10"/>
        <w:pageBreakBefore w:val="0"/>
        <w:kinsoku/>
        <w:wordWrap/>
        <w:overflowPunct/>
        <w:topLinePunct w:val="0"/>
        <w:bidi w:val="0"/>
        <w:spacing w:line="300" w:lineRule="auto"/>
        <w:ind w:firstLine="420" w:firstLineChars="200"/>
        <w:rPr>
          <w:color w:val="auto"/>
          <w:szCs w:val="21"/>
          <w:highlight w:val="none"/>
          <w:u w:val="none"/>
        </w:rPr>
      </w:pPr>
      <w:r>
        <w:rPr>
          <w:rFonts w:hint="eastAsia"/>
          <w:color w:val="auto"/>
          <w:szCs w:val="21"/>
          <w:highlight w:val="none"/>
          <w:u w:val="none"/>
        </w:rPr>
        <w:t>6.投标文件递交：于开标当日在投标地点现场递交。</w:t>
      </w:r>
    </w:p>
    <w:p>
      <w:pPr>
        <w:pageBreakBefore w:val="0"/>
        <w:kinsoku/>
        <w:wordWrap/>
        <w:overflowPunct/>
        <w:topLinePunct w:val="0"/>
        <w:bidi w:val="0"/>
        <w:adjustRightInd w:val="0"/>
        <w:snapToGrid w:val="0"/>
        <w:spacing w:line="300" w:lineRule="auto"/>
        <w:ind w:firstLine="420" w:firstLineChars="200"/>
        <w:rPr>
          <w:rFonts w:ascii="宋体" w:hAnsi="宋体"/>
          <w:color w:val="auto"/>
          <w:szCs w:val="21"/>
          <w:highlight w:val="none"/>
          <w:u w:val="none"/>
        </w:rPr>
      </w:pPr>
      <w:r>
        <w:rPr>
          <w:rFonts w:hint="eastAsia" w:ascii="宋体" w:hAnsi="Courier New"/>
          <w:color w:val="auto"/>
          <w:szCs w:val="21"/>
          <w:highlight w:val="none"/>
          <w:u w:val="none"/>
        </w:rPr>
        <w:t>7.招 标 单 位</w:t>
      </w:r>
      <w:r>
        <w:rPr>
          <w:rFonts w:ascii="宋体" w:hAnsi="宋体"/>
          <w:color w:val="auto"/>
          <w:szCs w:val="21"/>
          <w:highlight w:val="none"/>
          <w:u w:val="none"/>
        </w:rPr>
        <w:t>：</w:t>
      </w:r>
      <w:r>
        <w:rPr>
          <w:rFonts w:hint="eastAsia"/>
          <w:color w:val="auto"/>
          <w:highlight w:val="none"/>
          <w:u w:val="none"/>
        </w:rPr>
        <w:t>重汽（济南）传动轴有限公司</w:t>
      </w:r>
    </w:p>
    <w:p>
      <w:pPr>
        <w:pageBreakBefore w:val="0"/>
        <w:kinsoku/>
        <w:wordWrap/>
        <w:overflowPunct/>
        <w:topLinePunct w:val="0"/>
        <w:bidi w:val="0"/>
        <w:adjustRightInd w:val="0"/>
        <w:snapToGrid w:val="0"/>
        <w:spacing w:line="300" w:lineRule="auto"/>
        <w:ind w:left="479"/>
        <w:rPr>
          <w:rFonts w:ascii="宋体" w:hAnsi="宋体"/>
          <w:color w:val="auto"/>
          <w:szCs w:val="21"/>
          <w:highlight w:val="none"/>
          <w:u w:val="none"/>
        </w:rPr>
      </w:pPr>
      <w:r>
        <w:rPr>
          <w:rFonts w:ascii="宋体" w:hAnsi="宋体"/>
          <w:color w:val="auto"/>
          <w:szCs w:val="21"/>
          <w:highlight w:val="none"/>
          <w:u w:val="none"/>
        </w:rPr>
        <w:t>地 址：</w:t>
      </w:r>
      <w:r>
        <w:rPr>
          <w:rFonts w:hint="eastAsia" w:ascii="宋体" w:hAnsi="宋体"/>
          <w:color w:val="auto"/>
          <w:szCs w:val="21"/>
          <w:highlight w:val="none"/>
          <w:u w:val="none"/>
        </w:rPr>
        <w:t>山东省济南市章丘区圣井街道潘王路西重汽工业园北三厂</w:t>
      </w:r>
    </w:p>
    <w:p>
      <w:pPr>
        <w:pageBreakBefore w:val="0"/>
        <w:kinsoku/>
        <w:wordWrap/>
        <w:overflowPunct/>
        <w:topLinePunct w:val="0"/>
        <w:bidi w:val="0"/>
        <w:adjustRightInd w:val="0"/>
        <w:snapToGrid w:val="0"/>
        <w:spacing w:line="300" w:lineRule="auto"/>
        <w:ind w:left="479"/>
        <w:rPr>
          <w:rFonts w:ascii="宋体" w:hAnsi="宋体"/>
          <w:color w:val="auto"/>
          <w:szCs w:val="21"/>
          <w:highlight w:val="none"/>
          <w:u w:val="none"/>
        </w:rPr>
      </w:pPr>
      <w:r>
        <w:rPr>
          <w:rFonts w:ascii="宋体" w:hAnsi="宋体"/>
          <w:color w:val="auto"/>
          <w:szCs w:val="21"/>
          <w:highlight w:val="none"/>
          <w:u w:val="none"/>
        </w:rPr>
        <w:t>邮 政 编 码：</w:t>
      </w:r>
      <w:r>
        <w:rPr>
          <w:rFonts w:hint="eastAsia" w:ascii="宋体" w:hAnsi="宋体"/>
          <w:color w:val="auto"/>
          <w:szCs w:val="21"/>
          <w:highlight w:val="none"/>
          <w:u w:val="none"/>
        </w:rPr>
        <w:t>250200</w:t>
      </w:r>
    </w:p>
    <w:p>
      <w:pPr>
        <w:pageBreakBefore w:val="0"/>
        <w:kinsoku/>
        <w:wordWrap/>
        <w:overflowPunct/>
        <w:topLinePunct w:val="0"/>
        <w:bidi w:val="0"/>
        <w:adjustRightInd w:val="0"/>
        <w:snapToGrid w:val="0"/>
        <w:spacing w:line="300" w:lineRule="auto"/>
        <w:ind w:left="479"/>
        <w:rPr>
          <w:rFonts w:ascii="宋体" w:hAnsi="宋体"/>
          <w:color w:val="auto"/>
          <w:szCs w:val="21"/>
          <w:highlight w:val="none"/>
          <w:u w:val="none"/>
        </w:rPr>
      </w:pPr>
      <w:r>
        <w:rPr>
          <w:rFonts w:hint="eastAsia" w:ascii="宋体" w:hAnsi="宋体"/>
          <w:color w:val="auto"/>
          <w:szCs w:val="21"/>
          <w:highlight w:val="none"/>
          <w:u w:val="none"/>
        </w:rPr>
        <w:t>电 话：0531-58069392</w:t>
      </w:r>
    </w:p>
    <w:p>
      <w:pPr>
        <w:pageBreakBefore w:val="0"/>
        <w:kinsoku/>
        <w:wordWrap/>
        <w:overflowPunct/>
        <w:topLinePunct w:val="0"/>
        <w:bidi w:val="0"/>
        <w:adjustRightInd w:val="0"/>
        <w:snapToGrid w:val="0"/>
        <w:spacing w:line="300" w:lineRule="auto"/>
        <w:ind w:left="479"/>
        <w:rPr>
          <w:rFonts w:ascii="宋体" w:hAnsi="宋体"/>
          <w:color w:val="auto"/>
          <w:szCs w:val="21"/>
          <w:highlight w:val="none"/>
          <w:u w:val="none"/>
        </w:rPr>
      </w:pPr>
      <w:r>
        <w:rPr>
          <w:rFonts w:hint="eastAsia" w:ascii="宋体" w:hAnsi="宋体"/>
          <w:color w:val="auto"/>
          <w:szCs w:val="21"/>
          <w:highlight w:val="none"/>
          <w:u w:val="none"/>
        </w:rPr>
        <w:t>联系 人：刘业辉</w:t>
      </w:r>
    </w:p>
    <w:p>
      <w:pPr>
        <w:pageBreakBefore w:val="0"/>
        <w:kinsoku/>
        <w:wordWrap/>
        <w:overflowPunct/>
        <w:topLinePunct w:val="0"/>
        <w:bidi w:val="0"/>
        <w:adjustRightInd w:val="0"/>
        <w:snapToGrid w:val="0"/>
        <w:spacing w:line="300" w:lineRule="auto"/>
        <w:ind w:left="479"/>
        <w:rPr>
          <w:rFonts w:ascii="宋体" w:hAnsi="宋体"/>
          <w:color w:val="auto"/>
          <w:szCs w:val="21"/>
          <w:highlight w:val="none"/>
          <w:u w:val="none"/>
        </w:rPr>
      </w:pPr>
      <w:r>
        <w:rPr>
          <w:rFonts w:hint="eastAsia" w:ascii="宋体" w:hAnsi="宋体"/>
          <w:color w:val="auto"/>
          <w:szCs w:val="21"/>
          <w:highlight w:val="none"/>
          <w:u w:val="none"/>
        </w:rPr>
        <w:t>Email：liu.yehui@sinotruk.com</w:t>
      </w:r>
    </w:p>
    <w:p>
      <w:pPr>
        <w:pageBreakBefore w:val="0"/>
        <w:kinsoku/>
        <w:wordWrap/>
        <w:overflowPunct/>
        <w:topLinePunct w:val="0"/>
        <w:bidi w:val="0"/>
        <w:adjustRightInd w:val="0"/>
        <w:snapToGrid w:val="0"/>
        <w:spacing w:line="300" w:lineRule="auto"/>
        <w:ind w:left="479"/>
        <w:rPr>
          <w:color w:val="auto"/>
          <w:highlight w:val="none"/>
          <w:u w:val="none"/>
        </w:rPr>
      </w:pPr>
      <w:r>
        <w:rPr>
          <w:rFonts w:hint="eastAsia" w:ascii="宋体" w:hAnsi="宋体"/>
          <w:color w:val="auto"/>
          <w:szCs w:val="21"/>
          <w:highlight w:val="none"/>
          <w:u w:val="none"/>
        </w:rPr>
        <w:t>招标单位开户名称：</w:t>
      </w:r>
      <w:r>
        <w:rPr>
          <w:rFonts w:hint="eastAsia"/>
          <w:color w:val="auto"/>
          <w:highlight w:val="none"/>
          <w:u w:val="none"/>
        </w:rPr>
        <w:t>重汽（济南）传动轴有限公司</w:t>
      </w:r>
    </w:p>
    <w:p>
      <w:pPr>
        <w:pageBreakBefore w:val="0"/>
        <w:kinsoku/>
        <w:wordWrap/>
        <w:overflowPunct/>
        <w:topLinePunct w:val="0"/>
        <w:bidi w:val="0"/>
        <w:adjustRightInd w:val="0"/>
        <w:snapToGrid w:val="0"/>
        <w:spacing w:line="300" w:lineRule="auto"/>
        <w:ind w:left="479"/>
        <w:rPr>
          <w:rFonts w:ascii="宋体" w:hAnsi="宋体"/>
          <w:color w:val="auto"/>
          <w:szCs w:val="21"/>
          <w:highlight w:val="none"/>
          <w:u w:val="none"/>
        </w:rPr>
      </w:pPr>
      <w:r>
        <w:rPr>
          <w:rFonts w:hint="eastAsia" w:ascii="宋体" w:hAnsi="宋体"/>
          <w:color w:val="auto"/>
          <w:szCs w:val="21"/>
          <w:highlight w:val="none"/>
          <w:u w:val="none"/>
        </w:rPr>
        <w:t>招标单位开户银行：</w:t>
      </w:r>
      <w:r>
        <w:rPr>
          <w:rFonts w:hint="eastAsia" w:ascii="仿宋_GB2312" w:eastAsia="仿宋_GB2312"/>
          <w:color w:val="auto"/>
          <w:szCs w:val="21"/>
          <w:highlight w:val="none"/>
          <w:u w:val="none"/>
        </w:rPr>
        <w:t>北</w:t>
      </w:r>
      <w:r>
        <w:rPr>
          <w:rFonts w:hint="eastAsia"/>
          <w:color w:val="auto"/>
          <w:highlight w:val="none"/>
          <w:u w:val="none"/>
        </w:rPr>
        <w:t>京银行股份有限公司济南分行营业部</w:t>
      </w:r>
    </w:p>
    <w:p>
      <w:pPr>
        <w:pageBreakBefore w:val="0"/>
        <w:kinsoku/>
        <w:wordWrap/>
        <w:overflowPunct/>
        <w:topLinePunct w:val="0"/>
        <w:bidi w:val="0"/>
        <w:adjustRightInd w:val="0"/>
        <w:snapToGrid w:val="0"/>
        <w:spacing w:line="300" w:lineRule="auto"/>
        <w:ind w:left="479"/>
        <w:rPr>
          <w:rFonts w:ascii="宋体" w:hAnsi="宋体"/>
          <w:color w:val="auto"/>
          <w:szCs w:val="21"/>
          <w:highlight w:val="none"/>
          <w:u w:val="none"/>
        </w:rPr>
      </w:pPr>
      <w:r>
        <w:rPr>
          <w:rFonts w:ascii="宋体" w:hAnsi="宋体"/>
          <w:color w:val="auto"/>
          <w:szCs w:val="21"/>
          <w:highlight w:val="none"/>
          <w:u w:val="none"/>
        </w:rPr>
        <w:t>招标单位</w:t>
      </w:r>
      <w:r>
        <w:rPr>
          <w:rFonts w:hint="eastAsia" w:ascii="宋体" w:hAnsi="宋体"/>
          <w:color w:val="auto"/>
          <w:szCs w:val="21"/>
          <w:highlight w:val="none"/>
          <w:u w:val="none"/>
        </w:rPr>
        <w:t>银行账号：</w:t>
      </w:r>
      <w:r>
        <w:rPr>
          <w:rFonts w:hint="eastAsia"/>
          <w:color w:val="auto"/>
          <w:highlight w:val="none"/>
          <w:u w:val="none"/>
        </w:rPr>
        <w:t>20000042845000032899980</w:t>
      </w:r>
    </w:p>
    <w:p>
      <w:pPr>
        <w:pStyle w:val="10"/>
        <w:pageBreakBefore w:val="0"/>
        <w:kinsoku/>
        <w:wordWrap/>
        <w:overflowPunct/>
        <w:topLinePunct w:val="0"/>
        <w:bidi w:val="0"/>
        <w:spacing w:line="300" w:lineRule="auto"/>
        <w:rPr>
          <w:rFonts w:ascii="黑体" w:eastAsia="黑体"/>
          <w:b/>
          <w:bCs/>
          <w:color w:val="auto"/>
          <w:sz w:val="28"/>
          <w:highlight w:val="none"/>
          <w:u w:val="none"/>
        </w:rPr>
      </w:pPr>
      <w:r>
        <w:rPr>
          <w:rFonts w:hint="eastAsia" w:ascii="黑体" w:eastAsia="黑体"/>
          <w:b/>
          <w:bCs/>
          <w:color w:val="auto"/>
          <w:sz w:val="28"/>
          <w:highlight w:val="none"/>
          <w:u w:val="none"/>
        </w:rPr>
        <w:t>五、获取招标文件</w:t>
      </w:r>
    </w:p>
    <w:p>
      <w:pPr>
        <w:pStyle w:val="10"/>
        <w:pageBreakBefore w:val="0"/>
        <w:kinsoku/>
        <w:wordWrap/>
        <w:overflowPunct/>
        <w:topLinePunct w:val="0"/>
        <w:bidi w:val="0"/>
        <w:spacing w:line="300" w:lineRule="auto"/>
        <w:ind w:firstLine="420" w:firstLineChars="200"/>
        <w:rPr>
          <w:color w:val="auto"/>
          <w:highlight w:val="none"/>
          <w:u w:val="none"/>
        </w:rPr>
      </w:pPr>
      <w:r>
        <w:rPr>
          <w:color w:val="auto"/>
          <w:szCs w:val="21"/>
          <w:highlight w:val="none"/>
          <w:u w:val="none"/>
        </w:rPr>
        <w:t>请在</w:t>
      </w:r>
      <w:r>
        <w:rPr>
          <w:rFonts w:hint="eastAsia"/>
          <w:color w:val="auto"/>
          <w:szCs w:val="21"/>
          <w:highlight w:val="none"/>
          <w:u w:val="none"/>
        </w:rPr>
        <w:t>中国重汽官网</w:t>
      </w:r>
      <w:r>
        <w:rPr>
          <w:color w:val="auto"/>
          <w:highlight w:val="none"/>
          <w:u w:val="none"/>
        </w:rPr>
        <w:fldChar w:fldCharType="begin"/>
      </w:r>
      <w:r>
        <w:rPr>
          <w:color w:val="auto"/>
          <w:highlight w:val="none"/>
          <w:u w:val="none"/>
        </w:rPr>
        <w:instrText xml:space="preserve"> HYPERLINK "http://www.cnhtc.com.cn" </w:instrText>
      </w:r>
      <w:r>
        <w:rPr>
          <w:color w:val="auto"/>
          <w:highlight w:val="none"/>
          <w:u w:val="none"/>
        </w:rPr>
        <w:fldChar w:fldCharType="separate"/>
      </w:r>
      <w:r>
        <w:rPr>
          <w:rFonts w:hint="eastAsia"/>
          <w:color w:val="auto"/>
          <w:szCs w:val="21"/>
          <w:highlight w:val="none"/>
          <w:u w:val="none"/>
        </w:rPr>
        <w:t>http://www.cnhtc.com.cn</w:t>
      </w:r>
      <w:r>
        <w:rPr>
          <w:color w:val="auto"/>
          <w:szCs w:val="21"/>
          <w:highlight w:val="none"/>
          <w:u w:val="none"/>
        </w:rPr>
        <w:fldChar w:fldCharType="end"/>
      </w:r>
      <w:r>
        <w:rPr>
          <w:rFonts w:hint="eastAsia"/>
          <w:color w:val="auto"/>
          <w:szCs w:val="21"/>
          <w:highlight w:val="none"/>
          <w:u w:val="none"/>
        </w:rPr>
        <w:t>（快讯中心-通知公告）</w:t>
      </w:r>
      <w:r>
        <w:rPr>
          <w:color w:val="auto"/>
          <w:szCs w:val="21"/>
          <w:highlight w:val="none"/>
          <w:u w:val="none"/>
        </w:rPr>
        <w:t>下载获取。</w:t>
      </w:r>
    </w:p>
    <w:p>
      <w:pPr>
        <w:pStyle w:val="5"/>
        <w:pageBreakBefore w:val="0"/>
        <w:kinsoku/>
        <w:wordWrap/>
        <w:overflowPunct/>
        <w:topLinePunct w:val="0"/>
        <w:bidi w:val="0"/>
        <w:spacing w:line="300" w:lineRule="auto"/>
        <w:rPr>
          <w:color w:val="auto"/>
          <w:highlight w:val="none"/>
          <w:u w:val="none"/>
        </w:rPr>
      </w:pPr>
      <w:r>
        <w:rPr>
          <w:rFonts w:hint="eastAsia"/>
          <w:color w:val="auto"/>
          <w:highlight w:val="none"/>
          <w:u w:val="none"/>
        </w:rPr>
        <w:t>六、投标须知</w:t>
      </w:r>
    </w:p>
    <w:p>
      <w:pPr>
        <w:pStyle w:val="10"/>
        <w:pageBreakBefore w:val="0"/>
        <w:kinsoku/>
        <w:wordWrap/>
        <w:overflowPunct/>
        <w:topLinePunct w:val="0"/>
        <w:bidi w:val="0"/>
        <w:spacing w:line="300" w:lineRule="auto"/>
        <w:ind w:firstLine="422" w:firstLineChars="200"/>
        <w:rPr>
          <w:b/>
          <w:color w:val="auto"/>
          <w:highlight w:val="none"/>
          <w:u w:val="none"/>
        </w:rPr>
      </w:pPr>
      <w:r>
        <w:rPr>
          <w:rFonts w:hint="eastAsia"/>
          <w:b/>
          <w:color w:val="auto"/>
          <w:highlight w:val="none"/>
          <w:u w:val="none"/>
        </w:rPr>
        <w:t>1.合格投标人：</w:t>
      </w:r>
    </w:p>
    <w:p>
      <w:pPr>
        <w:pStyle w:val="10"/>
        <w:pageBreakBefore w:val="0"/>
        <w:kinsoku/>
        <w:wordWrap/>
        <w:overflowPunct/>
        <w:topLinePunct w:val="0"/>
        <w:bidi w:val="0"/>
        <w:spacing w:line="300" w:lineRule="auto"/>
        <w:ind w:firstLine="420" w:firstLineChars="200"/>
        <w:rPr>
          <w:color w:val="auto"/>
          <w:szCs w:val="21"/>
          <w:highlight w:val="none"/>
          <w:u w:val="none"/>
        </w:rPr>
      </w:pPr>
      <w:r>
        <w:rPr>
          <w:rFonts w:hint="eastAsia"/>
          <w:color w:val="auto"/>
          <w:szCs w:val="21"/>
          <w:highlight w:val="none"/>
          <w:u w:val="none"/>
        </w:rPr>
        <w:t>1.1项目施工方必须具备项目内容相关成功案例等相关资质并提供近三年的相关业绩证明；投标人须遵守《中华人民共和国招标投标法》、《中华人民共和国民法典》及其它有关的法律和法规；为中华人民共和国境内注册的独立法人机构，具有独立承担民事责任能力；</w:t>
      </w:r>
    </w:p>
    <w:p>
      <w:pPr>
        <w:pageBreakBefore w:val="0"/>
        <w:widowControl/>
        <w:kinsoku/>
        <w:wordWrap/>
        <w:overflowPunct/>
        <w:topLinePunct w:val="0"/>
        <w:bidi w:val="0"/>
        <w:spacing w:line="300" w:lineRule="auto"/>
        <w:jc w:val="left"/>
        <w:rPr>
          <w:rFonts w:ascii="宋体" w:hAnsi="Courier New"/>
          <w:color w:val="auto"/>
          <w:szCs w:val="21"/>
          <w:highlight w:val="none"/>
          <w:u w:val="none"/>
        </w:rPr>
      </w:pPr>
      <w:r>
        <w:rPr>
          <w:color w:val="auto"/>
          <w:szCs w:val="21"/>
          <w:highlight w:val="none"/>
          <w:u w:val="none"/>
        </w:rPr>
        <w:t xml:space="preserve">   </w:t>
      </w:r>
      <w:r>
        <w:rPr>
          <w:rFonts w:ascii="宋体" w:hAnsi="Courier New"/>
          <w:color w:val="auto"/>
          <w:szCs w:val="21"/>
          <w:highlight w:val="none"/>
          <w:u w:val="none"/>
        </w:rPr>
        <w:t xml:space="preserve"> </w:t>
      </w:r>
      <w:r>
        <w:rPr>
          <w:rFonts w:hint="eastAsia" w:ascii="宋体" w:hAnsi="Courier New"/>
          <w:color w:val="auto"/>
          <w:szCs w:val="21"/>
          <w:highlight w:val="none"/>
          <w:u w:val="none"/>
        </w:rPr>
        <w:t>1.2公司成立三年以上，注册资金不得低于500万；或不得低于项目标的额。</w:t>
      </w:r>
    </w:p>
    <w:p>
      <w:pPr>
        <w:pStyle w:val="10"/>
        <w:pageBreakBefore w:val="0"/>
        <w:kinsoku/>
        <w:wordWrap/>
        <w:overflowPunct/>
        <w:topLinePunct w:val="0"/>
        <w:bidi w:val="0"/>
        <w:spacing w:line="300" w:lineRule="auto"/>
        <w:ind w:firstLine="420" w:firstLineChars="200"/>
        <w:rPr>
          <w:color w:val="auto"/>
          <w:highlight w:val="none"/>
          <w:u w:val="none"/>
        </w:rPr>
      </w:pPr>
      <w:r>
        <w:rPr>
          <w:rFonts w:hint="eastAsia"/>
          <w:color w:val="auto"/>
          <w:highlight w:val="none"/>
          <w:u w:val="none"/>
        </w:rPr>
        <w:t>1.3投标人须提供具有统一社会信用代码的新版营业执照副本复印件（加盖公章）；</w:t>
      </w:r>
    </w:p>
    <w:p>
      <w:pPr>
        <w:pStyle w:val="10"/>
        <w:pageBreakBefore w:val="0"/>
        <w:kinsoku/>
        <w:wordWrap/>
        <w:overflowPunct/>
        <w:topLinePunct w:val="0"/>
        <w:bidi w:val="0"/>
        <w:spacing w:line="300" w:lineRule="auto"/>
        <w:ind w:firstLine="420" w:firstLineChars="200"/>
        <w:rPr>
          <w:color w:val="auto"/>
          <w:highlight w:val="none"/>
          <w:u w:val="none"/>
        </w:rPr>
      </w:pPr>
      <w:r>
        <w:rPr>
          <w:rFonts w:hint="eastAsia"/>
          <w:color w:val="auto"/>
          <w:highlight w:val="none"/>
          <w:u w:val="none"/>
        </w:rPr>
        <w:t>1.4具有健全的财务会计制度，财务状况和市场行为良好。没有处于被有权机关吊销营业执照、吊销资质、停业整顿、取消投标资格以及财产被接管、冻结或进入破产程序等，投标单位需提供银行审计或资信证明，保证单位财务状况良好可以进行投标；</w:t>
      </w:r>
    </w:p>
    <w:p>
      <w:pPr>
        <w:pStyle w:val="10"/>
        <w:pageBreakBefore w:val="0"/>
        <w:kinsoku/>
        <w:wordWrap/>
        <w:overflowPunct/>
        <w:topLinePunct w:val="0"/>
        <w:bidi w:val="0"/>
        <w:spacing w:line="300" w:lineRule="auto"/>
        <w:ind w:firstLine="420" w:firstLineChars="200"/>
        <w:rPr>
          <w:color w:val="auto"/>
          <w:highlight w:val="none"/>
          <w:u w:val="none"/>
        </w:rPr>
      </w:pPr>
      <w:r>
        <w:rPr>
          <w:rFonts w:hint="eastAsia"/>
          <w:color w:val="auto"/>
          <w:highlight w:val="none"/>
          <w:u w:val="none"/>
        </w:rPr>
        <w:t>1.5投标人没有被列入招标人处《黑名单》（《黑名单》指投标人</w:t>
      </w:r>
      <w:r>
        <w:rPr>
          <w:color w:val="auto"/>
          <w:highlight w:val="none"/>
          <w:u w:val="none"/>
        </w:rPr>
        <w:t>与招标人在以往</w:t>
      </w:r>
      <w:r>
        <w:rPr>
          <w:rFonts w:hint="eastAsia"/>
          <w:color w:val="auto"/>
          <w:highlight w:val="none"/>
          <w:u w:val="none"/>
        </w:rPr>
        <w:t>或</w:t>
      </w:r>
      <w:r>
        <w:rPr>
          <w:color w:val="auto"/>
          <w:highlight w:val="none"/>
          <w:u w:val="none"/>
        </w:rPr>
        <w:t>正在</w:t>
      </w:r>
      <w:r>
        <w:rPr>
          <w:rFonts w:hint="eastAsia"/>
          <w:color w:val="auto"/>
          <w:highlight w:val="none"/>
          <w:u w:val="none"/>
        </w:rPr>
        <w:t>进行</w:t>
      </w:r>
      <w:r>
        <w:rPr>
          <w:color w:val="auto"/>
          <w:highlight w:val="none"/>
          <w:u w:val="none"/>
        </w:rPr>
        <w:t>的合作中</w:t>
      </w:r>
      <w:r>
        <w:rPr>
          <w:rFonts w:hint="eastAsia"/>
          <w:color w:val="auto"/>
          <w:highlight w:val="none"/>
          <w:u w:val="none"/>
        </w:rPr>
        <w:t>，</w:t>
      </w:r>
      <w:r>
        <w:rPr>
          <w:color w:val="auto"/>
          <w:highlight w:val="none"/>
          <w:u w:val="none"/>
        </w:rPr>
        <w:t>存在</w:t>
      </w:r>
      <w:r>
        <w:rPr>
          <w:rFonts w:hint="eastAsia"/>
          <w:color w:val="auto"/>
          <w:highlight w:val="none"/>
          <w:u w:val="none"/>
        </w:rPr>
        <w:t>招标人</w:t>
      </w:r>
      <w:r>
        <w:rPr>
          <w:color w:val="auto"/>
          <w:highlight w:val="none"/>
          <w:u w:val="none"/>
        </w:rPr>
        <w:t>认为的</w:t>
      </w:r>
      <w:r>
        <w:rPr>
          <w:rFonts w:hint="eastAsia"/>
          <w:color w:val="auto"/>
          <w:highlight w:val="none"/>
          <w:u w:val="none"/>
        </w:rPr>
        <w:t>违反合同</w:t>
      </w:r>
      <w:r>
        <w:rPr>
          <w:color w:val="auto"/>
          <w:highlight w:val="none"/>
          <w:u w:val="none"/>
        </w:rPr>
        <w:t>约定或</w:t>
      </w:r>
      <w:r>
        <w:rPr>
          <w:rFonts w:hint="eastAsia"/>
          <w:color w:val="auto"/>
          <w:highlight w:val="none"/>
          <w:u w:val="none"/>
        </w:rPr>
        <w:t>违反法律法规</w:t>
      </w:r>
      <w:r>
        <w:rPr>
          <w:color w:val="auto"/>
          <w:highlight w:val="none"/>
          <w:u w:val="none"/>
        </w:rPr>
        <w:t>等的</w:t>
      </w:r>
      <w:r>
        <w:rPr>
          <w:rFonts w:hint="eastAsia"/>
          <w:color w:val="auto"/>
          <w:highlight w:val="none"/>
          <w:u w:val="none"/>
        </w:rPr>
        <w:t>失信行为）的；</w:t>
      </w:r>
    </w:p>
    <w:p>
      <w:pPr>
        <w:pStyle w:val="10"/>
        <w:pageBreakBefore w:val="0"/>
        <w:kinsoku/>
        <w:wordWrap/>
        <w:overflowPunct/>
        <w:topLinePunct w:val="0"/>
        <w:bidi w:val="0"/>
        <w:spacing w:line="300" w:lineRule="auto"/>
        <w:ind w:firstLine="420" w:firstLineChars="200"/>
        <w:rPr>
          <w:color w:val="auto"/>
          <w:highlight w:val="none"/>
          <w:u w:val="none"/>
        </w:rPr>
      </w:pPr>
      <w:r>
        <w:rPr>
          <w:rFonts w:hint="eastAsia"/>
          <w:color w:val="auto"/>
          <w:highlight w:val="none"/>
          <w:u w:val="none"/>
        </w:rPr>
        <w:t>1.6投标人须提供法人授权委托书复印件及投标单位授权代表的身份证复印件（加盖公章），开标现场核验授权代表身份证原件，授权代表由法人代表本人担任的，仅须提供法人身份证原件；</w:t>
      </w:r>
    </w:p>
    <w:p>
      <w:pPr>
        <w:pStyle w:val="10"/>
        <w:pageBreakBefore w:val="0"/>
        <w:kinsoku/>
        <w:wordWrap/>
        <w:overflowPunct/>
        <w:topLinePunct w:val="0"/>
        <w:bidi w:val="0"/>
        <w:spacing w:line="300" w:lineRule="auto"/>
        <w:ind w:firstLine="420" w:firstLineChars="200"/>
        <w:rPr>
          <w:color w:val="auto"/>
          <w:szCs w:val="22"/>
          <w:highlight w:val="none"/>
          <w:u w:val="none"/>
        </w:rPr>
      </w:pPr>
      <w:r>
        <w:rPr>
          <w:rFonts w:hint="eastAsia"/>
          <w:color w:val="auto"/>
          <w:szCs w:val="22"/>
          <w:highlight w:val="none"/>
          <w:u w:val="none"/>
        </w:rPr>
        <w:t>1.7在“信用中国”信息平台中，</w:t>
      </w:r>
      <w:r>
        <w:rPr>
          <w:rFonts w:hint="eastAsia"/>
          <w:color w:val="auto"/>
          <w:szCs w:val="22"/>
          <w:highlight w:val="none"/>
          <w:u w:val="none"/>
          <w:lang w:eastAsia="zh-CN"/>
        </w:rPr>
        <w:t>无与招标业务相关的重大行政处罚</w:t>
      </w:r>
      <w:r>
        <w:rPr>
          <w:rFonts w:hint="eastAsia"/>
          <w:color w:val="auto"/>
          <w:szCs w:val="22"/>
          <w:highlight w:val="none"/>
          <w:u w:val="none"/>
        </w:rPr>
        <w:t>及失信记录等信息，提供查询页截图；</w:t>
      </w:r>
    </w:p>
    <w:p>
      <w:pPr>
        <w:pStyle w:val="10"/>
        <w:pageBreakBefore w:val="0"/>
        <w:kinsoku/>
        <w:wordWrap/>
        <w:overflowPunct/>
        <w:topLinePunct w:val="0"/>
        <w:bidi w:val="0"/>
        <w:spacing w:line="300" w:lineRule="auto"/>
        <w:ind w:firstLine="420" w:firstLineChars="200"/>
        <w:rPr>
          <w:color w:val="auto"/>
          <w:szCs w:val="22"/>
          <w:highlight w:val="none"/>
          <w:u w:val="none"/>
        </w:rPr>
      </w:pPr>
      <w:r>
        <w:rPr>
          <w:rFonts w:hint="eastAsia"/>
          <w:color w:val="auto"/>
          <w:szCs w:val="22"/>
          <w:highlight w:val="none"/>
          <w:u w:val="none"/>
        </w:rPr>
        <w:t>1.8供方的直接或间接股东、法定代表人、董事、监事、高管非重汽员工及其亲属；</w:t>
      </w:r>
    </w:p>
    <w:p>
      <w:pPr>
        <w:pStyle w:val="10"/>
        <w:pageBreakBefore w:val="0"/>
        <w:kinsoku/>
        <w:wordWrap/>
        <w:overflowPunct/>
        <w:topLinePunct w:val="0"/>
        <w:bidi w:val="0"/>
        <w:spacing w:line="300" w:lineRule="auto"/>
        <w:ind w:firstLine="420" w:firstLineChars="200"/>
        <w:rPr>
          <w:color w:val="auto"/>
          <w:highlight w:val="none"/>
          <w:u w:val="none"/>
        </w:rPr>
      </w:pPr>
      <w:r>
        <w:rPr>
          <w:rFonts w:hint="eastAsia"/>
          <w:color w:val="auto"/>
          <w:highlight w:val="none"/>
          <w:u w:val="none"/>
        </w:rPr>
        <w:t>1.9投标人须认可招标人的工作指令，包括节假日、夜间能正常开展工作的要求；</w:t>
      </w:r>
    </w:p>
    <w:p>
      <w:pPr>
        <w:pageBreakBefore w:val="0"/>
        <w:kinsoku/>
        <w:wordWrap/>
        <w:overflowPunct/>
        <w:topLinePunct w:val="0"/>
        <w:bidi w:val="0"/>
        <w:spacing w:line="300" w:lineRule="auto"/>
        <w:ind w:firstLine="457" w:firstLineChars="218"/>
        <w:rPr>
          <w:color w:val="auto"/>
          <w:highlight w:val="none"/>
          <w:u w:val="none"/>
        </w:rPr>
      </w:pPr>
      <w:r>
        <w:rPr>
          <w:rFonts w:hint="eastAsia"/>
          <w:color w:val="auto"/>
          <w:highlight w:val="none"/>
          <w:u w:val="none"/>
        </w:rPr>
        <w:t>1.10投标人必须是最终投标、签订合同的单位，不得以任何理由将已中标项目以任何形式转包给其他单位；</w:t>
      </w:r>
    </w:p>
    <w:p>
      <w:pPr>
        <w:pageBreakBefore w:val="0"/>
        <w:kinsoku/>
        <w:wordWrap/>
        <w:overflowPunct/>
        <w:topLinePunct w:val="0"/>
        <w:bidi w:val="0"/>
        <w:spacing w:line="300" w:lineRule="auto"/>
        <w:ind w:firstLine="457" w:firstLineChars="218"/>
        <w:rPr>
          <w:color w:val="auto"/>
          <w:highlight w:val="none"/>
          <w:u w:val="none"/>
        </w:rPr>
      </w:pPr>
      <w:r>
        <w:rPr>
          <w:rFonts w:hint="eastAsia"/>
          <w:color w:val="auto"/>
          <w:highlight w:val="none"/>
          <w:u w:val="none"/>
        </w:rPr>
        <w:t>1.11投标保证金金额：</w:t>
      </w:r>
      <w:r>
        <w:rPr>
          <w:rFonts w:hint="eastAsia"/>
          <w:color w:val="auto"/>
          <w:highlight w:val="none"/>
          <w:u w:val="none"/>
          <w:lang w:val="en-US" w:eastAsia="zh-CN"/>
        </w:rPr>
        <w:t>2</w:t>
      </w:r>
      <w:r>
        <w:rPr>
          <w:rFonts w:hint="eastAsia"/>
          <w:color w:val="auto"/>
          <w:highlight w:val="none"/>
          <w:u w:val="none"/>
        </w:rPr>
        <w:t>0000元人民币(</w:t>
      </w:r>
      <w:r>
        <w:rPr>
          <w:rFonts w:hint="eastAsia"/>
          <w:color w:val="auto"/>
          <w:highlight w:val="none"/>
          <w:u w:val="none"/>
          <w:lang w:val="en-US" w:eastAsia="zh-CN"/>
        </w:rPr>
        <w:t>贰</w:t>
      </w:r>
      <w:r>
        <w:rPr>
          <w:rFonts w:hint="eastAsia"/>
          <w:color w:val="auto"/>
          <w:highlight w:val="none"/>
          <w:u w:val="none"/>
        </w:rPr>
        <w:t>万元整)。</w:t>
      </w:r>
    </w:p>
    <w:p>
      <w:pPr>
        <w:pageBreakBefore w:val="0"/>
        <w:kinsoku/>
        <w:wordWrap/>
        <w:overflowPunct/>
        <w:topLinePunct w:val="0"/>
        <w:bidi w:val="0"/>
        <w:spacing w:line="300" w:lineRule="auto"/>
        <w:ind w:firstLine="420" w:firstLineChars="200"/>
        <w:rPr>
          <w:color w:val="auto"/>
          <w:highlight w:val="none"/>
          <w:u w:val="none"/>
        </w:rPr>
      </w:pPr>
      <w:r>
        <w:rPr>
          <w:rFonts w:hint="eastAsia"/>
          <w:color w:val="auto"/>
          <w:highlight w:val="none"/>
          <w:u w:val="none"/>
        </w:rPr>
        <w:t>投标保证金需在202</w:t>
      </w:r>
      <w:r>
        <w:rPr>
          <w:rFonts w:hint="eastAsia"/>
          <w:color w:val="auto"/>
          <w:highlight w:val="none"/>
          <w:u w:val="none"/>
          <w:lang w:val="en-US" w:eastAsia="zh-CN"/>
        </w:rPr>
        <w:t>3</w:t>
      </w:r>
      <w:r>
        <w:rPr>
          <w:rFonts w:hint="eastAsia"/>
          <w:color w:val="auto"/>
          <w:highlight w:val="none"/>
          <w:u w:val="none"/>
        </w:rPr>
        <w:t>年</w:t>
      </w:r>
      <w:r>
        <w:rPr>
          <w:rFonts w:hint="eastAsia"/>
          <w:color w:val="auto"/>
          <w:highlight w:val="none"/>
          <w:u w:val="none"/>
          <w:lang w:val="en-US" w:eastAsia="zh-CN"/>
        </w:rPr>
        <w:t>1</w:t>
      </w:r>
      <w:r>
        <w:rPr>
          <w:rFonts w:hint="eastAsia"/>
          <w:color w:val="auto"/>
          <w:highlight w:val="none"/>
          <w:u w:val="none"/>
        </w:rPr>
        <w:t>月</w:t>
      </w:r>
      <w:r>
        <w:rPr>
          <w:rFonts w:hint="eastAsia"/>
          <w:color w:val="auto"/>
          <w:highlight w:val="none"/>
          <w:u w:val="none"/>
          <w:lang w:val="en-US" w:eastAsia="zh-CN"/>
        </w:rPr>
        <w:t>16</w:t>
      </w:r>
      <w:r>
        <w:rPr>
          <w:rFonts w:hint="eastAsia"/>
          <w:color w:val="auto"/>
          <w:highlight w:val="none"/>
          <w:u w:val="none"/>
        </w:rPr>
        <w:t>日中午12点前转入指定账户,并备注工序外包招标保证金，逾期转入的投标方将无法参与招投标。</w:t>
      </w:r>
    </w:p>
    <w:p>
      <w:pPr>
        <w:pageBreakBefore w:val="0"/>
        <w:kinsoku/>
        <w:wordWrap/>
        <w:overflowPunct/>
        <w:topLinePunct w:val="0"/>
        <w:bidi w:val="0"/>
        <w:spacing w:line="300" w:lineRule="auto"/>
        <w:ind w:firstLine="457" w:firstLineChars="218"/>
        <w:rPr>
          <w:color w:val="auto"/>
          <w:highlight w:val="none"/>
          <w:u w:val="none"/>
        </w:rPr>
      </w:pPr>
      <w:r>
        <w:rPr>
          <w:rFonts w:hint="eastAsia"/>
          <w:color w:val="auto"/>
          <w:highlight w:val="none"/>
          <w:u w:val="none"/>
        </w:rPr>
        <w:t>投标保证金有效期同投标有效期（中标通知书发出后30个工作日内，</w:t>
      </w:r>
      <w:r>
        <w:rPr>
          <w:color w:val="auto"/>
          <w:highlight w:val="none"/>
          <w:u w:val="none"/>
        </w:rPr>
        <w:t>将所有投</w:t>
      </w:r>
      <w:r>
        <w:rPr>
          <w:rFonts w:hint="eastAsia"/>
          <w:color w:val="auto"/>
          <w:highlight w:val="none"/>
          <w:u w:val="none"/>
        </w:rPr>
        <w:t>标单位投标保证金退还（无息））。</w:t>
      </w:r>
    </w:p>
    <w:tbl>
      <w:tblPr>
        <w:tblStyle w:val="20"/>
        <w:tblW w:w="834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346"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仿宋_GB2312" w:eastAsia="仿宋_GB2312"/>
                <w:color w:val="auto"/>
                <w:szCs w:val="21"/>
                <w:highlight w:val="none"/>
                <w:u w:val="none"/>
              </w:rPr>
            </w:pPr>
            <w:r>
              <w:rPr>
                <w:rFonts w:hint="eastAsia" w:ascii="仿宋_GB2312" w:eastAsia="仿宋_GB2312"/>
                <w:color w:val="auto"/>
                <w:szCs w:val="21"/>
                <w:highlight w:val="none"/>
                <w:u w:val="none"/>
              </w:rPr>
              <w:t>开户银行：北京银行股份有限公司济南分行营业部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46"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仿宋_GB2312" w:eastAsia="仿宋_GB2312"/>
                <w:color w:val="auto"/>
                <w:szCs w:val="21"/>
                <w:highlight w:val="none"/>
                <w:u w:val="none"/>
              </w:rPr>
            </w:pPr>
            <w:r>
              <w:rPr>
                <w:rFonts w:hint="eastAsia" w:ascii="仿宋_GB2312" w:eastAsia="仿宋_GB2312"/>
                <w:color w:val="auto"/>
                <w:szCs w:val="21"/>
                <w:highlight w:val="none"/>
                <w:u w:val="none"/>
              </w:rPr>
              <w:t>户名：重汽（济南）传动轴有限公司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46"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仿宋_GB2312" w:eastAsia="仿宋_GB2312"/>
                <w:color w:val="auto"/>
                <w:szCs w:val="21"/>
                <w:highlight w:val="none"/>
                <w:u w:val="none"/>
              </w:rPr>
            </w:pPr>
            <w:r>
              <w:rPr>
                <w:rFonts w:hint="eastAsia" w:ascii="仿宋_GB2312" w:eastAsia="仿宋_GB2312"/>
                <w:color w:val="auto"/>
                <w:szCs w:val="21"/>
                <w:highlight w:val="none"/>
                <w:u w:val="none"/>
              </w:rPr>
              <w:t>账号：20000042845000032899980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46"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仿宋_GB2312" w:eastAsia="仿宋_GB2312"/>
                <w:color w:val="auto"/>
                <w:szCs w:val="21"/>
                <w:highlight w:val="none"/>
                <w:u w:val="none"/>
              </w:rPr>
            </w:pPr>
            <w:r>
              <w:rPr>
                <w:rFonts w:hint="eastAsia" w:ascii="仿宋_GB2312" w:eastAsia="仿宋_GB2312"/>
                <w:color w:val="auto"/>
                <w:szCs w:val="21"/>
                <w:highlight w:val="none"/>
                <w:u w:val="none"/>
              </w:rPr>
              <w:t>纳税人识别号：91370181MA3REL3Y80</w:t>
            </w:r>
          </w:p>
        </w:tc>
      </w:tr>
    </w:tbl>
    <w:p>
      <w:pPr>
        <w:pageBreakBefore w:val="0"/>
        <w:kinsoku/>
        <w:wordWrap/>
        <w:overflowPunct/>
        <w:topLinePunct w:val="0"/>
        <w:bidi w:val="0"/>
        <w:spacing w:line="300" w:lineRule="auto"/>
        <w:rPr>
          <w:b/>
          <w:bCs/>
          <w:color w:val="auto"/>
          <w:szCs w:val="21"/>
          <w:highlight w:val="none"/>
          <w:u w:val="none"/>
        </w:rPr>
      </w:pPr>
    </w:p>
    <w:p>
      <w:pPr>
        <w:pageBreakBefore w:val="0"/>
        <w:kinsoku/>
        <w:wordWrap/>
        <w:overflowPunct/>
        <w:topLinePunct w:val="0"/>
        <w:bidi w:val="0"/>
        <w:spacing w:line="300" w:lineRule="auto"/>
        <w:ind w:firstLine="632" w:firstLineChars="300"/>
        <w:rPr>
          <w:b/>
          <w:bCs/>
          <w:color w:val="auto"/>
          <w:szCs w:val="21"/>
          <w:highlight w:val="none"/>
          <w:u w:val="none"/>
        </w:rPr>
      </w:pPr>
      <w:r>
        <w:rPr>
          <w:b/>
          <w:bCs/>
          <w:color w:val="auto"/>
          <w:szCs w:val="21"/>
          <w:highlight w:val="none"/>
          <w:u w:val="none"/>
        </w:rPr>
        <w:t>(注：投标保证金必须从投标单位基本账户转出)</w:t>
      </w:r>
    </w:p>
    <w:p>
      <w:pPr>
        <w:pageBreakBefore w:val="0"/>
        <w:kinsoku/>
        <w:wordWrap/>
        <w:overflowPunct/>
        <w:topLinePunct w:val="0"/>
        <w:bidi w:val="0"/>
        <w:spacing w:line="300" w:lineRule="auto"/>
        <w:ind w:firstLine="457" w:firstLineChars="218"/>
        <w:rPr>
          <w:color w:val="auto"/>
          <w:highlight w:val="none"/>
          <w:u w:val="none"/>
        </w:rPr>
      </w:pPr>
      <w:r>
        <w:rPr>
          <w:rFonts w:hint="eastAsia"/>
          <w:color w:val="auto"/>
          <w:highlight w:val="none"/>
          <w:u w:val="none"/>
        </w:rPr>
        <w:t>发生以下情况时，有权没收保证金：</w:t>
      </w:r>
    </w:p>
    <w:p>
      <w:pPr>
        <w:pageBreakBefore w:val="0"/>
        <w:kinsoku/>
        <w:wordWrap/>
        <w:overflowPunct/>
        <w:topLinePunct w:val="0"/>
        <w:bidi w:val="0"/>
        <w:spacing w:line="300" w:lineRule="auto"/>
        <w:ind w:firstLine="457" w:firstLineChars="218"/>
        <w:rPr>
          <w:color w:val="auto"/>
          <w:highlight w:val="none"/>
          <w:u w:val="none"/>
        </w:rPr>
      </w:pPr>
      <w:r>
        <w:rPr>
          <w:rFonts w:hint="eastAsia"/>
          <w:color w:val="auto"/>
          <w:highlight w:val="none"/>
          <w:u w:val="none"/>
        </w:rPr>
        <w:t>①截至开标前，投标方无正当理由、未以书面形式递交说明而在投标截止日不来投标的；</w:t>
      </w:r>
    </w:p>
    <w:p>
      <w:pPr>
        <w:pageBreakBefore w:val="0"/>
        <w:kinsoku/>
        <w:wordWrap/>
        <w:overflowPunct/>
        <w:topLinePunct w:val="0"/>
        <w:bidi w:val="0"/>
        <w:spacing w:line="300" w:lineRule="auto"/>
        <w:ind w:firstLine="457" w:firstLineChars="218"/>
        <w:rPr>
          <w:color w:val="auto"/>
          <w:highlight w:val="none"/>
          <w:u w:val="none"/>
        </w:rPr>
      </w:pPr>
      <w:r>
        <w:rPr>
          <w:rFonts w:hint="eastAsia"/>
          <w:color w:val="auto"/>
          <w:highlight w:val="none"/>
          <w:u w:val="none"/>
        </w:rPr>
        <w:t>②投标方递送文件后，无正当理由放弃投标的；</w:t>
      </w:r>
    </w:p>
    <w:p>
      <w:pPr>
        <w:pageBreakBefore w:val="0"/>
        <w:kinsoku/>
        <w:wordWrap/>
        <w:overflowPunct/>
        <w:topLinePunct w:val="0"/>
        <w:bidi w:val="0"/>
        <w:spacing w:line="300" w:lineRule="auto"/>
        <w:ind w:firstLine="457" w:firstLineChars="218"/>
        <w:rPr>
          <w:color w:val="auto"/>
          <w:highlight w:val="none"/>
          <w:u w:val="none"/>
        </w:rPr>
      </w:pPr>
      <w:r>
        <w:rPr>
          <w:rFonts w:hint="eastAsia"/>
          <w:color w:val="auto"/>
          <w:highlight w:val="none"/>
          <w:u w:val="none"/>
        </w:rPr>
        <w:t>③自中标（成交）通知书发出之日起 30 日内，中标（成交）方无正当理由不签订合同的；</w:t>
      </w:r>
    </w:p>
    <w:p>
      <w:pPr>
        <w:pageBreakBefore w:val="0"/>
        <w:kinsoku/>
        <w:wordWrap/>
        <w:overflowPunct/>
        <w:topLinePunct w:val="0"/>
        <w:bidi w:val="0"/>
        <w:spacing w:line="300" w:lineRule="auto"/>
        <w:ind w:firstLine="457" w:firstLineChars="218"/>
        <w:rPr>
          <w:color w:val="auto"/>
          <w:highlight w:val="none"/>
          <w:u w:val="none"/>
        </w:rPr>
      </w:pPr>
      <w:r>
        <w:rPr>
          <w:rFonts w:hint="eastAsia"/>
          <w:color w:val="auto"/>
          <w:highlight w:val="none"/>
          <w:u w:val="none"/>
        </w:rPr>
        <w:t>④投标过程中被查实有串标、围标、陪标等违规违纪行为的；</w:t>
      </w:r>
    </w:p>
    <w:p>
      <w:pPr>
        <w:pageBreakBefore w:val="0"/>
        <w:kinsoku/>
        <w:wordWrap/>
        <w:overflowPunct/>
        <w:topLinePunct w:val="0"/>
        <w:bidi w:val="0"/>
        <w:spacing w:line="300" w:lineRule="auto"/>
        <w:ind w:firstLine="457" w:firstLineChars="218"/>
        <w:rPr>
          <w:color w:val="auto"/>
          <w:highlight w:val="none"/>
          <w:u w:val="none"/>
        </w:rPr>
      </w:pPr>
      <w:r>
        <w:rPr>
          <w:rFonts w:hint="eastAsia"/>
          <w:color w:val="auto"/>
          <w:highlight w:val="none"/>
          <w:u w:val="none"/>
        </w:rPr>
        <w:t>⑤投标方有违约违规行为或被投诉、举报的，在调查处理期间，保证金暂不退还，待调查处理结束后按有关规定处理。</w:t>
      </w:r>
    </w:p>
    <w:p>
      <w:pPr>
        <w:pStyle w:val="10"/>
        <w:pageBreakBefore w:val="0"/>
        <w:kinsoku/>
        <w:wordWrap/>
        <w:overflowPunct/>
        <w:topLinePunct w:val="0"/>
        <w:bidi w:val="0"/>
        <w:spacing w:line="300" w:lineRule="auto"/>
        <w:ind w:firstLine="422" w:firstLineChars="200"/>
        <w:rPr>
          <w:color w:val="auto"/>
          <w:highlight w:val="none"/>
          <w:u w:val="none"/>
        </w:rPr>
      </w:pPr>
      <w:r>
        <w:rPr>
          <w:rFonts w:hint="eastAsia"/>
          <w:b/>
          <w:bCs/>
          <w:color w:val="auto"/>
          <w:highlight w:val="none"/>
          <w:u w:val="none"/>
        </w:rPr>
        <w:t>上述为投标必备的资格条件，相关材料缺项</w:t>
      </w:r>
      <w:r>
        <w:rPr>
          <w:rFonts w:hint="eastAsia"/>
          <w:b/>
          <w:bCs/>
          <w:color w:val="auto"/>
          <w:szCs w:val="22"/>
          <w:highlight w:val="none"/>
          <w:u w:val="none"/>
        </w:rPr>
        <w:t>会按不响应招标文件或无效投标处理</w:t>
      </w:r>
      <w:r>
        <w:rPr>
          <w:rFonts w:hint="eastAsia"/>
          <w:b/>
          <w:bCs/>
          <w:color w:val="auto"/>
          <w:highlight w:val="none"/>
          <w:u w:val="none"/>
        </w:rPr>
        <w:t>，资质证明审查后废除投标资格。</w:t>
      </w:r>
    </w:p>
    <w:p>
      <w:pPr>
        <w:pStyle w:val="10"/>
        <w:pageBreakBefore w:val="0"/>
        <w:kinsoku/>
        <w:wordWrap/>
        <w:overflowPunct/>
        <w:topLinePunct w:val="0"/>
        <w:bidi w:val="0"/>
        <w:spacing w:line="300" w:lineRule="auto"/>
        <w:ind w:firstLine="420" w:firstLineChars="200"/>
        <w:rPr>
          <w:color w:val="auto"/>
          <w:highlight w:val="none"/>
          <w:u w:val="none"/>
        </w:rPr>
      </w:pPr>
      <w:r>
        <w:rPr>
          <w:rFonts w:hint="eastAsia"/>
          <w:color w:val="auto"/>
          <w:highlight w:val="none"/>
          <w:u w:val="none"/>
        </w:rPr>
        <w:t>逾期的投标文件招标人不予受理。</w:t>
      </w:r>
    </w:p>
    <w:p>
      <w:pPr>
        <w:pStyle w:val="10"/>
        <w:pageBreakBefore w:val="0"/>
        <w:kinsoku/>
        <w:wordWrap/>
        <w:overflowPunct/>
        <w:topLinePunct w:val="0"/>
        <w:bidi w:val="0"/>
        <w:spacing w:line="300" w:lineRule="auto"/>
        <w:ind w:firstLine="422" w:firstLineChars="200"/>
        <w:rPr>
          <w:b/>
          <w:color w:val="auto"/>
          <w:szCs w:val="22"/>
          <w:highlight w:val="none"/>
          <w:u w:val="none"/>
        </w:rPr>
      </w:pPr>
      <w:r>
        <w:rPr>
          <w:rFonts w:hint="eastAsia"/>
          <w:b/>
          <w:color w:val="auto"/>
          <w:szCs w:val="22"/>
          <w:highlight w:val="none"/>
          <w:u w:val="none"/>
        </w:rPr>
        <w:t>2.结算</w:t>
      </w:r>
    </w:p>
    <w:p>
      <w:pPr>
        <w:pStyle w:val="10"/>
        <w:pageBreakBefore w:val="0"/>
        <w:kinsoku/>
        <w:wordWrap/>
        <w:overflowPunct/>
        <w:topLinePunct w:val="0"/>
        <w:bidi w:val="0"/>
        <w:spacing w:line="300" w:lineRule="auto"/>
        <w:ind w:firstLine="420" w:firstLineChars="200"/>
        <w:rPr>
          <w:color w:val="auto"/>
          <w:highlight w:val="none"/>
          <w:u w:val="none"/>
        </w:rPr>
      </w:pPr>
      <w:r>
        <w:rPr>
          <w:rFonts w:hint="eastAsia"/>
          <w:color w:val="auto"/>
          <w:szCs w:val="22"/>
          <w:highlight w:val="none"/>
          <w:u w:val="none"/>
        </w:rPr>
        <w:t>2.1本次招标为公开招标，报价应为：</w:t>
      </w:r>
      <w:r>
        <w:rPr>
          <w:rFonts w:hint="eastAsia"/>
          <w:color w:val="auto"/>
          <w:highlight w:val="none"/>
          <w:u w:val="none"/>
        </w:rPr>
        <w:t>经与招标人或其指派的答疑人员充分沟通确认基础上，由投标人在满足招标人所提出的、与本项目所有相关环节有关的所有费用；</w:t>
      </w:r>
    </w:p>
    <w:p>
      <w:pPr>
        <w:pStyle w:val="10"/>
        <w:pageBreakBefore w:val="0"/>
        <w:kinsoku/>
        <w:wordWrap/>
        <w:overflowPunct/>
        <w:topLinePunct w:val="0"/>
        <w:bidi w:val="0"/>
        <w:spacing w:line="300" w:lineRule="auto"/>
        <w:ind w:firstLine="420" w:firstLineChars="200"/>
        <w:rPr>
          <w:color w:val="auto"/>
          <w:highlight w:val="none"/>
          <w:u w:val="none"/>
        </w:rPr>
      </w:pPr>
      <w:r>
        <w:rPr>
          <w:rFonts w:hint="eastAsia" w:hAnsi="宋体"/>
          <w:color w:val="auto"/>
          <w:highlight w:val="none"/>
          <w:u w:val="none"/>
        </w:rPr>
        <w:t>2.2付款</w:t>
      </w:r>
      <w:r>
        <w:rPr>
          <w:rFonts w:hint="eastAsia"/>
          <w:color w:val="auto"/>
          <w:highlight w:val="none"/>
          <w:u w:val="none"/>
        </w:rPr>
        <w:t>结算方式：</w:t>
      </w:r>
      <w:r>
        <w:rPr>
          <w:rFonts w:hint="eastAsia"/>
          <w:color w:val="auto"/>
          <w:highlight w:val="none"/>
          <w:u w:val="none"/>
          <w:lang w:val="en-US" w:eastAsia="zh-CN"/>
        </w:rPr>
        <w:t>半年期商业</w:t>
      </w:r>
      <w:r>
        <w:rPr>
          <w:rFonts w:hint="eastAsia"/>
          <w:color w:val="auto"/>
          <w:highlight w:val="none"/>
          <w:u w:val="none"/>
        </w:rPr>
        <w:t>汇票</w:t>
      </w:r>
      <w:r>
        <w:rPr>
          <w:rFonts w:hint="eastAsia" w:hAnsi="宋体" w:cs="宋体"/>
          <w:b/>
          <w:color w:val="auto"/>
          <w:szCs w:val="21"/>
          <w:highlight w:val="none"/>
          <w:u w:val="none"/>
        </w:rPr>
        <w:t>，无预付款，挂账后按招标方付款流程付款。</w:t>
      </w:r>
    </w:p>
    <w:p>
      <w:pPr>
        <w:pStyle w:val="10"/>
        <w:pageBreakBefore w:val="0"/>
        <w:kinsoku/>
        <w:wordWrap/>
        <w:overflowPunct/>
        <w:topLinePunct w:val="0"/>
        <w:bidi w:val="0"/>
        <w:spacing w:line="300" w:lineRule="auto"/>
        <w:ind w:firstLine="422" w:firstLineChars="200"/>
        <w:rPr>
          <w:b/>
          <w:color w:val="auto"/>
          <w:highlight w:val="none"/>
          <w:u w:val="none"/>
        </w:rPr>
      </w:pPr>
      <w:r>
        <w:rPr>
          <w:rFonts w:hint="eastAsia"/>
          <w:b/>
          <w:color w:val="auto"/>
          <w:highlight w:val="none"/>
          <w:u w:val="none"/>
        </w:rPr>
        <w:t>3.技术规范及服务</w:t>
      </w:r>
    </w:p>
    <w:p>
      <w:pPr>
        <w:pStyle w:val="10"/>
        <w:pageBreakBefore w:val="0"/>
        <w:kinsoku/>
        <w:wordWrap/>
        <w:overflowPunct/>
        <w:topLinePunct w:val="0"/>
        <w:bidi w:val="0"/>
        <w:spacing w:line="300" w:lineRule="auto"/>
        <w:ind w:firstLine="420" w:firstLineChars="200"/>
        <w:rPr>
          <w:color w:val="auto"/>
          <w:highlight w:val="none"/>
          <w:u w:val="none"/>
        </w:rPr>
      </w:pPr>
      <w:r>
        <w:rPr>
          <w:rFonts w:hint="eastAsia"/>
          <w:color w:val="auto"/>
          <w:highlight w:val="none"/>
          <w:u w:val="none"/>
        </w:rPr>
        <w:t>3.1投标人应与招标人指派的答疑人员充分沟通，理解认可并接受相关技术规范及服务要求。</w:t>
      </w:r>
    </w:p>
    <w:p>
      <w:pPr>
        <w:pStyle w:val="10"/>
        <w:pageBreakBefore w:val="0"/>
        <w:kinsoku/>
        <w:wordWrap/>
        <w:overflowPunct/>
        <w:topLinePunct w:val="0"/>
        <w:bidi w:val="0"/>
        <w:spacing w:line="300" w:lineRule="auto"/>
        <w:ind w:firstLine="420" w:firstLineChars="200"/>
        <w:rPr>
          <w:color w:val="auto"/>
          <w:highlight w:val="none"/>
          <w:u w:val="none"/>
        </w:rPr>
      </w:pPr>
      <w:r>
        <w:rPr>
          <w:rFonts w:hint="eastAsia"/>
          <w:color w:val="auto"/>
          <w:highlight w:val="none"/>
          <w:u w:val="none"/>
        </w:rPr>
        <w:t>3.2投标人可免费提供的、包含但不限于招标人所要求的其他相关服务内容，按本招标书“第二章 投标文件编制”要求</w:t>
      </w:r>
      <w:r>
        <w:rPr>
          <w:rFonts w:hint="eastAsia"/>
          <w:color w:val="auto"/>
          <w:szCs w:val="22"/>
          <w:highlight w:val="none"/>
          <w:u w:val="none"/>
        </w:rPr>
        <w:t>，在</w:t>
      </w:r>
      <w:r>
        <w:rPr>
          <w:rFonts w:hint="eastAsia"/>
          <w:color w:val="auto"/>
          <w:highlight w:val="none"/>
          <w:u w:val="none"/>
        </w:rPr>
        <w:t>技术标中说明。</w:t>
      </w:r>
    </w:p>
    <w:p>
      <w:pPr>
        <w:pStyle w:val="10"/>
        <w:pageBreakBefore w:val="0"/>
        <w:kinsoku/>
        <w:wordWrap/>
        <w:overflowPunct/>
        <w:topLinePunct w:val="0"/>
        <w:bidi w:val="0"/>
        <w:spacing w:line="300" w:lineRule="auto"/>
        <w:ind w:firstLine="422" w:firstLineChars="200"/>
        <w:rPr>
          <w:b/>
          <w:color w:val="auto"/>
          <w:highlight w:val="none"/>
          <w:u w:val="none"/>
        </w:rPr>
      </w:pPr>
      <w:r>
        <w:rPr>
          <w:rFonts w:hint="eastAsia"/>
          <w:b/>
          <w:color w:val="auto"/>
          <w:highlight w:val="none"/>
          <w:u w:val="none"/>
        </w:rPr>
        <w:t>4.其他</w:t>
      </w:r>
    </w:p>
    <w:p>
      <w:pPr>
        <w:pStyle w:val="10"/>
        <w:pageBreakBefore w:val="0"/>
        <w:kinsoku/>
        <w:wordWrap/>
        <w:overflowPunct/>
        <w:topLinePunct w:val="0"/>
        <w:bidi w:val="0"/>
        <w:spacing w:line="300" w:lineRule="auto"/>
        <w:ind w:firstLine="420" w:firstLineChars="200"/>
        <w:rPr>
          <w:color w:val="auto"/>
          <w:highlight w:val="none"/>
          <w:u w:val="none"/>
        </w:rPr>
      </w:pPr>
      <w:r>
        <w:rPr>
          <w:rFonts w:hint="eastAsia"/>
          <w:color w:val="auto"/>
          <w:highlight w:val="none"/>
          <w:u w:val="none"/>
        </w:rPr>
        <w:t>投标人须认可招标人</w:t>
      </w:r>
      <w:r>
        <w:rPr>
          <w:rFonts w:hint="eastAsia"/>
          <w:b/>
          <w:bCs/>
          <w:color w:val="auto"/>
          <w:highlight w:val="none"/>
          <w:u w:val="none"/>
        </w:rPr>
        <w:t>由于招标人上级集团公司政策变化引起的合同签订前终止项目</w:t>
      </w:r>
      <w:r>
        <w:rPr>
          <w:rFonts w:hint="eastAsia"/>
          <w:color w:val="auto"/>
          <w:highlight w:val="none"/>
          <w:u w:val="none"/>
        </w:rPr>
        <w:t>的要求。如投标人不认可、不接受，则投标人在本招标书“第二章 投标文件编制”之“相关条款偏离表（含商务偏离及技术偏离）”中注明“不接受”字，招标人将视之为主动弃标。</w:t>
      </w:r>
    </w:p>
    <w:p>
      <w:pPr>
        <w:pStyle w:val="10"/>
        <w:pageBreakBefore w:val="0"/>
        <w:kinsoku/>
        <w:wordWrap/>
        <w:overflowPunct/>
        <w:topLinePunct w:val="0"/>
        <w:bidi w:val="0"/>
        <w:spacing w:line="300" w:lineRule="auto"/>
        <w:ind w:firstLine="420" w:firstLineChars="200"/>
        <w:rPr>
          <w:color w:val="auto"/>
          <w:highlight w:val="none"/>
          <w:u w:val="none"/>
        </w:rPr>
      </w:pPr>
      <w:r>
        <w:rPr>
          <w:rFonts w:hint="eastAsia"/>
          <w:color w:val="auto"/>
          <w:highlight w:val="none"/>
          <w:u w:val="none"/>
        </w:rPr>
        <w:t>其余未尽事宜，均按合同约定。</w:t>
      </w:r>
    </w:p>
    <w:p>
      <w:pPr>
        <w:pStyle w:val="10"/>
        <w:pageBreakBefore w:val="0"/>
        <w:numPr>
          <w:ilvl w:val="0"/>
          <w:numId w:val="1"/>
        </w:numPr>
        <w:kinsoku/>
        <w:wordWrap/>
        <w:overflowPunct/>
        <w:topLinePunct w:val="0"/>
        <w:bidi w:val="0"/>
        <w:spacing w:line="300" w:lineRule="auto"/>
        <w:ind w:firstLine="422" w:firstLineChars="200"/>
        <w:rPr>
          <w:b/>
          <w:color w:val="auto"/>
          <w:highlight w:val="none"/>
          <w:u w:val="none"/>
        </w:rPr>
      </w:pPr>
      <w:r>
        <w:rPr>
          <w:rFonts w:hint="eastAsia"/>
          <w:b/>
          <w:color w:val="auto"/>
          <w:highlight w:val="none"/>
          <w:u w:val="none"/>
        </w:rPr>
        <w:t>要求招标人或相关合同签订单位提供的配合，在标书文件中说明。</w:t>
      </w:r>
    </w:p>
    <w:p>
      <w:pPr>
        <w:pStyle w:val="17"/>
        <w:pageBreakBefore w:val="0"/>
        <w:numPr>
          <w:ilvl w:val="0"/>
          <w:numId w:val="2"/>
        </w:numPr>
        <w:kinsoku/>
        <w:wordWrap/>
        <w:overflowPunct/>
        <w:topLinePunct w:val="0"/>
        <w:bidi w:val="0"/>
        <w:spacing w:before="0" w:beforeAutospacing="0" w:after="0" w:afterAutospacing="0" w:line="300" w:lineRule="auto"/>
        <w:jc w:val="both"/>
        <w:rPr>
          <w:rFonts w:ascii="Arial" w:hAnsi="Arial" w:eastAsia="黑体"/>
          <w:b/>
          <w:bCs/>
          <w:color w:val="auto"/>
          <w:kern w:val="2"/>
          <w:sz w:val="32"/>
          <w:szCs w:val="32"/>
          <w:highlight w:val="none"/>
          <w:u w:val="none"/>
        </w:rPr>
      </w:pPr>
      <w:r>
        <w:rPr>
          <w:rFonts w:hint="eastAsia" w:ascii="Arial" w:hAnsi="Arial" w:eastAsia="黑体"/>
          <w:b/>
          <w:bCs/>
          <w:color w:val="auto"/>
          <w:kern w:val="2"/>
          <w:sz w:val="32"/>
          <w:szCs w:val="32"/>
          <w:highlight w:val="none"/>
          <w:u w:val="none"/>
        </w:rPr>
        <w:t>投标文件格式</w:t>
      </w:r>
    </w:p>
    <w:p>
      <w:pPr>
        <w:pStyle w:val="10"/>
        <w:pageBreakBefore w:val="0"/>
        <w:kinsoku/>
        <w:wordWrap/>
        <w:overflowPunct/>
        <w:topLinePunct w:val="0"/>
        <w:bidi w:val="0"/>
        <w:spacing w:line="300" w:lineRule="auto"/>
        <w:ind w:firstLine="420" w:firstLineChars="200"/>
        <w:rPr>
          <w:color w:val="auto"/>
          <w:highlight w:val="none"/>
          <w:u w:val="none"/>
        </w:rPr>
      </w:pPr>
      <w:r>
        <w:rPr>
          <w:rFonts w:hint="eastAsia"/>
          <w:color w:val="auto"/>
          <w:highlight w:val="none"/>
          <w:u w:val="none"/>
        </w:rPr>
        <w:t>见第二章“招标文件编制”</w:t>
      </w:r>
    </w:p>
    <w:p>
      <w:pPr>
        <w:pStyle w:val="5"/>
        <w:pageBreakBefore w:val="0"/>
        <w:kinsoku/>
        <w:wordWrap/>
        <w:overflowPunct/>
        <w:topLinePunct w:val="0"/>
        <w:bidi w:val="0"/>
        <w:spacing w:line="300" w:lineRule="auto"/>
        <w:rPr>
          <w:color w:val="auto"/>
          <w:highlight w:val="none"/>
          <w:u w:val="none"/>
        </w:rPr>
      </w:pPr>
      <w:r>
        <w:rPr>
          <w:rFonts w:hint="eastAsia"/>
          <w:color w:val="auto"/>
          <w:highlight w:val="none"/>
          <w:u w:val="none"/>
        </w:rPr>
        <w:t>八、投标、开标、评标</w:t>
      </w:r>
    </w:p>
    <w:p>
      <w:pPr>
        <w:pStyle w:val="10"/>
        <w:pageBreakBefore w:val="0"/>
        <w:kinsoku/>
        <w:wordWrap/>
        <w:overflowPunct/>
        <w:topLinePunct w:val="0"/>
        <w:bidi w:val="0"/>
        <w:spacing w:line="300" w:lineRule="auto"/>
        <w:ind w:firstLine="420" w:firstLineChars="200"/>
        <w:rPr>
          <w:color w:val="auto"/>
          <w:highlight w:val="none"/>
          <w:u w:val="none"/>
        </w:rPr>
      </w:pPr>
      <w:r>
        <w:rPr>
          <w:rFonts w:hint="eastAsia"/>
          <w:color w:val="auto"/>
          <w:highlight w:val="none"/>
          <w:u w:val="none"/>
        </w:rPr>
        <w:t>1.开标</w:t>
      </w:r>
    </w:p>
    <w:p>
      <w:pPr>
        <w:pStyle w:val="10"/>
        <w:pageBreakBefore w:val="0"/>
        <w:kinsoku/>
        <w:wordWrap/>
        <w:overflowPunct/>
        <w:topLinePunct w:val="0"/>
        <w:bidi w:val="0"/>
        <w:spacing w:line="300" w:lineRule="auto"/>
        <w:ind w:firstLine="420" w:firstLineChars="200"/>
        <w:rPr>
          <w:b/>
          <w:bCs/>
          <w:color w:val="auto"/>
          <w:highlight w:val="none"/>
          <w:u w:val="none"/>
        </w:rPr>
      </w:pPr>
      <w:r>
        <w:rPr>
          <w:rFonts w:hint="eastAsia"/>
          <w:color w:val="auto"/>
          <w:highlight w:val="none"/>
          <w:u w:val="none"/>
        </w:rPr>
        <w:t>所有报价货币单位均为：</w:t>
      </w:r>
      <w:r>
        <w:rPr>
          <w:rFonts w:hint="eastAsia"/>
          <w:b/>
          <w:bCs/>
          <w:color w:val="auto"/>
          <w:highlight w:val="none"/>
          <w:u w:val="none"/>
        </w:rPr>
        <w:t>元（人民币，不含税）。</w:t>
      </w:r>
    </w:p>
    <w:p>
      <w:pPr>
        <w:pStyle w:val="10"/>
        <w:pageBreakBefore w:val="0"/>
        <w:kinsoku/>
        <w:wordWrap/>
        <w:overflowPunct/>
        <w:topLinePunct w:val="0"/>
        <w:bidi w:val="0"/>
        <w:spacing w:line="300" w:lineRule="auto"/>
        <w:ind w:firstLine="420" w:firstLineChars="200"/>
        <w:rPr>
          <w:color w:val="auto"/>
          <w:szCs w:val="22"/>
          <w:highlight w:val="none"/>
          <w:u w:val="none"/>
        </w:rPr>
      </w:pPr>
      <w:r>
        <w:rPr>
          <w:rFonts w:hint="eastAsia"/>
          <w:color w:val="auto"/>
          <w:szCs w:val="22"/>
          <w:highlight w:val="none"/>
          <w:u w:val="none"/>
        </w:rPr>
        <w:t>2.投标文件的澄清</w:t>
      </w:r>
    </w:p>
    <w:p>
      <w:pPr>
        <w:pStyle w:val="10"/>
        <w:pageBreakBefore w:val="0"/>
        <w:kinsoku/>
        <w:wordWrap/>
        <w:overflowPunct/>
        <w:topLinePunct w:val="0"/>
        <w:bidi w:val="0"/>
        <w:spacing w:line="300" w:lineRule="auto"/>
        <w:ind w:firstLine="420" w:firstLineChars="200"/>
        <w:rPr>
          <w:color w:val="auto"/>
          <w:szCs w:val="22"/>
          <w:highlight w:val="none"/>
          <w:u w:val="none"/>
        </w:rPr>
      </w:pPr>
      <w:r>
        <w:rPr>
          <w:rFonts w:hint="eastAsia"/>
          <w:color w:val="auto"/>
          <w:szCs w:val="22"/>
          <w:highlight w:val="none"/>
          <w:u w:val="none"/>
        </w:rPr>
        <w:t>2.1为有助于对投标文件的审查、评价和比较，招标人要求投标人于开标现场对其投标文件进行澄清，投标人应按照招标人要求的附件答疑和澄清。澄清函应作为投标内容的一部分。</w:t>
      </w:r>
    </w:p>
    <w:p>
      <w:pPr>
        <w:pStyle w:val="10"/>
        <w:pageBreakBefore w:val="0"/>
        <w:kinsoku/>
        <w:wordWrap/>
        <w:overflowPunct/>
        <w:topLinePunct w:val="0"/>
        <w:bidi w:val="0"/>
        <w:spacing w:line="300" w:lineRule="auto"/>
        <w:ind w:firstLine="420" w:firstLineChars="200"/>
        <w:rPr>
          <w:color w:val="auto"/>
          <w:highlight w:val="none"/>
          <w:u w:val="none"/>
        </w:rPr>
      </w:pPr>
      <w:r>
        <w:rPr>
          <w:rFonts w:hint="eastAsia"/>
          <w:color w:val="auto"/>
          <w:highlight w:val="none"/>
          <w:u w:val="none"/>
        </w:rPr>
        <w:t>3.评标</w:t>
      </w:r>
    </w:p>
    <w:p>
      <w:pPr>
        <w:pStyle w:val="10"/>
        <w:pageBreakBefore w:val="0"/>
        <w:kinsoku/>
        <w:wordWrap/>
        <w:overflowPunct/>
        <w:topLinePunct w:val="0"/>
        <w:bidi w:val="0"/>
        <w:spacing w:line="300" w:lineRule="auto"/>
        <w:ind w:firstLine="420" w:firstLineChars="200"/>
        <w:rPr>
          <w:color w:val="auto"/>
          <w:highlight w:val="none"/>
          <w:u w:val="none"/>
        </w:rPr>
      </w:pPr>
      <w:r>
        <w:rPr>
          <w:rFonts w:hint="eastAsia" w:hAnsi="宋体"/>
          <w:color w:val="auto"/>
          <w:szCs w:val="21"/>
          <w:highlight w:val="none"/>
          <w:u w:val="none"/>
        </w:rPr>
        <w:t>3.1评标工作由招标人为该项目依法组织的、由三人及以上单数成员（视标的额大小按规定确定专家人数）组成的评标专家小组负责，参照以下评分标准，</w:t>
      </w:r>
      <w:r>
        <w:rPr>
          <w:rFonts w:hint="eastAsia"/>
          <w:color w:val="auto"/>
          <w:highlight w:val="none"/>
          <w:u w:val="none"/>
        </w:rPr>
        <w:t>采用综合评定法，即由评标工作小组按照国家招投标有关规定，本着公平、公正、公开、有序的原则，在最大限度地满足招标文件实质性要求的前提下，按照招标文件中规定的各项因素进行综合评审。</w:t>
      </w:r>
    </w:p>
    <w:p>
      <w:pPr>
        <w:pStyle w:val="10"/>
        <w:pageBreakBefore w:val="0"/>
        <w:kinsoku/>
        <w:wordWrap/>
        <w:overflowPunct/>
        <w:topLinePunct w:val="0"/>
        <w:bidi w:val="0"/>
        <w:spacing w:line="300" w:lineRule="auto"/>
        <w:ind w:firstLine="420" w:firstLineChars="200"/>
        <w:rPr>
          <w:rFonts w:hAnsi="宋体"/>
          <w:color w:val="auto"/>
          <w:szCs w:val="21"/>
          <w:highlight w:val="none"/>
          <w:u w:val="none"/>
        </w:rPr>
      </w:pPr>
      <w:r>
        <w:rPr>
          <w:rFonts w:hint="eastAsia" w:hAnsi="宋体"/>
          <w:color w:val="auto"/>
          <w:szCs w:val="21"/>
          <w:highlight w:val="none"/>
          <w:u w:val="none"/>
        </w:rPr>
        <w:t>3.2定标方式为综合得分最高者中标，不保证价格最低者中标，本次评标采取投标单位多轮报价逐级淘汰的方式。</w:t>
      </w:r>
    </w:p>
    <w:p>
      <w:pPr>
        <w:pStyle w:val="10"/>
        <w:pageBreakBefore w:val="0"/>
        <w:kinsoku/>
        <w:wordWrap/>
        <w:overflowPunct/>
        <w:topLinePunct w:val="0"/>
        <w:bidi w:val="0"/>
        <w:spacing w:line="300" w:lineRule="auto"/>
        <w:ind w:firstLine="422" w:firstLineChars="200"/>
        <w:rPr>
          <w:rFonts w:hAnsi="宋体"/>
          <w:b/>
          <w:bCs/>
          <w:color w:val="auto"/>
          <w:szCs w:val="21"/>
          <w:highlight w:val="none"/>
          <w:u w:val="none"/>
        </w:rPr>
      </w:pPr>
      <w:r>
        <w:rPr>
          <w:rFonts w:hint="eastAsia" w:hAnsi="宋体"/>
          <w:b/>
          <w:bCs/>
          <w:color w:val="auto"/>
          <w:szCs w:val="21"/>
          <w:highlight w:val="none"/>
          <w:u w:val="none"/>
        </w:rPr>
        <w:t>投标前请各投标人按照标书技术要求对项目方案进行充分准备，有意投标的单位应默认认同上述开标、评标过程，无异议。对未入围投标方及未中标人不做任何解释</w:t>
      </w:r>
      <w:r>
        <w:rPr>
          <w:rFonts w:hint="eastAsia"/>
          <w:b/>
          <w:bCs/>
          <w:color w:val="auto"/>
          <w:highlight w:val="none"/>
          <w:u w:val="none"/>
        </w:rPr>
        <w:t>。</w:t>
      </w:r>
    </w:p>
    <w:p>
      <w:pPr>
        <w:pStyle w:val="10"/>
        <w:pageBreakBefore w:val="0"/>
        <w:kinsoku/>
        <w:wordWrap/>
        <w:overflowPunct/>
        <w:topLinePunct w:val="0"/>
        <w:bidi w:val="0"/>
        <w:spacing w:line="300" w:lineRule="auto"/>
        <w:ind w:firstLine="420" w:firstLineChars="200"/>
        <w:rPr>
          <w:color w:val="auto"/>
          <w:highlight w:val="none"/>
          <w:u w:val="none"/>
        </w:rPr>
      </w:pPr>
      <w:r>
        <w:rPr>
          <w:rFonts w:hint="eastAsia"/>
          <w:color w:val="auto"/>
          <w:highlight w:val="none"/>
          <w:u w:val="none"/>
        </w:rPr>
        <w:t>4.评分标准</w:t>
      </w:r>
    </w:p>
    <w:p>
      <w:pPr>
        <w:pStyle w:val="17"/>
        <w:pageBreakBefore w:val="0"/>
        <w:kinsoku/>
        <w:wordWrap/>
        <w:overflowPunct/>
        <w:topLinePunct w:val="0"/>
        <w:bidi w:val="0"/>
        <w:spacing w:before="0" w:beforeAutospacing="0" w:after="0" w:afterAutospacing="0" w:line="300" w:lineRule="auto"/>
        <w:ind w:left="420" w:leftChars="200"/>
        <w:jc w:val="both"/>
        <w:rPr>
          <w:rFonts w:ascii="宋体" w:hAnsi="宋体"/>
          <w:color w:val="auto"/>
          <w:kern w:val="2"/>
          <w:sz w:val="21"/>
          <w:szCs w:val="21"/>
          <w:highlight w:val="none"/>
          <w:u w:val="none"/>
        </w:rPr>
      </w:pPr>
      <w:r>
        <w:rPr>
          <w:rFonts w:ascii="宋体" w:hAnsi="宋体" w:cs="宋体"/>
          <w:color w:val="auto"/>
          <w:kern w:val="2"/>
          <w:sz w:val="21"/>
          <w:szCs w:val="21"/>
          <w:highlight w:val="none"/>
          <w:u w:val="none"/>
          <w:lang w:bidi="ar"/>
        </w:rPr>
        <w:t>4.1</w:t>
      </w:r>
      <w:r>
        <w:rPr>
          <w:rFonts w:hint="eastAsia" w:ascii="宋体" w:hAnsi="宋体" w:cs="宋体"/>
          <w:color w:val="auto"/>
          <w:kern w:val="2"/>
          <w:sz w:val="21"/>
          <w:szCs w:val="21"/>
          <w:highlight w:val="none"/>
          <w:u w:val="none"/>
          <w:lang w:bidi="ar"/>
        </w:rPr>
        <w:t>工作小组进行开</w:t>
      </w:r>
      <w:r>
        <w:rPr>
          <w:rFonts w:hint="eastAsia" w:ascii="宋体" w:hAnsi="宋体"/>
          <w:color w:val="auto"/>
          <w:kern w:val="2"/>
          <w:sz w:val="21"/>
          <w:szCs w:val="21"/>
          <w:highlight w:val="none"/>
          <w:u w:val="none"/>
          <w:lang w:bidi="ar"/>
        </w:rPr>
        <w:t>/唱标工作.唱标人/记录人/监标人进行签字</w:t>
      </w:r>
      <w:r>
        <w:rPr>
          <w:rFonts w:hint="eastAsia" w:ascii="宋体" w:hAnsi="宋体"/>
          <w:color w:val="auto"/>
          <w:kern w:val="2"/>
          <w:sz w:val="21"/>
          <w:szCs w:val="21"/>
          <w:highlight w:val="none"/>
          <w:u w:val="none"/>
          <w:lang w:eastAsia="zh-CN" w:bidi="ar"/>
        </w:rPr>
        <w:t>。</w:t>
      </w:r>
    </w:p>
    <w:p>
      <w:pPr>
        <w:pStyle w:val="17"/>
        <w:pageBreakBefore w:val="0"/>
        <w:kinsoku/>
        <w:wordWrap/>
        <w:overflowPunct/>
        <w:topLinePunct w:val="0"/>
        <w:bidi w:val="0"/>
        <w:spacing w:before="0" w:beforeAutospacing="0" w:after="0" w:afterAutospacing="0" w:line="300" w:lineRule="auto"/>
        <w:ind w:firstLine="420" w:firstLineChars="200"/>
        <w:jc w:val="both"/>
        <w:rPr>
          <w:rFonts w:ascii="宋体" w:hAnsi="宋体"/>
          <w:color w:val="auto"/>
          <w:kern w:val="2"/>
          <w:sz w:val="21"/>
          <w:szCs w:val="21"/>
          <w:highlight w:val="none"/>
          <w:u w:val="none"/>
        </w:rPr>
      </w:pPr>
      <w:r>
        <w:rPr>
          <w:rFonts w:ascii="宋体" w:hAnsi="宋体" w:cs="宋体"/>
          <w:color w:val="auto"/>
          <w:kern w:val="2"/>
          <w:sz w:val="21"/>
          <w:szCs w:val="21"/>
          <w:highlight w:val="none"/>
          <w:u w:val="none"/>
          <w:lang w:bidi="ar"/>
        </w:rPr>
        <w:t>4.2</w:t>
      </w:r>
      <w:r>
        <w:rPr>
          <w:rFonts w:hint="eastAsia" w:ascii="宋体" w:hAnsi="宋体" w:cs="宋体"/>
          <w:color w:val="auto"/>
          <w:kern w:val="2"/>
          <w:sz w:val="21"/>
          <w:szCs w:val="21"/>
          <w:highlight w:val="none"/>
          <w:u w:val="none"/>
          <w:lang w:bidi="ar"/>
        </w:rPr>
        <w:t>技术标开标，专家审核推荐入围单位。</w:t>
      </w:r>
    </w:p>
    <w:p>
      <w:pPr>
        <w:pStyle w:val="17"/>
        <w:pageBreakBefore w:val="0"/>
        <w:kinsoku/>
        <w:wordWrap/>
        <w:overflowPunct/>
        <w:topLinePunct w:val="0"/>
        <w:bidi w:val="0"/>
        <w:spacing w:before="0" w:beforeAutospacing="0" w:after="0" w:afterAutospacing="0" w:line="300" w:lineRule="auto"/>
        <w:ind w:firstLine="420" w:firstLineChars="200"/>
        <w:jc w:val="both"/>
        <w:rPr>
          <w:rFonts w:ascii="宋体" w:hAnsi="宋体"/>
          <w:color w:val="auto"/>
          <w:kern w:val="2"/>
          <w:sz w:val="21"/>
          <w:szCs w:val="21"/>
          <w:highlight w:val="none"/>
          <w:u w:val="none"/>
        </w:rPr>
      </w:pPr>
      <w:r>
        <w:rPr>
          <w:rFonts w:ascii="宋体" w:hAnsi="宋体" w:cs="宋体"/>
          <w:color w:val="auto"/>
          <w:kern w:val="2"/>
          <w:sz w:val="21"/>
          <w:szCs w:val="21"/>
          <w:highlight w:val="none"/>
          <w:u w:val="none"/>
          <w:lang w:bidi="ar"/>
        </w:rPr>
        <w:t>4.3</w:t>
      </w:r>
      <w:r>
        <w:rPr>
          <w:rFonts w:hint="eastAsia" w:ascii="宋体" w:hAnsi="宋体" w:cs="宋体"/>
          <w:color w:val="auto"/>
          <w:kern w:val="2"/>
          <w:sz w:val="21"/>
          <w:szCs w:val="21"/>
          <w:highlight w:val="none"/>
          <w:u w:val="none"/>
          <w:lang w:bidi="ar"/>
        </w:rPr>
        <w:t>商务标开标，专家审核推荐入围单位。</w:t>
      </w:r>
    </w:p>
    <w:p>
      <w:pPr>
        <w:pStyle w:val="17"/>
        <w:pageBreakBefore w:val="0"/>
        <w:kinsoku/>
        <w:wordWrap/>
        <w:overflowPunct/>
        <w:topLinePunct w:val="0"/>
        <w:bidi w:val="0"/>
        <w:spacing w:before="0" w:beforeAutospacing="0" w:after="0" w:afterAutospacing="0" w:line="300" w:lineRule="auto"/>
        <w:ind w:firstLine="420" w:firstLineChars="200"/>
        <w:jc w:val="both"/>
        <w:rPr>
          <w:rFonts w:ascii="宋体" w:hAnsi="宋体"/>
          <w:color w:val="auto"/>
          <w:kern w:val="2"/>
          <w:sz w:val="21"/>
          <w:szCs w:val="21"/>
          <w:highlight w:val="none"/>
          <w:u w:val="none"/>
        </w:rPr>
      </w:pPr>
      <w:r>
        <w:rPr>
          <w:rFonts w:ascii="宋体" w:hAnsi="宋体" w:cs="宋体"/>
          <w:color w:val="auto"/>
          <w:kern w:val="2"/>
          <w:sz w:val="21"/>
          <w:szCs w:val="21"/>
          <w:highlight w:val="none"/>
          <w:u w:val="none"/>
          <w:lang w:bidi="ar"/>
        </w:rPr>
        <w:t>4.4</w:t>
      </w:r>
      <w:r>
        <w:rPr>
          <w:rFonts w:hint="eastAsia" w:ascii="宋体" w:hAnsi="宋体" w:cs="宋体"/>
          <w:color w:val="auto"/>
          <w:kern w:val="2"/>
          <w:sz w:val="21"/>
          <w:szCs w:val="21"/>
          <w:highlight w:val="none"/>
          <w:u w:val="none"/>
          <w:lang w:bidi="ar"/>
        </w:rPr>
        <w:t>专家进行技术和商务标综合评审，报主管领导审核。</w:t>
      </w:r>
    </w:p>
    <w:p>
      <w:pPr>
        <w:pStyle w:val="17"/>
        <w:pageBreakBefore w:val="0"/>
        <w:kinsoku/>
        <w:wordWrap/>
        <w:overflowPunct/>
        <w:topLinePunct w:val="0"/>
        <w:bidi w:val="0"/>
        <w:spacing w:before="0" w:beforeAutospacing="0" w:after="0" w:afterAutospacing="0" w:line="300" w:lineRule="auto"/>
        <w:ind w:firstLine="420" w:firstLineChars="200"/>
        <w:jc w:val="both"/>
        <w:rPr>
          <w:rFonts w:ascii="宋体" w:hAnsi="Courier New"/>
          <w:b/>
          <w:color w:val="auto"/>
          <w:kern w:val="2"/>
          <w:sz w:val="21"/>
          <w:szCs w:val="21"/>
          <w:highlight w:val="none"/>
          <w:u w:val="none"/>
          <w:lang w:bidi="ar"/>
        </w:rPr>
      </w:pPr>
      <w:r>
        <w:rPr>
          <w:rFonts w:hint="eastAsia" w:ascii="宋体" w:hAnsi="宋体" w:cs="宋体"/>
          <w:color w:val="auto"/>
          <w:kern w:val="2"/>
          <w:sz w:val="21"/>
          <w:szCs w:val="21"/>
          <w:highlight w:val="none"/>
          <w:u w:val="none"/>
          <w:lang w:bidi="ar"/>
        </w:rPr>
        <w:t>注明：电子标书一定要提供</w:t>
      </w:r>
      <w:r>
        <w:rPr>
          <w:rFonts w:hint="eastAsia" w:ascii="宋体" w:hAnsi="宋体"/>
          <w:color w:val="auto"/>
          <w:kern w:val="2"/>
          <w:sz w:val="21"/>
          <w:szCs w:val="21"/>
          <w:highlight w:val="none"/>
          <w:u w:val="none"/>
          <w:lang w:bidi="ar"/>
        </w:rPr>
        <w:t>U盘（4G以上正规品牌），U盘内分别存入本次招标投标方所提供的电子版和PDF版，如有病毒造成设备损坏一切后果由投标方负责。不提供电子标书将不退还保证金。</w:t>
      </w:r>
      <w:r>
        <w:rPr>
          <w:rFonts w:hint="eastAsia" w:ascii="宋体" w:hAnsi="宋体" w:cs="宋体"/>
          <w:b/>
          <w:color w:val="auto"/>
          <w:kern w:val="2"/>
          <w:sz w:val="21"/>
          <w:szCs w:val="21"/>
          <w:highlight w:val="none"/>
          <w:u w:val="none"/>
          <w:lang w:bidi="ar"/>
        </w:rPr>
        <w:t>本次招标评价分为几个方面，总赋分为</w:t>
      </w:r>
      <w:r>
        <w:rPr>
          <w:rFonts w:hint="eastAsia" w:ascii="宋体" w:hAnsi="Courier New"/>
          <w:b/>
          <w:color w:val="auto"/>
          <w:kern w:val="2"/>
          <w:sz w:val="21"/>
          <w:szCs w:val="21"/>
          <w:highlight w:val="none"/>
          <w:u w:val="none"/>
          <w:lang w:bidi="ar"/>
        </w:rPr>
        <w:t>100分。</w:t>
      </w:r>
    </w:p>
    <w:tbl>
      <w:tblPr>
        <w:tblStyle w:val="20"/>
        <w:tblW w:w="0" w:type="auto"/>
        <w:tblInd w:w="0" w:type="dxa"/>
        <w:tblLayout w:type="fixed"/>
        <w:tblCellMar>
          <w:top w:w="15" w:type="dxa"/>
          <w:left w:w="15" w:type="dxa"/>
          <w:bottom w:w="15" w:type="dxa"/>
          <w:right w:w="15" w:type="dxa"/>
        </w:tblCellMar>
      </w:tblPr>
      <w:tblGrid>
        <w:gridCol w:w="888"/>
        <w:gridCol w:w="888"/>
        <w:gridCol w:w="1333"/>
        <w:gridCol w:w="5653"/>
      </w:tblGrid>
      <w:tr>
        <w:tblPrEx>
          <w:tblCellMar>
            <w:top w:w="15" w:type="dxa"/>
            <w:left w:w="15" w:type="dxa"/>
            <w:bottom w:w="15" w:type="dxa"/>
            <w:right w:w="15" w:type="dxa"/>
          </w:tblCellMar>
        </w:tblPrEx>
        <w:trPr>
          <w:trHeight w:val="900"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序号</w:t>
            </w:r>
          </w:p>
        </w:tc>
        <w:tc>
          <w:tcPr>
            <w:tcW w:w="787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评审内容（100分）</w:t>
            </w:r>
          </w:p>
        </w:tc>
      </w:tr>
      <w:tr>
        <w:tblPrEx>
          <w:tblCellMar>
            <w:top w:w="15" w:type="dxa"/>
            <w:left w:w="15" w:type="dxa"/>
            <w:bottom w:w="15" w:type="dxa"/>
            <w:right w:w="15" w:type="dxa"/>
          </w:tblCellMar>
        </w:tblPrEx>
        <w:trPr>
          <w:trHeight w:val="840" w:hRule="atLeast"/>
        </w:trPr>
        <w:tc>
          <w:tcPr>
            <w:tcW w:w="88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1</w:t>
            </w:r>
          </w:p>
        </w:tc>
        <w:tc>
          <w:tcPr>
            <w:tcW w:w="88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技术标（45分)</w:t>
            </w:r>
          </w:p>
        </w:tc>
        <w:tc>
          <w:tcPr>
            <w:tcW w:w="13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cs="宋体"/>
                <w:color w:val="auto"/>
                <w:kern w:val="0"/>
                <w:sz w:val="20"/>
                <w:szCs w:val="20"/>
                <w:highlight w:val="none"/>
                <w:u w:val="none"/>
                <w:lang w:bidi="ar"/>
              </w:rPr>
            </w:pPr>
            <w:r>
              <w:rPr>
                <w:rFonts w:hint="eastAsia" w:ascii="宋体" w:hAnsi="宋体" w:cs="宋体"/>
                <w:color w:val="auto"/>
                <w:kern w:val="0"/>
                <w:sz w:val="20"/>
                <w:szCs w:val="20"/>
                <w:highlight w:val="none"/>
                <w:u w:val="none"/>
                <w:lang w:bidi="ar"/>
              </w:rPr>
              <w:t>技术方案部分</w:t>
            </w:r>
          </w:p>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（30分）</w:t>
            </w:r>
          </w:p>
        </w:tc>
        <w:tc>
          <w:tcPr>
            <w:tcW w:w="5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left"/>
              <w:textAlignment w:val="center"/>
              <w:rPr>
                <w:rFonts w:hint="default" w:ascii="宋体" w:hAnsi="宋体" w:cs="宋体"/>
                <w:color w:val="auto"/>
                <w:sz w:val="20"/>
                <w:szCs w:val="20"/>
                <w:highlight w:val="none"/>
                <w:u w:val="none"/>
              </w:rPr>
            </w:pPr>
            <w:r>
              <w:rPr>
                <w:rFonts w:hint="default" w:ascii="宋体" w:hAnsi="宋体" w:cs="宋体"/>
                <w:color w:val="auto"/>
                <w:sz w:val="20"/>
                <w:szCs w:val="20"/>
                <w:highlight w:val="none"/>
                <w:u w:val="none"/>
              </w:rPr>
              <w:t>技术实施方案0-15分：优12-15分，良8-12分，一般0-7分；</w:t>
            </w:r>
          </w:p>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left"/>
              <w:textAlignment w:val="center"/>
              <w:rPr>
                <w:rFonts w:hint="default" w:ascii="宋体" w:hAnsi="宋体" w:cs="宋体"/>
                <w:color w:val="auto"/>
                <w:sz w:val="20"/>
                <w:szCs w:val="20"/>
                <w:highlight w:val="none"/>
                <w:u w:val="none"/>
              </w:rPr>
            </w:pPr>
            <w:r>
              <w:rPr>
                <w:rFonts w:hint="default" w:ascii="宋体" w:hAnsi="宋体" w:cs="宋体"/>
                <w:color w:val="auto"/>
                <w:sz w:val="20"/>
                <w:szCs w:val="20"/>
                <w:highlight w:val="none"/>
                <w:u w:val="none"/>
              </w:rPr>
              <w:t>工艺难点认识程度0-10分：优8-10分，良5-8分，一般0-5分；</w:t>
            </w:r>
          </w:p>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left"/>
              <w:textAlignment w:val="center"/>
              <w:rPr>
                <w:rFonts w:hint="default" w:ascii="宋体" w:hAnsi="宋体" w:cs="宋体"/>
                <w:color w:val="auto"/>
                <w:sz w:val="20"/>
                <w:szCs w:val="20"/>
                <w:highlight w:val="none"/>
                <w:u w:val="none"/>
              </w:rPr>
            </w:pPr>
            <w:r>
              <w:rPr>
                <w:rFonts w:hint="default" w:ascii="宋体" w:hAnsi="宋体" w:cs="宋体"/>
                <w:color w:val="auto"/>
                <w:sz w:val="20"/>
                <w:szCs w:val="20"/>
                <w:highlight w:val="none"/>
                <w:u w:val="none"/>
              </w:rPr>
              <w:t>职业危害健康与安全防范0-5分：优4-5分，良2-3分，一般0-1分。</w:t>
            </w:r>
          </w:p>
        </w:tc>
      </w:tr>
      <w:tr>
        <w:tblPrEx>
          <w:tblCellMar>
            <w:top w:w="15" w:type="dxa"/>
            <w:left w:w="15" w:type="dxa"/>
            <w:bottom w:w="15" w:type="dxa"/>
            <w:right w:w="15" w:type="dxa"/>
          </w:tblCellMar>
        </w:tblPrEx>
        <w:trPr>
          <w:trHeight w:val="960" w:hRule="atLeast"/>
        </w:trPr>
        <w:tc>
          <w:tcPr>
            <w:tcW w:w="88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宋体"/>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宋体"/>
                <w:color w:val="auto"/>
                <w:sz w:val="20"/>
                <w:szCs w:val="20"/>
                <w:highlight w:val="none"/>
                <w:u w:val="none"/>
              </w:rPr>
            </w:pPr>
          </w:p>
        </w:tc>
        <w:tc>
          <w:tcPr>
            <w:tcW w:w="13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cs="宋体"/>
                <w:color w:val="auto"/>
                <w:sz w:val="20"/>
                <w:szCs w:val="20"/>
                <w:highlight w:val="none"/>
                <w:u w:val="none"/>
              </w:rPr>
            </w:pPr>
            <w:r>
              <w:rPr>
                <w:rFonts w:hint="eastAsia" w:ascii="宋体" w:hAnsi="宋体" w:cs="宋体"/>
                <w:color w:val="auto"/>
                <w:sz w:val="20"/>
                <w:szCs w:val="20"/>
                <w:highlight w:val="none"/>
                <w:u w:val="none"/>
              </w:rPr>
              <w:t>资信情况和履约能力</w:t>
            </w:r>
          </w:p>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cs="宋体"/>
                <w:color w:val="auto"/>
                <w:sz w:val="20"/>
                <w:szCs w:val="20"/>
                <w:highlight w:val="none"/>
                <w:u w:val="none"/>
              </w:rPr>
            </w:pPr>
            <w:r>
              <w:rPr>
                <w:rFonts w:hint="eastAsia" w:ascii="宋体" w:hAnsi="宋体" w:cs="宋体"/>
                <w:color w:val="auto"/>
                <w:sz w:val="20"/>
                <w:szCs w:val="20"/>
                <w:highlight w:val="none"/>
                <w:u w:val="none"/>
              </w:rPr>
              <w:t>（5分）</w:t>
            </w:r>
          </w:p>
        </w:tc>
        <w:tc>
          <w:tcPr>
            <w:tcW w:w="5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left"/>
              <w:textAlignment w:val="center"/>
              <w:rPr>
                <w:rFonts w:hint="default" w:ascii="宋体" w:hAnsi="宋体" w:cs="宋体"/>
                <w:color w:val="auto"/>
                <w:sz w:val="20"/>
                <w:szCs w:val="20"/>
                <w:highlight w:val="none"/>
                <w:u w:val="none"/>
              </w:rPr>
            </w:pPr>
            <w:r>
              <w:rPr>
                <w:rFonts w:hint="default" w:ascii="宋体" w:hAnsi="宋体" w:cs="宋体"/>
                <w:color w:val="auto"/>
                <w:sz w:val="20"/>
                <w:szCs w:val="20"/>
                <w:highlight w:val="none"/>
                <w:u w:val="none"/>
              </w:rPr>
              <w:t>视投标人的综合实力、资质、企业信誉认证情况、第三方独立评估机构出具的资信等级情况、财务状况履约能力情况0-5分：优4-5分，良2-3分，一般0-1分。</w:t>
            </w:r>
          </w:p>
        </w:tc>
      </w:tr>
      <w:tr>
        <w:tblPrEx>
          <w:tblCellMar>
            <w:top w:w="15" w:type="dxa"/>
            <w:left w:w="15" w:type="dxa"/>
            <w:bottom w:w="15" w:type="dxa"/>
            <w:right w:w="15" w:type="dxa"/>
          </w:tblCellMar>
        </w:tblPrEx>
        <w:trPr>
          <w:trHeight w:val="795" w:hRule="atLeast"/>
        </w:trPr>
        <w:tc>
          <w:tcPr>
            <w:tcW w:w="88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宋体"/>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宋体"/>
                <w:color w:val="auto"/>
                <w:sz w:val="20"/>
                <w:szCs w:val="20"/>
                <w:highlight w:val="none"/>
                <w:u w:val="none"/>
              </w:rPr>
            </w:pPr>
          </w:p>
        </w:tc>
        <w:tc>
          <w:tcPr>
            <w:tcW w:w="13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cs="宋体"/>
                <w:color w:val="auto"/>
                <w:sz w:val="20"/>
                <w:szCs w:val="20"/>
                <w:highlight w:val="none"/>
                <w:u w:val="none"/>
              </w:rPr>
            </w:pPr>
            <w:r>
              <w:rPr>
                <w:rFonts w:hint="eastAsia" w:ascii="宋体" w:hAnsi="宋体" w:cs="宋体"/>
                <w:color w:val="auto"/>
                <w:sz w:val="20"/>
                <w:szCs w:val="20"/>
                <w:highlight w:val="none"/>
                <w:u w:val="none"/>
              </w:rPr>
              <w:t>类似业绩</w:t>
            </w:r>
          </w:p>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cs="宋体"/>
                <w:color w:val="auto"/>
                <w:sz w:val="20"/>
                <w:szCs w:val="20"/>
                <w:highlight w:val="none"/>
                <w:u w:val="none"/>
              </w:rPr>
            </w:pPr>
            <w:r>
              <w:rPr>
                <w:rFonts w:hint="eastAsia" w:ascii="宋体" w:hAnsi="宋体" w:cs="宋体"/>
                <w:color w:val="auto"/>
                <w:sz w:val="20"/>
                <w:szCs w:val="20"/>
                <w:highlight w:val="none"/>
                <w:u w:val="none"/>
              </w:rPr>
              <w:t>（5分）</w:t>
            </w:r>
          </w:p>
        </w:tc>
        <w:tc>
          <w:tcPr>
            <w:tcW w:w="5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left"/>
              <w:textAlignment w:val="center"/>
              <w:rPr>
                <w:rFonts w:hint="default" w:ascii="宋体" w:hAnsi="宋体" w:cs="宋体"/>
                <w:color w:val="auto"/>
                <w:sz w:val="20"/>
                <w:szCs w:val="20"/>
                <w:highlight w:val="none"/>
                <w:u w:val="none"/>
              </w:rPr>
            </w:pPr>
            <w:r>
              <w:rPr>
                <w:rFonts w:hint="default" w:ascii="宋体" w:hAnsi="宋体" w:cs="宋体"/>
                <w:color w:val="auto"/>
                <w:sz w:val="20"/>
                <w:szCs w:val="20"/>
                <w:highlight w:val="none"/>
                <w:u w:val="none"/>
              </w:rPr>
              <w:t>根据投标人近3年同类项目业绩实施情况进行评分；在山东重工下属企业中有同类项目业务的，得3分；非山东重工企业有同类项目业务得2分，最高得5分。</w:t>
            </w:r>
          </w:p>
        </w:tc>
      </w:tr>
      <w:tr>
        <w:tblPrEx>
          <w:tblCellMar>
            <w:top w:w="15" w:type="dxa"/>
            <w:left w:w="15" w:type="dxa"/>
            <w:bottom w:w="15" w:type="dxa"/>
            <w:right w:w="15" w:type="dxa"/>
          </w:tblCellMar>
        </w:tblPrEx>
        <w:trPr>
          <w:trHeight w:val="930" w:hRule="atLeast"/>
        </w:trPr>
        <w:tc>
          <w:tcPr>
            <w:tcW w:w="88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宋体"/>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宋体"/>
                <w:color w:val="auto"/>
                <w:sz w:val="20"/>
                <w:szCs w:val="20"/>
                <w:highlight w:val="none"/>
                <w:u w:val="none"/>
              </w:rPr>
            </w:pPr>
          </w:p>
        </w:tc>
        <w:tc>
          <w:tcPr>
            <w:tcW w:w="13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cs="宋体"/>
                <w:color w:val="auto"/>
                <w:sz w:val="20"/>
                <w:szCs w:val="20"/>
                <w:highlight w:val="none"/>
                <w:u w:val="none"/>
              </w:rPr>
            </w:pPr>
            <w:r>
              <w:rPr>
                <w:rFonts w:hint="eastAsia" w:ascii="宋体" w:hAnsi="宋体" w:cs="宋体"/>
                <w:color w:val="auto"/>
                <w:sz w:val="20"/>
                <w:szCs w:val="20"/>
                <w:highlight w:val="none"/>
                <w:u w:val="none"/>
              </w:rPr>
              <w:t>标书编制及对招标文件的响应情况（5分）</w:t>
            </w:r>
          </w:p>
        </w:tc>
        <w:tc>
          <w:tcPr>
            <w:tcW w:w="5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left"/>
              <w:textAlignment w:val="center"/>
              <w:rPr>
                <w:rFonts w:hint="default" w:ascii="宋体" w:hAnsi="宋体" w:cs="宋体"/>
                <w:color w:val="auto"/>
                <w:sz w:val="20"/>
                <w:szCs w:val="20"/>
                <w:highlight w:val="none"/>
                <w:u w:val="none"/>
              </w:rPr>
            </w:pPr>
            <w:r>
              <w:rPr>
                <w:rFonts w:hint="default" w:ascii="宋体" w:hAnsi="宋体" w:cs="宋体"/>
                <w:color w:val="auto"/>
                <w:sz w:val="20"/>
                <w:szCs w:val="20"/>
                <w:highlight w:val="none"/>
                <w:u w:val="none"/>
              </w:rPr>
              <w:t>内容完整齐全，对招标文件响应程度等情况0-5分：优4-5分，良2-3分，一般0-1分。</w:t>
            </w:r>
          </w:p>
        </w:tc>
      </w:tr>
      <w:tr>
        <w:tblPrEx>
          <w:tblCellMar>
            <w:top w:w="15" w:type="dxa"/>
            <w:left w:w="15" w:type="dxa"/>
            <w:bottom w:w="15" w:type="dxa"/>
            <w:right w:w="15" w:type="dxa"/>
          </w:tblCellMar>
        </w:tblPrEx>
        <w:trPr>
          <w:trHeight w:val="1951"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2</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商务标（55分）</w:t>
            </w:r>
          </w:p>
        </w:tc>
        <w:tc>
          <w:tcPr>
            <w:tcW w:w="69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left"/>
              <w:textAlignment w:val="center"/>
              <w:rPr>
                <w:rFonts w:hint="default" w:ascii="宋体" w:hAnsi="宋体" w:cs="宋体"/>
                <w:color w:val="auto"/>
                <w:kern w:val="0"/>
                <w:sz w:val="20"/>
                <w:szCs w:val="20"/>
                <w:highlight w:val="none"/>
                <w:u w:val="none"/>
                <w:lang w:bidi="ar"/>
              </w:rPr>
            </w:pPr>
            <w:r>
              <w:rPr>
                <w:rFonts w:hint="eastAsia" w:ascii="宋体" w:hAnsi="宋体" w:cs="宋体"/>
                <w:color w:val="auto"/>
                <w:kern w:val="0"/>
                <w:sz w:val="20"/>
                <w:szCs w:val="20"/>
                <w:highlight w:val="none"/>
                <w:u w:val="none"/>
                <w:lang w:bidi="ar"/>
              </w:rPr>
              <w:t>1.经初审合格的投标文件其投标报价为有效报价。</w:t>
            </w:r>
          </w:p>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left"/>
              <w:textAlignment w:val="center"/>
              <w:rPr>
                <w:rFonts w:hint="default" w:ascii="宋体" w:hAnsi="宋体" w:cs="宋体"/>
                <w:color w:val="auto"/>
                <w:kern w:val="0"/>
                <w:sz w:val="20"/>
                <w:szCs w:val="20"/>
                <w:highlight w:val="none"/>
                <w:u w:val="none"/>
                <w:lang w:bidi="ar"/>
              </w:rPr>
            </w:pPr>
            <w:r>
              <w:rPr>
                <w:rFonts w:hint="eastAsia" w:ascii="宋体" w:hAnsi="宋体" w:cs="宋体"/>
                <w:color w:val="auto"/>
                <w:kern w:val="0"/>
                <w:sz w:val="20"/>
                <w:szCs w:val="20"/>
                <w:highlight w:val="none"/>
                <w:u w:val="none"/>
                <w:lang w:bidi="ar"/>
              </w:rPr>
              <w:t>满足招标文件要求且投标报价最低的投标报价为评标基准价，其价格分为满分（标准分）</w:t>
            </w:r>
          </w:p>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left"/>
              <w:textAlignment w:val="center"/>
              <w:rPr>
                <w:rFonts w:hint="default" w:ascii="宋体" w:hAnsi="宋体" w:cs="宋体"/>
                <w:color w:val="auto"/>
                <w:kern w:val="0"/>
                <w:sz w:val="20"/>
                <w:szCs w:val="20"/>
                <w:highlight w:val="none"/>
                <w:u w:val="none"/>
                <w:lang w:bidi="ar"/>
              </w:rPr>
            </w:pPr>
            <w:r>
              <w:rPr>
                <w:rFonts w:hint="eastAsia" w:ascii="宋体" w:hAnsi="宋体" w:cs="宋体"/>
                <w:color w:val="auto"/>
                <w:kern w:val="0"/>
                <w:sz w:val="20"/>
                <w:szCs w:val="20"/>
                <w:highlight w:val="none"/>
                <w:u w:val="none"/>
                <w:lang w:bidi="ar"/>
              </w:rPr>
              <w:t>2.其他投标人的价格分统一按照下列公式计算：投标报价得分=(评标基准价/投标报价）X55。</w:t>
            </w:r>
          </w:p>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left"/>
              <w:textAlignment w:val="center"/>
              <w:rPr>
                <w:rFonts w:hint="default"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3.百分率、得分值小数点后保留二位，第三位四舍五入。</w:t>
            </w:r>
          </w:p>
        </w:tc>
      </w:tr>
    </w:tbl>
    <w:p>
      <w:pPr>
        <w:pStyle w:val="10"/>
        <w:pageBreakBefore w:val="0"/>
        <w:kinsoku/>
        <w:wordWrap/>
        <w:overflowPunct/>
        <w:topLinePunct w:val="0"/>
        <w:bidi w:val="0"/>
        <w:spacing w:line="300" w:lineRule="auto"/>
        <w:ind w:firstLine="422" w:firstLineChars="200"/>
        <w:rPr>
          <w:rFonts w:ascii="黑体" w:eastAsia="黑体"/>
          <w:b/>
          <w:bCs/>
          <w:color w:val="auto"/>
          <w:sz w:val="28"/>
          <w:highlight w:val="none"/>
          <w:u w:val="none"/>
        </w:rPr>
      </w:pPr>
      <w:r>
        <w:rPr>
          <w:rFonts w:hint="eastAsia"/>
          <w:b/>
          <w:color w:val="auto"/>
          <w:highlight w:val="none"/>
          <w:u w:val="none"/>
        </w:rPr>
        <w:t xml:space="preserve"> </w:t>
      </w:r>
      <w:r>
        <w:rPr>
          <w:rFonts w:hint="eastAsia" w:hAnsi="宋体"/>
          <w:b/>
          <w:bCs/>
          <w:color w:val="auto"/>
          <w:sz w:val="24"/>
          <w:highlight w:val="none"/>
          <w:u w:val="none"/>
        </w:rPr>
        <w:t>综合得分高者中标</w:t>
      </w:r>
      <w:r>
        <w:rPr>
          <w:rFonts w:hAnsi="宋体"/>
          <w:b/>
          <w:bCs/>
          <w:color w:val="auto"/>
          <w:sz w:val="24"/>
          <w:highlight w:val="none"/>
          <w:u w:val="none"/>
        </w:rPr>
        <w:t>，不保证价低者中标。</w:t>
      </w:r>
    </w:p>
    <w:p>
      <w:pPr>
        <w:pStyle w:val="10"/>
        <w:pageBreakBefore w:val="0"/>
        <w:kinsoku/>
        <w:wordWrap/>
        <w:overflowPunct/>
        <w:topLinePunct w:val="0"/>
        <w:bidi w:val="0"/>
        <w:spacing w:line="300" w:lineRule="auto"/>
        <w:rPr>
          <w:rFonts w:ascii="黑体" w:eastAsia="黑体"/>
          <w:b/>
          <w:bCs/>
          <w:color w:val="auto"/>
          <w:sz w:val="28"/>
          <w:szCs w:val="22"/>
          <w:highlight w:val="none"/>
          <w:u w:val="none"/>
        </w:rPr>
      </w:pPr>
      <w:r>
        <w:rPr>
          <w:rFonts w:hint="eastAsia" w:ascii="黑体" w:eastAsia="黑体"/>
          <w:b/>
          <w:bCs/>
          <w:color w:val="auto"/>
          <w:sz w:val="28"/>
          <w:szCs w:val="22"/>
          <w:highlight w:val="none"/>
          <w:u w:val="none"/>
        </w:rPr>
        <w:t>九、合同签订</w:t>
      </w:r>
    </w:p>
    <w:p>
      <w:pPr>
        <w:pStyle w:val="10"/>
        <w:pageBreakBefore w:val="0"/>
        <w:kinsoku/>
        <w:wordWrap/>
        <w:overflowPunct/>
        <w:topLinePunct w:val="0"/>
        <w:bidi w:val="0"/>
        <w:spacing w:line="300" w:lineRule="auto"/>
        <w:ind w:firstLine="420" w:firstLineChars="200"/>
        <w:rPr>
          <w:color w:val="auto"/>
          <w:highlight w:val="none"/>
          <w:u w:val="none"/>
        </w:rPr>
      </w:pPr>
      <w:r>
        <w:rPr>
          <w:rFonts w:hint="eastAsia"/>
          <w:color w:val="auto"/>
          <w:highlight w:val="none"/>
          <w:u w:val="none"/>
        </w:rPr>
        <w:t>1.</w:t>
      </w:r>
      <w:r>
        <w:rPr>
          <w:rFonts w:hint="eastAsia" w:hAnsi="宋体"/>
          <w:color w:val="auto"/>
          <w:szCs w:val="21"/>
          <w:highlight w:val="none"/>
          <w:u w:val="none"/>
        </w:rPr>
        <w:t>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pPr>
        <w:pStyle w:val="10"/>
        <w:pageBreakBefore w:val="0"/>
        <w:kinsoku/>
        <w:wordWrap/>
        <w:overflowPunct/>
        <w:topLinePunct w:val="0"/>
        <w:bidi w:val="0"/>
        <w:spacing w:line="300" w:lineRule="auto"/>
        <w:ind w:firstLine="420" w:firstLineChars="200"/>
        <w:rPr>
          <w:rFonts w:hAnsi="宋体"/>
          <w:color w:val="auto"/>
          <w:szCs w:val="21"/>
          <w:highlight w:val="none"/>
          <w:u w:val="none"/>
        </w:rPr>
      </w:pPr>
      <w:r>
        <w:rPr>
          <w:rFonts w:hint="eastAsia" w:hAnsi="宋体"/>
          <w:color w:val="auto"/>
          <w:szCs w:val="21"/>
          <w:highlight w:val="none"/>
          <w:u w:val="none"/>
        </w:rPr>
        <w:t>2.招标人发送《中标通知书》给中标人，中标人应及时与招标人联系，在招标人要求的时间内完成合同签订，如果中标人接到《中标通知书》后，</w:t>
      </w:r>
      <w:r>
        <w:rPr>
          <w:rFonts w:hint="eastAsia" w:hAnsi="宋体"/>
          <w:b/>
          <w:bCs/>
          <w:color w:val="auto"/>
          <w:szCs w:val="21"/>
          <w:highlight w:val="none"/>
          <w:u w:val="none"/>
        </w:rPr>
        <w:t>无正当理由拒绝按其规定的期限与相关单位签订合同或在签订合同时向招标人或相关单位提出附加条件或者更改合同实质性内容的，</w:t>
      </w:r>
      <w:r>
        <w:rPr>
          <w:b/>
          <w:bCs/>
          <w:color w:val="auto"/>
          <w:highlight w:val="none"/>
          <w:u w:val="none"/>
        </w:rPr>
        <w:t>投标保证金不予返还</w:t>
      </w:r>
      <w:r>
        <w:rPr>
          <w:rFonts w:hint="eastAsia"/>
          <w:b/>
          <w:bCs/>
          <w:color w:val="auto"/>
          <w:highlight w:val="none"/>
          <w:u w:val="none"/>
        </w:rPr>
        <w:t>，</w:t>
      </w:r>
      <w:r>
        <w:rPr>
          <w:rFonts w:hint="eastAsia" w:hAnsi="宋体"/>
          <w:b/>
          <w:bCs/>
          <w:color w:val="auto"/>
          <w:szCs w:val="21"/>
          <w:highlight w:val="none"/>
          <w:u w:val="none"/>
        </w:rPr>
        <w:t>招标人有权取消其中标资格，招标人将从剩余投标人中依序重新确定中标人，或重新组织招标。</w:t>
      </w:r>
    </w:p>
    <w:p>
      <w:pPr>
        <w:pStyle w:val="10"/>
        <w:pageBreakBefore w:val="0"/>
        <w:kinsoku/>
        <w:wordWrap/>
        <w:overflowPunct/>
        <w:topLinePunct w:val="0"/>
        <w:bidi w:val="0"/>
        <w:spacing w:line="300" w:lineRule="auto"/>
        <w:ind w:firstLine="420" w:firstLineChars="200"/>
        <w:rPr>
          <w:rFonts w:hAnsi="宋体"/>
          <w:color w:val="auto"/>
          <w:szCs w:val="21"/>
          <w:highlight w:val="none"/>
          <w:u w:val="none"/>
        </w:rPr>
      </w:pPr>
      <w:r>
        <w:rPr>
          <w:rFonts w:hint="eastAsia" w:hAnsi="宋体"/>
          <w:color w:val="auto"/>
          <w:szCs w:val="21"/>
          <w:highlight w:val="none"/>
          <w:u w:val="none"/>
        </w:rPr>
        <w:t>3.中标人应当按照合同约定的履约责任，</w:t>
      </w:r>
      <w:r>
        <w:rPr>
          <w:rFonts w:hint="eastAsia" w:hAnsi="宋体"/>
          <w:color w:val="auto"/>
          <w:highlight w:val="none"/>
          <w:u w:val="none"/>
        </w:rPr>
        <w:t>向招标人指定的合同签订单位缴纳履约保证金/万元（具体数额以合同约定为准），如中标人未按合同及其附件约定履行应承担的责任，招标人或招标人指定的合同签订单位有权扣除其履约保证金。</w:t>
      </w:r>
    </w:p>
    <w:p>
      <w:pPr>
        <w:pStyle w:val="10"/>
        <w:pageBreakBefore w:val="0"/>
        <w:kinsoku/>
        <w:wordWrap/>
        <w:overflowPunct/>
        <w:topLinePunct w:val="0"/>
        <w:bidi w:val="0"/>
        <w:spacing w:line="300" w:lineRule="auto"/>
        <w:ind w:firstLine="420" w:firstLineChars="200"/>
        <w:rPr>
          <w:rFonts w:hAnsi="宋体"/>
          <w:color w:val="auto"/>
          <w:szCs w:val="21"/>
          <w:highlight w:val="none"/>
          <w:u w:val="none"/>
        </w:rPr>
      </w:pPr>
      <w:r>
        <w:rPr>
          <w:rFonts w:hint="eastAsia" w:hAnsi="宋体"/>
          <w:color w:val="auto"/>
          <w:szCs w:val="21"/>
          <w:highlight w:val="none"/>
          <w:u w:val="none"/>
        </w:rPr>
        <w:t>4.中标人应在保证质量的前提下完成中标项目，不得将中标项目转包或分包给他人，否则视为违约，招标人或相关单位有权解除合同。</w:t>
      </w:r>
    </w:p>
    <w:p>
      <w:pPr>
        <w:pStyle w:val="10"/>
        <w:pageBreakBefore w:val="0"/>
        <w:kinsoku/>
        <w:wordWrap/>
        <w:overflowPunct/>
        <w:topLinePunct w:val="0"/>
        <w:bidi w:val="0"/>
        <w:spacing w:line="300" w:lineRule="auto"/>
        <w:ind w:firstLine="420" w:firstLineChars="200"/>
        <w:rPr>
          <w:rFonts w:hAnsi="宋体"/>
          <w:color w:val="auto"/>
          <w:szCs w:val="21"/>
          <w:highlight w:val="none"/>
          <w:u w:val="none"/>
        </w:rPr>
      </w:pPr>
      <w:r>
        <w:rPr>
          <w:rFonts w:hint="eastAsia" w:hAnsi="宋体"/>
          <w:color w:val="auto"/>
          <w:szCs w:val="21"/>
          <w:highlight w:val="none"/>
          <w:u w:val="none"/>
        </w:rPr>
        <w:t>5.中标人</w:t>
      </w:r>
      <w:r>
        <w:rPr>
          <w:rFonts w:hint="eastAsia"/>
          <w:color w:val="auto"/>
          <w:szCs w:val="21"/>
          <w:highlight w:val="none"/>
          <w:u w:val="none"/>
        </w:rPr>
        <w:t>由于履行义务的能力或信用有严重缺陷，</w:t>
      </w:r>
      <w:r>
        <w:rPr>
          <w:rFonts w:hint="eastAsia" w:hAnsi="宋体"/>
          <w:color w:val="auto"/>
          <w:szCs w:val="21"/>
          <w:highlight w:val="none"/>
          <w:u w:val="none"/>
        </w:rPr>
        <w:t>招标人有权取消其中标资格，招标人将从剩余投标人中依序重新确定中标人，或重新组织招标。</w:t>
      </w:r>
    </w:p>
    <w:p>
      <w:pPr>
        <w:pStyle w:val="10"/>
        <w:pageBreakBefore w:val="0"/>
        <w:kinsoku/>
        <w:wordWrap/>
        <w:overflowPunct/>
        <w:topLinePunct w:val="0"/>
        <w:bidi w:val="0"/>
        <w:spacing w:line="300" w:lineRule="auto"/>
        <w:ind w:firstLine="420" w:firstLineChars="200"/>
        <w:rPr>
          <w:rFonts w:hAnsi="宋体"/>
          <w:color w:val="auto"/>
          <w:szCs w:val="21"/>
          <w:highlight w:val="none"/>
          <w:u w:val="none"/>
        </w:rPr>
      </w:pPr>
      <w:r>
        <w:rPr>
          <w:rFonts w:hint="eastAsia" w:hAnsi="宋体"/>
          <w:color w:val="auto"/>
          <w:szCs w:val="21"/>
          <w:highlight w:val="none"/>
          <w:u w:val="none"/>
        </w:rPr>
        <w:t>6.招标人有权指定招标人的关联单位作为合同签订人，与中标人签署相关合同，且具体权利义务以双方最终签署的合同为准。</w:t>
      </w:r>
    </w:p>
    <w:p>
      <w:pPr>
        <w:pStyle w:val="10"/>
        <w:pageBreakBefore w:val="0"/>
        <w:kinsoku/>
        <w:wordWrap/>
        <w:overflowPunct/>
        <w:topLinePunct w:val="0"/>
        <w:bidi w:val="0"/>
        <w:spacing w:line="300" w:lineRule="auto"/>
        <w:ind w:firstLine="420" w:firstLineChars="200"/>
        <w:rPr>
          <w:color w:val="auto"/>
          <w:highlight w:val="none"/>
          <w:u w:val="none"/>
        </w:rPr>
      </w:pPr>
      <w:r>
        <w:rPr>
          <w:rFonts w:hint="eastAsia"/>
          <w:color w:val="auto"/>
          <w:highlight w:val="none"/>
          <w:u w:val="none"/>
        </w:rPr>
        <w:t>7.中标人须认可由于招标人上级集团公司政策变化引起的合同签订前终止项目的要求。</w:t>
      </w:r>
    </w:p>
    <w:p>
      <w:pPr>
        <w:pStyle w:val="10"/>
        <w:pageBreakBefore w:val="0"/>
        <w:kinsoku/>
        <w:wordWrap/>
        <w:overflowPunct/>
        <w:topLinePunct w:val="0"/>
        <w:bidi w:val="0"/>
        <w:spacing w:line="300" w:lineRule="auto"/>
        <w:rPr>
          <w:rFonts w:ascii="黑体" w:eastAsia="黑体"/>
          <w:b/>
          <w:bCs/>
          <w:color w:val="auto"/>
          <w:sz w:val="28"/>
          <w:highlight w:val="none"/>
          <w:u w:val="none"/>
        </w:rPr>
      </w:pPr>
      <w:r>
        <w:rPr>
          <w:rFonts w:hint="eastAsia" w:ascii="黑体" w:eastAsia="黑体"/>
          <w:b/>
          <w:bCs/>
          <w:color w:val="auto"/>
          <w:sz w:val="28"/>
          <w:highlight w:val="none"/>
          <w:u w:val="none"/>
        </w:rPr>
        <w:t>十、废标及终止招标</w:t>
      </w:r>
    </w:p>
    <w:p>
      <w:pPr>
        <w:pageBreakBefore w:val="0"/>
        <w:kinsoku/>
        <w:wordWrap/>
        <w:overflowPunct/>
        <w:topLinePunct w:val="0"/>
        <w:bidi w:val="0"/>
        <w:spacing w:line="300" w:lineRule="auto"/>
        <w:ind w:right="2" w:firstLine="420" w:firstLineChars="200"/>
        <w:rPr>
          <w:rFonts w:ascii="宋体" w:hAnsi="Courier New"/>
          <w:color w:val="auto"/>
          <w:highlight w:val="none"/>
          <w:u w:val="none"/>
        </w:rPr>
      </w:pPr>
      <w:r>
        <w:rPr>
          <w:rFonts w:hint="eastAsia" w:ascii="宋体" w:hAnsi="Courier New"/>
          <w:color w:val="auto"/>
          <w:highlight w:val="none"/>
          <w:u w:val="none"/>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pPr>
        <w:pageBreakBefore w:val="0"/>
        <w:kinsoku/>
        <w:wordWrap/>
        <w:overflowPunct/>
        <w:topLinePunct w:val="0"/>
        <w:bidi w:val="0"/>
        <w:spacing w:line="300" w:lineRule="auto"/>
        <w:ind w:right="2" w:firstLine="420" w:firstLineChars="200"/>
        <w:rPr>
          <w:rFonts w:ascii="宋体" w:hAnsi="Courier New"/>
          <w:color w:val="auto"/>
          <w:highlight w:val="none"/>
          <w:u w:val="none"/>
        </w:rPr>
      </w:pPr>
      <w:r>
        <w:rPr>
          <w:rFonts w:hint="eastAsia" w:ascii="宋体" w:hAnsi="宋体"/>
          <w:color w:val="auto"/>
          <w:highlight w:val="none"/>
          <w:u w:val="none"/>
        </w:rPr>
        <w:t>1.1</w:t>
      </w:r>
      <w:r>
        <w:rPr>
          <w:rFonts w:hint="eastAsia" w:ascii="宋体" w:hAnsi="Courier New"/>
          <w:color w:val="auto"/>
          <w:highlight w:val="none"/>
          <w:u w:val="none"/>
        </w:rPr>
        <w:t>投标人提供的有关资格、资质证明文件不合格、不真实或提供虚假投标材料；</w:t>
      </w:r>
    </w:p>
    <w:p>
      <w:pPr>
        <w:pageBreakBefore w:val="0"/>
        <w:kinsoku/>
        <w:wordWrap/>
        <w:overflowPunct/>
        <w:topLinePunct w:val="0"/>
        <w:bidi w:val="0"/>
        <w:spacing w:line="300" w:lineRule="auto"/>
        <w:ind w:right="2" w:firstLine="420" w:firstLineChars="200"/>
        <w:rPr>
          <w:rFonts w:ascii="宋体" w:hAnsi="Courier New"/>
          <w:color w:val="auto"/>
          <w:highlight w:val="none"/>
          <w:u w:val="none"/>
        </w:rPr>
      </w:pPr>
      <w:r>
        <w:rPr>
          <w:rFonts w:hint="eastAsia" w:ascii="宋体" w:hAnsi="宋体"/>
          <w:color w:val="auto"/>
          <w:highlight w:val="none"/>
          <w:u w:val="none"/>
        </w:rPr>
        <w:t>1.2</w:t>
      </w:r>
      <w:r>
        <w:rPr>
          <w:rFonts w:hint="eastAsia" w:ascii="宋体" w:hAnsi="Courier New"/>
          <w:color w:val="auto"/>
          <w:highlight w:val="none"/>
          <w:u w:val="none"/>
        </w:rPr>
        <w:t>投标人在报价有效期内撤回投标；</w:t>
      </w:r>
    </w:p>
    <w:p>
      <w:pPr>
        <w:pageBreakBefore w:val="0"/>
        <w:kinsoku/>
        <w:wordWrap/>
        <w:overflowPunct/>
        <w:topLinePunct w:val="0"/>
        <w:bidi w:val="0"/>
        <w:spacing w:line="300" w:lineRule="auto"/>
        <w:ind w:right="2" w:firstLine="420" w:firstLineChars="200"/>
        <w:rPr>
          <w:rFonts w:ascii="宋体" w:hAnsi="Courier New"/>
          <w:color w:val="auto"/>
          <w:highlight w:val="none"/>
          <w:u w:val="none"/>
        </w:rPr>
      </w:pPr>
      <w:r>
        <w:rPr>
          <w:rFonts w:hint="eastAsia" w:ascii="宋体" w:hAnsi="Courier New"/>
          <w:color w:val="auto"/>
          <w:highlight w:val="none"/>
          <w:u w:val="none"/>
        </w:rPr>
        <w:t>1.3在整个评标过程中，投标人有企图影响评标结果公正性的任何活动；</w:t>
      </w:r>
    </w:p>
    <w:p>
      <w:pPr>
        <w:pageBreakBefore w:val="0"/>
        <w:kinsoku/>
        <w:wordWrap/>
        <w:overflowPunct/>
        <w:topLinePunct w:val="0"/>
        <w:bidi w:val="0"/>
        <w:spacing w:line="300" w:lineRule="auto"/>
        <w:ind w:right="2" w:firstLine="420" w:firstLineChars="200"/>
        <w:rPr>
          <w:rFonts w:ascii="宋体" w:hAnsi="Courier New"/>
          <w:color w:val="auto"/>
          <w:highlight w:val="none"/>
          <w:u w:val="none"/>
        </w:rPr>
      </w:pPr>
      <w:r>
        <w:rPr>
          <w:rFonts w:hint="eastAsia" w:ascii="宋体" w:hAnsi="Courier New"/>
          <w:color w:val="auto"/>
          <w:highlight w:val="none"/>
          <w:u w:val="none"/>
        </w:rPr>
        <w:t>1.4投标人以任何方式诋毁其他投标人；</w:t>
      </w:r>
    </w:p>
    <w:p>
      <w:pPr>
        <w:pageBreakBefore w:val="0"/>
        <w:kinsoku/>
        <w:wordWrap/>
        <w:overflowPunct/>
        <w:topLinePunct w:val="0"/>
        <w:bidi w:val="0"/>
        <w:spacing w:line="300" w:lineRule="auto"/>
        <w:ind w:right="2" w:firstLine="420" w:firstLineChars="200"/>
        <w:rPr>
          <w:rFonts w:ascii="宋体" w:hAnsi="Courier New"/>
          <w:color w:val="auto"/>
          <w:highlight w:val="none"/>
          <w:u w:val="none"/>
        </w:rPr>
      </w:pPr>
      <w:r>
        <w:rPr>
          <w:rFonts w:hint="eastAsia" w:ascii="宋体" w:hAnsi="Courier New"/>
          <w:color w:val="auto"/>
          <w:highlight w:val="none"/>
          <w:u w:val="none"/>
        </w:rPr>
        <w:t>1.5投标人串通投标；</w:t>
      </w:r>
    </w:p>
    <w:p>
      <w:pPr>
        <w:pageBreakBefore w:val="0"/>
        <w:kinsoku/>
        <w:wordWrap/>
        <w:overflowPunct/>
        <w:topLinePunct w:val="0"/>
        <w:bidi w:val="0"/>
        <w:spacing w:line="300" w:lineRule="auto"/>
        <w:ind w:right="2" w:firstLine="420" w:firstLineChars="200"/>
        <w:rPr>
          <w:rFonts w:ascii="宋体" w:hAnsi="Courier New"/>
          <w:color w:val="auto"/>
          <w:highlight w:val="none"/>
          <w:u w:val="none"/>
        </w:rPr>
      </w:pPr>
      <w:r>
        <w:rPr>
          <w:rFonts w:hint="eastAsia" w:ascii="宋体" w:hAnsi="Courier New"/>
          <w:color w:val="auto"/>
          <w:highlight w:val="none"/>
          <w:u w:val="none"/>
        </w:rPr>
        <w:t>1.6以他人名义投标或者以其他方式弄虚作假，骗取中标的；</w:t>
      </w:r>
    </w:p>
    <w:p>
      <w:pPr>
        <w:pageBreakBefore w:val="0"/>
        <w:kinsoku/>
        <w:wordWrap/>
        <w:overflowPunct/>
        <w:topLinePunct w:val="0"/>
        <w:bidi w:val="0"/>
        <w:spacing w:line="300" w:lineRule="auto"/>
        <w:ind w:right="2" w:firstLine="420" w:firstLineChars="200"/>
        <w:rPr>
          <w:rFonts w:ascii="宋体" w:hAnsi="Courier New"/>
          <w:color w:val="auto"/>
          <w:highlight w:val="none"/>
          <w:u w:val="none"/>
        </w:rPr>
      </w:pPr>
      <w:r>
        <w:rPr>
          <w:rFonts w:hint="eastAsia" w:ascii="宋体" w:hAnsi="Courier New"/>
          <w:color w:val="auto"/>
          <w:highlight w:val="none"/>
          <w:u w:val="none"/>
        </w:rPr>
        <w:t>1.7中标人不按规定签订合同；</w:t>
      </w:r>
    </w:p>
    <w:p>
      <w:pPr>
        <w:pageBreakBefore w:val="0"/>
        <w:kinsoku/>
        <w:wordWrap/>
        <w:overflowPunct/>
        <w:topLinePunct w:val="0"/>
        <w:bidi w:val="0"/>
        <w:spacing w:line="300" w:lineRule="auto"/>
        <w:ind w:right="2" w:firstLine="420" w:firstLineChars="200"/>
        <w:rPr>
          <w:rFonts w:ascii="宋体" w:hAnsi="宋体"/>
          <w:color w:val="auto"/>
          <w:highlight w:val="none"/>
          <w:u w:val="none"/>
        </w:rPr>
      </w:pPr>
      <w:r>
        <w:rPr>
          <w:rFonts w:hint="eastAsia" w:ascii="宋体" w:hAnsi="宋体"/>
          <w:color w:val="auto"/>
          <w:highlight w:val="none"/>
          <w:u w:val="none"/>
          <w:lang w:val="en-US" w:eastAsia="zh-CN"/>
        </w:rPr>
        <w:t>1</w:t>
      </w:r>
      <w:r>
        <w:rPr>
          <w:rFonts w:hint="eastAsia" w:ascii="宋体" w:hAnsi="宋体"/>
          <w:color w:val="auto"/>
          <w:highlight w:val="none"/>
          <w:u w:val="none"/>
        </w:rPr>
        <w:t>.</w:t>
      </w:r>
      <w:r>
        <w:rPr>
          <w:rFonts w:hint="eastAsia" w:ascii="宋体" w:hAnsi="宋体"/>
          <w:color w:val="auto"/>
          <w:highlight w:val="none"/>
          <w:u w:val="none"/>
          <w:lang w:val="en-US" w:eastAsia="zh-CN"/>
        </w:rPr>
        <w:t>8</w:t>
      </w:r>
      <w:r>
        <w:rPr>
          <w:rFonts w:hint="eastAsia" w:ascii="宋体" w:hAnsi="宋体"/>
          <w:color w:val="auto"/>
          <w:highlight w:val="none"/>
          <w:u w:val="none"/>
        </w:rPr>
        <w:t>投标单位负责人为同一人或存在管理关系的；</w:t>
      </w:r>
    </w:p>
    <w:p>
      <w:pPr>
        <w:pageBreakBefore w:val="0"/>
        <w:kinsoku/>
        <w:wordWrap/>
        <w:overflowPunct/>
        <w:topLinePunct w:val="0"/>
        <w:bidi w:val="0"/>
        <w:spacing w:line="300" w:lineRule="auto"/>
        <w:ind w:right="2" w:firstLine="420" w:firstLineChars="200"/>
        <w:rPr>
          <w:rFonts w:hint="eastAsia" w:ascii="宋体" w:hAnsi="宋体" w:eastAsia="宋体"/>
          <w:color w:val="auto"/>
          <w:highlight w:val="none"/>
          <w:u w:val="none"/>
          <w:lang w:eastAsia="zh-CN"/>
        </w:rPr>
      </w:pPr>
      <w:r>
        <w:rPr>
          <w:rFonts w:hint="eastAsia" w:ascii="宋体" w:hAnsi="宋体"/>
          <w:color w:val="auto"/>
          <w:highlight w:val="none"/>
          <w:u w:val="none"/>
          <w:lang w:val="en-US" w:eastAsia="zh-CN"/>
        </w:rPr>
        <w:t>1</w:t>
      </w:r>
      <w:r>
        <w:rPr>
          <w:rFonts w:hint="eastAsia" w:ascii="宋体" w:hAnsi="宋体"/>
          <w:color w:val="auto"/>
          <w:highlight w:val="none"/>
          <w:u w:val="none"/>
        </w:rPr>
        <w:t>.</w:t>
      </w:r>
      <w:r>
        <w:rPr>
          <w:rFonts w:hint="eastAsia" w:ascii="宋体" w:hAnsi="宋体"/>
          <w:color w:val="auto"/>
          <w:highlight w:val="none"/>
          <w:u w:val="none"/>
          <w:lang w:val="en-US" w:eastAsia="zh-CN"/>
        </w:rPr>
        <w:t>9</w:t>
      </w:r>
      <w:r>
        <w:rPr>
          <w:rFonts w:hint="eastAsia" w:ascii="宋体" w:hAnsi="宋体"/>
          <w:color w:val="auto"/>
          <w:highlight w:val="none"/>
          <w:u w:val="none"/>
        </w:rPr>
        <w:t>投标人被举报检举，并经招标方查实无误的</w:t>
      </w:r>
      <w:r>
        <w:rPr>
          <w:rFonts w:hint="eastAsia" w:ascii="宋体" w:hAnsi="宋体"/>
          <w:color w:val="auto"/>
          <w:highlight w:val="none"/>
          <w:u w:val="none"/>
          <w:lang w:eastAsia="zh-CN"/>
        </w:rPr>
        <w:t>；</w:t>
      </w:r>
    </w:p>
    <w:p>
      <w:pPr>
        <w:pageBreakBefore w:val="0"/>
        <w:kinsoku/>
        <w:wordWrap/>
        <w:overflowPunct/>
        <w:topLinePunct w:val="0"/>
        <w:bidi w:val="0"/>
        <w:spacing w:line="300" w:lineRule="auto"/>
        <w:ind w:right="2" w:firstLine="420" w:firstLineChars="200"/>
        <w:rPr>
          <w:rFonts w:hint="eastAsia" w:eastAsia="宋体"/>
          <w:color w:val="auto"/>
          <w:highlight w:val="none"/>
          <w:u w:val="none"/>
          <w:lang w:val="en-US" w:eastAsia="zh-CN"/>
        </w:rPr>
      </w:pPr>
      <w:r>
        <w:rPr>
          <w:rFonts w:hint="eastAsia" w:ascii="宋体" w:hAnsi="Courier New"/>
          <w:color w:val="auto"/>
          <w:highlight w:val="none"/>
          <w:u w:val="none"/>
        </w:rPr>
        <w:t>1.</w:t>
      </w:r>
      <w:r>
        <w:rPr>
          <w:rFonts w:hint="eastAsia" w:ascii="宋体" w:hAnsi="Courier New"/>
          <w:color w:val="auto"/>
          <w:highlight w:val="none"/>
          <w:u w:val="none"/>
          <w:lang w:val="en-US" w:eastAsia="zh-CN"/>
        </w:rPr>
        <w:t>10</w:t>
      </w:r>
      <w:r>
        <w:rPr>
          <w:rFonts w:hint="eastAsia" w:ascii="宋体" w:hAnsi="Courier New"/>
          <w:color w:val="auto"/>
          <w:highlight w:val="none"/>
          <w:u w:val="none"/>
        </w:rPr>
        <w:t>法律、法规规定的其他情况</w:t>
      </w:r>
      <w:r>
        <w:rPr>
          <w:rFonts w:hint="eastAsia" w:ascii="宋体" w:hAnsi="Courier New"/>
          <w:color w:val="auto"/>
          <w:highlight w:val="none"/>
          <w:u w:val="none"/>
          <w:lang w:eastAsia="zh-CN"/>
        </w:rPr>
        <w:t>。</w:t>
      </w:r>
    </w:p>
    <w:p>
      <w:pPr>
        <w:pageBreakBefore w:val="0"/>
        <w:kinsoku/>
        <w:wordWrap/>
        <w:overflowPunct/>
        <w:topLinePunct w:val="0"/>
        <w:bidi w:val="0"/>
        <w:spacing w:line="300" w:lineRule="auto"/>
        <w:ind w:right="2" w:firstLine="420" w:firstLineChars="200"/>
        <w:rPr>
          <w:rFonts w:ascii="宋体" w:hAnsi="Courier New"/>
          <w:color w:val="auto"/>
          <w:highlight w:val="none"/>
          <w:u w:val="none"/>
        </w:rPr>
      </w:pPr>
      <w:r>
        <w:rPr>
          <w:rFonts w:hint="eastAsia" w:ascii="宋体" w:hAnsi="Courier New"/>
          <w:color w:val="auto"/>
          <w:highlight w:val="none"/>
          <w:u w:val="none"/>
        </w:rPr>
        <w:t>2.出现下列情形之一，招标人有权否决所有投标人的投标，并终止招标。</w:t>
      </w:r>
    </w:p>
    <w:p>
      <w:pPr>
        <w:pageBreakBefore w:val="0"/>
        <w:kinsoku/>
        <w:wordWrap/>
        <w:overflowPunct/>
        <w:topLinePunct w:val="0"/>
        <w:bidi w:val="0"/>
        <w:spacing w:line="300" w:lineRule="auto"/>
        <w:ind w:right="2" w:firstLine="420" w:firstLineChars="200"/>
        <w:rPr>
          <w:rFonts w:ascii="宋体" w:hAnsi="Courier New"/>
          <w:color w:val="auto"/>
          <w:highlight w:val="none"/>
          <w:u w:val="none"/>
        </w:rPr>
      </w:pPr>
      <w:r>
        <w:rPr>
          <w:rFonts w:hint="eastAsia" w:ascii="宋体" w:hAnsi="Courier New"/>
          <w:color w:val="auto"/>
          <w:highlight w:val="none"/>
          <w:u w:val="none"/>
        </w:rPr>
        <w:t>2.1出现影响公正的违法、违规行为的；</w:t>
      </w:r>
    </w:p>
    <w:p>
      <w:pPr>
        <w:pageBreakBefore w:val="0"/>
        <w:kinsoku/>
        <w:wordWrap/>
        <w:overflowPunct/>
        <w:topLinePunct w:val="0"/>
        <w:bidi w:val="0"/>
        <w:spacing w:line="300" w:lineRule="auto"/>
        <w:ind w:right="2" w:firstLine="420" w:firstLineChars="200"/>
        <w:rPr>
          <w:rFonts w:ascii="宋体" w:hAnsi="Courier New"/>
          <w:color w:val="auto"/>
          <w:highlight w:val="none"/>
          <w:u w:val="none"/>
        </w:rPr>
      </w:pPr>
      <w:r>
        <w:rPr>
          <w:rFonts w:hint="eastAsia" w:ascii="宋体" w:hAnsi="Courier New"/>
          <w:color w:val="auto"/>
          <w:highlight w:val="none"/>
          <w:u w:val="none"/>
        </w:rPr>
        <w:t>2.2评标委员会经评审，认为所有投标都不符合招标文件要求的；</w:t>
      </w:r>
    </w:p>
    <w:p>
      <w:pPr>
        <w:pageBreakBefore w:val="0"/>
        <w:kinsoku/>
        <w:wordWrap/>
        <w:overflowPunct/>
        <w:topLinePunct w:val="0"/>
        <w:bidi w:val="0"/>
        <w:spacing w:line="300" w:lineRule="auto"/>
        <w:ind w:right="2"/>
        <w:rPr>
          <w:rFonts w:ascii="宋体" w:hAnsi="Courier New"/>
          <w:color w:val="auto"/>
          <w:highlight w:val="none"/>
          <w:u w:val="none"/>
        </w:rPr>
      </w:pPr>
      <w:r>
        <w:rPr>
          <w:rFonts w:hint="eastAsia" w:ascii="宋体" w:hAnsi="Courier New"/>
          <w:color w:val="auto"/>
          <w:highlight w:val="none"/>
          <w:u w:val="none"/>
        </w:rPr>
        <w:t xml:space="preserve">    2.3因重大变故，项目任务取消的；</w:t>
      </w:r>
    </w:p>
    <w:p>
      <w:pPr>
        <w:pageBreakBefore w:val="0"/>
        <w:kinsoku/>
        <w:wordWrap/>
        <w:overflowPunct/>
        <w:topLinePunct w:val="0"/>
        <w:bidi w:val="0"/>
        <w:spacing w:line="300" w:lineRule="auto"/>
        <w:ind w:right="2" w:firstLine="420" w:firstLineChars="200"/>
        <w:rPr>
          <w:rFonts w:ascii="宋体" w:hAnsi="宋体"/>
          <w:color w:val="auto"/>
          <w:highlight w:val="none"/>
          <w:u w:val="none"/>
        </w:rPr>
      </w:pPr>
      <w:r>
        <w:rPr>
          <w:rFonts w:hint="eastAsia" w:ascii="宋体" w:hAnsi="宋体"/>
          <w:color w:val="auto"/>
          <w:highlight w:val="none"/>
          <w:u w:val="none"/>
        </w:rPr>
        <w:t>2.4有效参与投标的单位不足三家以上的；</w:t>
      </w:r>
    </w:p>
    <w:p>
      <w:pPr>
        <w:pStyle w:val="10"/>
        <w:pageBreakBefore w:val="0"/>
        <w:kinsoku/>
        <w:wordWrap/>
        <w:overflowPunct/>
        <w:topLinePunct w:val="0"/>
        <w:bidi w:val="0"/>
        <w:spacing w:line="300" w:lineRule="auto"/>
        <w:ind w:firstLine="420" w:firstLineChars="200"/>
        <w:rPr>
          <w:rFonts w:hAnsi="宋体"/>
          <w:color w:val="auto"/>
          <w:highlight w:val="none"/>
          <w:u w:val="none"/>
        </w:rPr>
      </w:pPr>
      <w:r>
        <w:rPr>
          <w:rFonts w:hint="eastAsia" w:hAnsi="宋体"/>
          <w:color w:val="auto"/>
          <w:highlight w:val="none"/>
          <w:u w:val="none"/>
        </w:rPr>
        <w:t>2.</w:t>
      </w:r>
      <w:r>
        <w:rPr>
          <w:rFonts w:hint="eastAsia" w:hAnsi="宋体"/>
          <w:color w:val="auto"/>
          <w:highlight w:val="none"/>
          <w:u w:val="none"/>
          <w:lang w:val="en-US" w:eastAsia="zh-CN"/>
        </w:rPr>
        <w:t>5</w:t>
      </w:r>
      <w:r>
        <w:rPr>
          <w:rFonts w:hint="eastAsia" w:hAnsi="宋体"/>
          <w:color w:val="auto"/>
          <w:highlight w:val="none"/>
          <w:u w:val="none"/>
        </w:rPr>
        <w:t>招标人认为其他应终止招标的情形。</w:t>
      </w:r>
    </w:p>
    <w:p>
      <w:pPr>
        <w:pStyle w:val="10"/>
        <w:pageBreakBefore w:val="0"/>
        <w:kinsoku/>
        <w:wordWrap/>
        <w:overflowPunct/>
        <w:topLinePunct w:val="0"/>
        <w:bidi w:val="0"/>
        <w:spacing w:line="300" w:lineRule="auto"/>
        <w:rPr>
          <w:rFonts w:ascii="黑体" w:eastAsia="黑体"/>
          <w:b/>
          <w:bCs/>
          <w:color w:val="auto"/>
          <w:sz w:val="28"/>
          <w:highlight w:val="none"/>
          <w:u w:val="none"/>
        </w:rPr>
      </w:pPr>
      <w:r>
        <w:rPr>
          <w:rFonts w:hint="eastAsia" w:ascii="黑体" w:eastAsia="黑体"/>
          <w:b/>
          <w:bCs/>
          <w:color w:val="auto"/>
          <w:sz w:val="28"/>
          <w:highlight w:val="none"/>
          <w:u w:val="none"/>
        </w:rPr>
        <w:t>十一、中标人瑕疵滞后发现的处理原则</w:t>
      </w:r>
    </w:p>
    <w:p>
      <w:pPr>
        <w:pageBreakBefore w:val="0"/>
        <w:kinsoku/>
        <w:wordWrap/>
        <w:overflowPunct/>
        <w:topLinePunct w:val="0"/>
        <w:bidi w:val="0"/>
        <w:spacing w:line="300" w:lineRule="auto"/>
        <w:ind w:right="2" w:firstLine="420" w:firstLineChars="200"/>
        <w:rPr>
          <w:rFonts w:ascii="宋体" w:hAnsi="Courier New"/>
          <w:color w:val="auto"/>
          <w:highlight w:val="none"/>
          <w:u w:val="none"/>
        </w:rPr>
      </w:pPr>
      <w:r>
        <w:rPr>
          <w:rFonts w:hint="eastAsia" w:ascii="宋体" w:hAnsi="Courier New"/>
          <w:color w:val="auto"/>
          <w:highlight w:val="none"/>
          <w:u w:val="none"/>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pPr>
        <w:pStyle w:val="10"/>
        <w:pageBreakBefore w:val="0"/>
        <w:kinsoku/>
        <w:wordWrap/>
        <w:overflowPunct/>
        <w:topLinePunct w:val="0"/>
        <w:bidi w:val="0"/>
        <w:spacing w:line="300" w:lineRule="auto"/>
        <w:rPr>
          <w:rFonts w:ascii="黑体" w:eastAsia="黑体"/>
          <w:b/>
          <w:bCs/>
          <w:color w:val="auto"/>
          <w:sz w:val="28"/>
          <w:highlight w:val="none"/>
          <w:u w:val="none"/>
        </w:rPr>
      </w:pPr>
      <w:r>
        <w:rPr>
          <w:rFonts w:hint="eastAsia" w:ascii="黑体" w:eastAsia="黑体"/>
          <w:b/>
          <w:bCs/>
          <w:color w:val="auto"/>
          <w:sz w:val="28"/>
          <w:highlight w:val="none"/>
          <w:u w:val="none"/>
        </w:rPr>
        <w:t>十二、双方责任</w:t>
      </w:r>
    </w:p>
    <w:p>
      <w:pPr>
        <w:pageBreakBefore w:val="0"/>
        <w:kinsoku/>
        <w:wordWrap/>
        <w:overflowPunct/>
        <w:topLinePunct w:val="0"/>
        <w:bidi w:val="0"/>
        <w:spacing w:line="300" w:lineRule="auto"/>
        <w:ind w:right="2" w:firstLine="420" w:firstLineChars="200"/>
        <w:rPr>
          <w:rFonts w:ascii="宋体" w:hAnsi="Courier New"/>
          <w:color w:val="auto"/>
          <w:szCs w:val="22"/>
          <w:highlight w:val="none"/>
          <w:u w:val="none"/>
        </w:rPr>
      </w:pPr>
      <w:r>
        <w:rPr>
          <w:rFonts w:hint="eastAsia" w:ascii="宋体" w:hAnsi="Courier New"/>
          <w:color w:val="auto"/>
          <w:szCs w:val="22"/>
          <w:highlight w:val="none"/>
          <w:u w:val="none"/>
        </w:rPr>
        <w:t>1.招标方责任</w:t>
      </w:r>
    </w:p>
    <w:p>
      <w:pPr>
        <w:pageBreakBefore w:val="0"/>
        <w:kinsoku/>
        <w:wordWrap/>
        <w:overflowPunct/>
        <w:topLinePunct w:val="0"/>
        <w:bidi w:val="0"/>
        <w:spacing w:line="300" w:lineRule="auto"/>
        <w:ind w:right="2" w:firstLine="420" w:firstLineChars="200"/>
        <w:rPr>
          <w:rFonts w:ascii="宋体" w:hAnsi="Courier New"/>
          <w:color w:val="auto"/>
          <w:szCs w:val="22"/>
          <w:highlight w:val="none"/>
          <w:u w:val="none"/>
        </w:rPr>
      </w:pPr>
      <w:r>
        <w:rPr>
          <w:rFonts w:hint="eastAsia" w:ascii="宋体" w:hAnsi="Courier New"/>
          <w:color w:val="auto"/>
          <w:szCs w:val="22"/>
          <w:highlight w:val="none"/>
          <w:u w:val="none"/>
        </w:rPr>
        <w:t>1.1招标方负责按相关要求管理投标方队伍，按生产计划安排生产任务。</w:t>
      </w:r>
    </w:p>
    <w:p>
      <w:pPr>
        <w:pageBreakBefore w:val="0"/>
        <w:kinsoku/>
        <w:wordWrap/>
        <w:overflowPunct/>
        <w:topLinePunct w:val="0"/>
        <w:bidi w:val="0"/>
        <w:spacing w:line="300" w:lineRule="auto"/>
        <w:ind w:right="2" w:firstLine="420" w:firstLineChars="200"/>
        <w:rPr>
          <w:rFonts w:ascii="宋体" w:hAnsi="Courier New"/>
          <w:color w:val="auto"/>
          <w:szCs w:val="22"/>
          <w:highlight w:val="none"/>
          <w:u w:val="none"/>
        </w:rPr>
      </w:pPr>
      <w:r>
        <w:rPr>
          <w:rFonts w:hint="eastAsia" w:ascii="宋体" w:hAnsi="Courier New"/>
          <w:color w:val="auto"/>
          <w:szCs w:val="22"/>
          <w:highlight w:val="none"/>
          <w:u w:val="none"/>
        </w:rPr>
        <w:t>1.2招标方有权对投标方队伍进行质量考核，以及对其它违反招标方管理制度、工艺纪律的情况进行考核。</w:t>
      </w:r>
    </w:p>
    <w:p>
      <w:pPr>
        <w:pageBreakBefore w:val="0"/>
        <w:kinsoku/>
        <w:wordWrap/>
        <w:overflowPunct/>
        <w:topLinePunct w:val="0"/>
        <w:bidi w:val="0"/>
        <w:spacing w:line="300" w:lineRule="auto"/>
        <w:ind w:right="2" w:firstLine="420" w:firstLineChars="200"/>
        <w:rPr>
          <w:rFonts w:ascii="宋体" w:hAnsi="Courier New"/>
          <w:color w:val="auto"/>
          <w:szCs w:val="22"/>
          <w:highlight w:val="none"/>
          <w:u w:val="none"/>
        </w:rPr>
      </w:pPr>
      <w:r>
        <w:rPr>
          <w:rFonts w:hint="eastAsia" w:ascii="宋体" w:hAnsi="Courier New"/>
          <w:color w:val="auto"/>
          <w:szCs w:val="22"/>
          <w:highlight w:val="none"/>
          <w:u w:val="none"/>
        </w:rPr>
        <w:t>2.投标方责任</w:t>
      </w:r>
    </w:p>
    <w:p>
      <w:pPr>
        <w:pageBreakBefore w:val="0"/>
        <w:kinsoku/>
        <w:wordWrap/>
        <w:overflowPunct/>
        <w:topLinePunct w:val="0"/>
        <w:bidi w:val="0"/>
        <w:spacing w:line="300" w:lineRule="auto"/>
        <w:ind w:right="2" w:firstLine="420" w:firstLineChars="200"/>
        <w:rPr>
          <w:rFonts w:ascii="宋体" w:hAnsi="Courier New"/>
          <w:color w:val="auto"/>
          <w:szCs w:val="22"/>
          <w:highlight w:val="none"/>
          <w:u w:val="none"/>
        </w:rPr>
      </w:pPr>
      <w:r>
        <w:rPr>
          <w:rFonts w:hint="eastAsia" w:ascii="宋体" w:hAnsi="Courier New"/>
          <w:color w:val="auto"/>
          <w:szCs w:val="22"/>
          <w:highlight w:val="none"/>
          <w:u w:val="none"/>
        </w:rPr>
        <w:t>2.1投标方有责任服从招标方外包管理车间的各项管理。</w:t>
      </w:r>
    </w:p>
    <w:p>
      <w:pPr>
        <w:pageBreakBefore w:val="0"/>
        <w:kinsoku/>
        <w:wordWrap/>
        <w:overflowPunct/>
        <w:topLinePunct w:val="0"/>
        <w:bidi w:val="0"/>
        <w:spacing w:line="300" w:lineRule="auto"/>
        <w:ind w:right="2" w:firstLine="420" w:firstLineChars="200"/>
        <w:rPr>
          <w:rFonts w:ascii="宋体" w:hAnsi="Courier New"/>
          <w:color w:val="auto"/>
          <w:szCs w:val="22"/>
          <w:highlight w:val="none"/>
          <w:u w:val="none"/>
        </w:rPr>
      </w:pPr>
      <w:r>
        <w:rPr>
          <w:rFonts w:hint="eastAsia" w:ascii="宋体" w:hAnsi="Courier New"/>
          <w:color w:val="auto"/>
          <w:szCs w:val="22"/>
          <w:highlight w:val="none"/>
          <w:u w:val="none"/>
        </w:rPr>
        <w:t>2.2投标方有责任按招标方的要求正确使用设备、工具。并负责对所使用的设备进行点检、清洁等日常保养。设备工具出现故障或损坏时，投标方有责任及时向招标方报告，投标方落实故障或损毁原因，属于人为损坏的，由投标方承担100%的损失；投标方有责任在节假日对所使用设备进行全面清洁、维护。</w:t>
      </w:r>
    </w:p>
    <w:p>
      <w:pPr>
        <w:pageBreakBefore w:val="0"/>
        <w:kinsoku/>
        <w:wordWrap/>
        <w:overflowPunct/>
        <w:topLinePunct w:val="0"/>
        <w:bidi w:val="0"/>
        <w:spacing w:line="300" w:lineRule="auto"/>
        <w:ind w:right="2" w:firstLine="420" w:firstLineChars="200"/>
        <w:rPr>
          <w:rFonts w:ascii="宋体" w:hAnsi="Courier New"/>
          <w:color w:val="auto"/>
          <w:szCs w:val="22"/>
          <w:highlight w:val="none"/>
          <w:u w:val="none"/>
        </w:rPr>
      </w:pPr>
      <w:r>
        <w:rPr>
          <w:rFonts w:hint="eastAsia" w:ascii="宋体" w:hAnsi="Courier New"/>
          <w:color w:val="auto"/>
          <w:szCs w:val="22"/>
          <w:highlight w:val="none"/>
          <w:u w:val="none"/>
        </w:rPr>
        <w:t>2.3投标方在为招标方生产和提供产品时应确保招标方工艺、技术文件、作业指导书等得到严格贯彻和执行、人员资质和能力得到有效评价，以使质量保证能力能够满足招标方质量要求。当招标方需要进行验证时，投标方应给予安排并配合验证工作。</w:t>
      </w:r>
    </w:p>
    <w:p>
      <w:pPr>
        <w:pageBreakBefore w:val="0"/>
        <w:kinsoku/>
        <w:wordWrap/>
        <w:overflowPunct/>
        <w:topLinePunct w:val="0"/>
        <w:bidi w:val="0"/>
        <w:spacing w:line="300" w:lineRule="auto"/>
        <w:ind w:right="2" w:firstLine="420" w:firstLineChars="200"/>
        <w:rPr>
          <w:rFonts w:ascii="宋体" w:hAnsi="Courier New"/>
          <w:color w:val="auto"/>
          <w:szCs w:val="22"/>
          <w:highlight w:val="none"/>
          <w:u w:val="none"/>
        </w:rPr>
      </w:pPr>
      <w:r>
        <w:rPr>
          <w:rFonts w:hint="eastAsia" w:ascii="宋体" w:hAnsi="Courier New"/>
          <w:color w:val="auto"/>
          <w:szCs w:val="22"/>
          <w:highlight w:val="none"/>
          <w:u w:val="none"/>
        </w:rPr>
        <w:t>2.4投标方应严格按照工艺领用、使用各种辅料、材料用品，未按规定使用从而造成成本浪费及质量问题的，投标方应负全部责任。投标方应加强管理，在实际生产过程中切实降低原材料和各种工艺辅料的使用量。</w:t>
      </w:r>
    </w:p>
    <w:p>
      <w:pPr>
        <w:pageBreakBefore w:val="0"/>
        <w:kinsoku/>
        <w:wordWrap/>
        <w:overflowPunct/>
        <w:topLinePunct w:val="0"/>
        <w:bidi w:val="0"/>
        <w:spacing w:line="300" w:lineRule="auto"/>
        <w:ind w:right="2" w:firstLine="420" w:firstLineChars="200"/>
        <w:rPr>
          <w:rFonts w:ascii="宋体" w:hAnsi="Courier New"/>
          <w:color w:val="auto"/>
          <w:szCs w:val="22"/>
          <w:highlight w:val="none"/>
          <w:u w:val="none"/>
        </w:rPr>
      </w:pPr>
      <w:r>
        <w:rPr>
          <w:rFonts w:hint="eastAsia" w:ascii="宋体" w:hAnsi="Courier New"/>
          <w:color w:val="auto"/>
          <w:szCs w:val="22"/>
          <w:highlight w:val="none"/>
          <w:u w:val="none"/>
        </w:rPr>
        <w:t>2.5 投标方每年组织一次职工体检，保证员工健康，体检不合格或存在安全隐患，投标方要进行人员调整，保证存在问题员工不再继续从事当前接害岗位工作。</w:t>
      </w:r>
    </w:p>
    <w:p>
      <w:pPr>
        <w:pStyle w:val="5"/>
        <w:pageBreakBefore w:val="0"/>
        <w:kinsoku/>
        <w:wordWrap/>
        <w:overflowPunct/>
        <w:topLinePunct w:val="0"/>
        <w:bidi w:val="0"/>
        <w:spacing w:line="300" w:lineRule="auto"/>
        <w:rPr>
          <w:color w:val="auto"/>
          <w:highlight w:val="none"/>
          <w:u w:val="none"/>
        </w:rPr>
      </w:pPr>
      <w:r>
        <w:rPr>
          <w:rFonts w:hint="eastAsia"/>
          <w:color w:val="auto"/>
          <w:highlight w:val="none"/>
          <w:u w:val="none"/>
        </w:rPr>
        <w:t>十三、项目基本标准及基本要求</w:t>
      </w:r>
    </w:p>
    <w:p>
      <w:pPr>
        <w:pStyle w:val="10"/>
        <w:pageBreakBefore w:val="0"/>
        <w:kinsoku/>
        <w:wordWrap/>
        <w:overflowPunct/>
        <w:topLinePunct w:val="0"/>
        <w:bidi w:val="0"/>
        <w:spacing w:line="300" w:lineRule="auto"/>
        <w:ind w:left="420" w:hanging="420" w:hangingChars="200"/>
        <w:rPr>
          <w:color w:val="auto"/>
          <w:highlight w:val="none"/>
          <w:u w:val="none"/>
        </w:rPr>
      </w:pPr>
      <w:r>
        <w:rPr>
          <w:rFonts w:hint="eastAsia"/>
          <w:color w:val="auto"/>
          <w:highlight w:val="none"/>
          <w:u w:val="none"/>
        </w:rPr>
        <w:t xml:space="preserve">    见本招标文件“第三章 项目基本标准及基本要求”</w:t>
      </w:r>
    </w:p>
    <w:p>
      <w:pPr>
        <w:pStyle w:val="5"/>
        <w:pageBreakBefore w:val="0"/>
        <w:kinsoku/>
        <w:wordWrap/>
        <w:overflowPunct/>
        <w:topLinePunct w:val="0"/>
        <w:bidi w:val="0"/>
        <w:spacing w:line="300" w:lineRule="auto"/>
        <w:rPr>
          <w:color w:val="auto"/>
          <w:highlight w:val="none"/>
          <w:u w:val="none"/>
        </w:rPr>
      </w:pPr>
      <w:r>
        <w:rPr>
          <w:rFonts w:hint="eastAsia"/>
          <w:color w:val="auto"/>
          <w:highlight w:val="none"/>
          <w:u w:val="none"/>
        </w:rPr>
        <w:t>十四、解释权</w:t>
      </w:r>
    </w:p>
    <w:p>
      <w:pPr>
        <w:pageBreakBefore w:val="0"/>
        <w:kinsoku/>
        <w:wordWrap/>
        <w:overflowPunct/>
        <w:topLinePunct w:val="0"/>
        <w:bidi w:val="0"/>
        <w:spacing w:line="300" w:lineRule="auto"/>
        <w:ind w:right="2" w:firstLine="420" w:firstLineChars="200"/>
        <w:rPr>
          <w:rFonts w:ascii="宋体" w:hAnsi="Courier New" w:cs="宋体"/>
          <w:color w:val="auto"/>
          <w:highlight w:val="none"/>
          <w:u w:val="none"/>
          <w:lang w:bidi="ar"/>
        </w:rPr>
      </w:pPr>
      <w:r>
        <w:rPr>
          <w:rFonts w:hint="eastAsia" w:ascii="宋体" w:hAnsi="Courier New" w:cs="宋体"/>
          <w:color w:val="auto"/>
          <w:highlight w:val="none"/>
          <w:u w:val="none"/>
          <w:lang w:bidi="ar"/>
        </w:rPr>
        <w:t>本招标文件的最终解释权归招标人，当对一个问题有多种解释时以招标人的书面解释为准。招标文件未做须知明示，而又有相关法律、法规规定的，招标人对此所做解释以相关的法律、法规规定为依据。</w:t>
      </w:r>
    </w:p>
    <w:p>
      <w:pPr>
        <w:pStyle w:val="9"/>
        <w:pageBreakBefore w:val="0"/>
        <w:kinsoku/>
        <w:wordWrap/>
        <w:overflowPunct/>
        <w:topLinePunct w:val="0"/>
        <w:bidi w:val="0"/>
        <w:spacing w:line="300" w:lineRule="auto"/>
        <w:rPr>
          <w:color w:val="auto"/>
          <w:highlight w:val="none"/>
          <w:u w:val="none"/>
        </w:rPr>
      </w:pPr>
    </w:p>
    <w:p>
      <w:pPr>
        <w:pStyle w:val="9"/>
        <w:pageBreakBefore w:val="0"/>
        <w:kinsoku/>
        <w:wordWrap/>
        <w:overflowPunct/>
        <w:topLinePunct w:val="0"/>
        <w:bidi w:val="0"/>
        <w:spacing w:line="300" w:lineRule="auto"/>
        <w:rPr>
          <w:color w:val="auto"/>
          <w:highlight w:val="none"/>
          <w:u w:val="none"/>
        </w:rPr>
      </w:pPr>
    </w:p>
    <w:p>
      <w:pPr>
        <w:pStyle w:val="9"/>
        <w:pageBreakBefore w:val="0"/>
        <w:kinsoku/>
        <w:wordWrap/>
        <w:overflowPunct/>
        <w:topLinePunct w:val="0"/>
        <w:bidi w:val="0"/>
        <w:spacing w:line="300" w:lineRule="auto"/>
        <w:rPr>
          <w:color w:val="auto"/>
          <w:highlight w:val="none"/>
          <w:u w:val="none"/>
        </w:rPr>
      </w:pPr>
    </w:p>
    <w:p>
      <w:pPr>
        <w:pStyle w:val="9"/>
        <w:pageBreakBefore w:val="0"/>
        <w:kinsoku/>
        <w:wordWrap/>
        <w:overflowPunct/>
        <w:topLinePunct w:val="0"/>
        <w:bidi w:val="0"/>
        <w:spacing w:line="300" w:lineRule="auto"/>
        <w:rPr>
          <w:color w:val="auto"/>
          <w:highlight w:val="none"/>
          <w:u w:val="none"/>
        </w:rPr>
      </w:pPr>
    </w:p>
    <w:p>
      <w:pPr>
        <w:pStyle w:val="9"/>
        <w:pageBreakBefore w:val="0"/>
        <w:kinsoku/>
        <w:wordWrap/>
        <w:overflowPunct/>
        <w:topLinePunct w:val="0"/>
        <w:bidi w:val="0"/>
        <w:spacing w:line="300" w:lineRule="auto"/>
        <w:rPr>
          <w:color w:val="auto"/>
          <w:highlight w:val="none"/>
          <w:u w:val="none"/>
        </w:rPr>
      </w:pPr>
    </w:p>
    <w:p>
      <w:pPr>
        <w:pStyle w:val="18"/>
        <w:pageBreakBefore w:val="0"/>
        <w:kinsoku/>
        <w:wordWrap/>
        <w:overflowPunct/>
        <w:topLinePunct w:val="0"/>
        <w:bidi w:val="0"/>
        <w:spacing w:line="300" w:lineRule="auto"/>
        <w:rPr>
          <w:rFonts w:hint="eastAsia" w:ascii="黑体" w:hAnsi="黑体" w:eastAsia="黑体"/>
          <w:color w:val="auto"/>
          <w:sz w:val="44"/>
          <w:szCs w:val="44"/>
          <w:highlight w:val="none"/>
          <w:u w:val="none"/>
        </w:rPr>
      </w:pPr>
      <w:bookmarkStart w:id="3" w:name="_Toc103679685"/>
    </w:p>
    <w:p>
      <w:pPr>
        <w:pStyle w:val="18"/>
        <w:pageBreakBefore w:val="0"/>
        <w:kinsoku/>
        <w:wordWrap/>
        <w:overflowPunct/>
        <w:topLinePunct w:val="0"/>
        <w:bidi w:val="0"/>
        <w:spacing w:line="300" w:lineRule="auto"/>
        <w:rPr>
          <w:rFonts w:ascii="黑体" w:hAnsi="黑体" w:eastAsia="黑体"/>
          <w:color w:val="auto"/>
          <w:sz w:val="44"/>
          <w:szCs w:val="44"/>
          <w:highlight w:val="none"/>
          <w:u w:val="none"/>
        </w:rPr>
      </w:pPr>
      <w:r>
        <w:rPr>
          <w:rFonts w:hint="eastAsia" w:ascii="黑体" w:hAnsi="黑体" w:eastAsia="黑体"/>
          <w:color w:val="auto"/>
          <w:sz w:val="44"/>
          <w:szCs w:val="44"/>
          <w:highlight w:val="none"/>
          <w:u w:val="none"/>
        </w:rPr>
        <w:t>第二章  投标文件编制</w:t>
      </w:r>
      <w:bookmarkEnd w:id="3"/>
    </w:p>
    <w:p>
      <w:pPr>
        <w:pStyle w:val="5"/>
        <w:pageBreakBefore w:val="0"/>
        <w:kinsoku/>
        <w:wordWrap/>
        <w:overflowPunct/>
        <w:topLinePunct w:val="0"/>
        <w:bidi w:val="0"/>
        <w:spacing w:line="300" w:lineRule="auto"/>
        <w:rPr>
          <w:color w:val="auto"/>
          <w:highlight w:val="none"/>
          <w:u w:val="none"/>
        </w:rPr>
      </w:pPr>
      <w:r>
        <w:rPr>
          <w:rFonts w:hint="eastAsia"/>
          <w:color w:val="auto"/>
          <w:highlight w:val="none"/>
          <w:u w:val="none"/>
        </w:rPr>
        <w:t>一、投标文件组成</w:t>
      </w:r>
    </w:p>
    <w:p>
      <w:pPr>
        <w:pStyle w:val="10"/>
        <w:pageBreakBefore w:val="0"/>
        <w:kinsoku/>
        <w:wordWrap/>
        <w:overflowPunct/>
        <w:topLinePunct w:val="0"/>
        <w:bidi w:val="0"/>
        <w:spacing w:line="300" w:lineRule="auto"/>
        <w:ind w:firstLine="420" w:firstLineChars="200"/>
        <w:rPr>
          <w:rFonts w:hAnsi="宋体"/>
          <w:color w:val="auto"/>
          <w:highlight w:val="none"/>
          <w:u w:val="none"/>
        </w:rPr>
      </w:pPr>
      <w:r>
        <w:rPr>
          <w:rFonts w:hint="eastAsia" w:hAnsi="宋体"/>
          <w:color w:val="auto"/>
          <w:highlight w:val="none"/>
          <w:u w:val="none"/>
        </w:rPr>
        <w:t>投标文件由</w:t>
      </w:r>
      <w:r>
        <w:rPr>
          <w:rFonts w:hint="eastAsia"/>
          <w:bCs/>
          <w:color w:val="auto"/>
          <w:highlight w:val="none"/>
          <w:u w:val="none"/>
        </w:rPr>
        <w:t>资格文件、</w:t>
      </w:r>
      <w:r>
        <w:rPr>
          <w:rFonts w:hint="eastAsia" w:hAnsi="宋体"/>
          <w:color w:val="auto"/>
          <w:highlight w:val="none"/>
          <w:u w:val="none"/>
        </w:rPr>
        <w:t>商务标、技术标、电子版标书、开标一览表组成，要求</w:t>
      </w:r>
      <w:r>
        <w:rPr>
          <w:rFonts w:hint="eastAsia"/>
          <w:bCs/>
          <w:color w:val="auto"/>
          <w:highlight w:val="none"/>
          <w:u w:val="none"/>
        </w:rPr>
        <w:t>资格文件、</w:t>
      </w:r>
      <w:r>
        <w:rPr>
          <w:rFonts w:hint="eastAsia" w:hAnsi="宋体"/>
          <w:color w:val="auto"/>
          <w:highlight w:val="none"/>
          <w:u w:val="none"/>
        </w:rPr>
        <w:t>商务标、技术标、电子标书、开标一览表</w:t>
      </w:r>
      <w:r>
        <w:rPr>
          <w:rFonts w:hint="eastAsia" w:hAnsi="宋体"/>
          <w:b/>
          <w:bCs/>
          <w:color w:val="auto"/>
          <w:highlight w:val="none"/>
          <w:u w:val="none"/>
        </w:rPr>
        <w:t>分别装订密封</w:t>
      </w:r>
      <w:r>
        <w:rPr>
          <w:rFonts w:hint="eastAsia" w:hAnsi="宋体"/>
          <w:color w:val="auto"/>
          <w:highlight w:val="none"/>
          <w:u w:val="none"/>
        </w:rPr>
        <w:t>。</w:t>
      </w:r>
    </w:p>
    <w:p>
      <w:pPr>
        <w:pStyle w:val="10"/>
        <w:pageBreakBefore w:val="0"/>
        <w:kinsoku/>
        <w:wordWrap/>
        <w:overflowPunct/>
        <w:topLinePunct w:val="0"/>
        <w:bidi w:val="0"/>
        <w:spacing w:line="300" w:lineRule="auto"/>
        <w:ind w:firstLine="420" w:firstLineChars="200"/>
        <w:rPr>
          <w:rFonts w:hAnsi="宋体"/>
          <w:color w:val="auto"/>
          <w:highlight w:val="none"/>
          <w:u w:val="none"/>
        </w:rPr>
      </w:pPr>
      <w:r>
        <w:rPr>
          <w:rFonts w:hint="eastAsia" w:hAnsi="宋体"/>
          <w:color w:val="auto"/>
          <w:highlight w:val="none"/>
          <w:u w:val="none"/>
        </w:rPr>
        <w:t>其中</w:t>
      </w:r>
      <w:r>
        <w:rPr>
          <w:rFonts w:hint="eastAsia"/>
          <w:bCs/>
          <w:color w:val="auto"/>
          <w:highlight w:val="none"/>
          <w:u w:val="none"/>
        </w:rPr>
        <w:t>资格文件</w:t>
      </w:r>
      <w:r>
        <w:rPr>
          <w:rFonts w:hint="eastAsia" w:hAnsi="宋体"/>
          <w:color w:val="auto"/>
          <w:highlight w:val="none"/>
          <w:u w:val="none"/>
        </w:rPr>
        <w:t>壹份，商务标、技术标一式</w:t>
      </w:r>
      <w:r>
        <w:rPr>
          <w:rFonts w:hint="eastAsia" w:hAnsi="宋体"/>
          <w:color w:val="auto"/>
          <w:highlight w:val="none"/>
          <w:u w:val="none"/>
          <w:lang w:val="en-US" w:eastAsia="zh-CN"/>
        </w:rPr>
        <w:t>伍</w:t>
      </w:r>
      <w:r>
        <w:rPr>
          <w:rFonts w:hint="eastAsia" w:hAnsi="宋体"/>
          <w:color w:val="auto"/>
          <w:highlight w:val="none"/>
          <w:u w:val="none"/>
        </w:rPr>
        <w:t>份（正本</w:t>
      </w:r>
      <w:r>
        <w:rPr>
          <w:rFonts w:hint="eastAsia" w:hAnsi="宋体"/>
          <w:color w:val="auto"/>
          <w:szCs w:val="22"/>
          <w:highlight w:val="none"/>
          <w:u w:val="none"/>
        </w:rPr>
        <w:t>壹</w:t>
      </w:r>
      <w:r>
        <w:rPr>
          <w:rFonts w:hint="eastAsia" w:hAnsi="宋体"/>
          <w:color w:val="auto"/>
          <w:highlight w:val="none"/>
          <w:u w:val="none"/>
        </w:rPr>
        <w:t>份，副本肆份），电子标书壹份，开标一览表一式贰份。</w:t>
      </w:r>
    </w:p>
    <w:p>
      <w:pPr>
        <w:pStyle w:val="10"/>
        <w:pageBreakBefore w:val="0"/>
        <w:kinsoku/>
        <w:wordWrap/>
        <w:overflowPunct/>
        <w:topLinePunct w:val="0"/>
        <w:bidi w:val="0"/>
        <w:spacing w:line="300" w:lineRule="auto"/>
        <w:ind w:firstLine="422" w:firstLineChars="200"/>
        <w:rPr>
          <w:rFonts w:hAnsi="宋体"/>
          <w:color w:val="auto"/>
          <w:highlight w:val="none"/>
          <w:u w:val="none"/>
        </w:rPr>
      </w:pPr>
      <w:r>
        <w:rPr>
          <w:rFonts w:hint="eastAsia" w:hAnsi="宋体" w:cs="宋体"/>
          <w:b/>
          <w:color w:val="auto"/>
          <w:szCs w:val="21"/>
          <w:highlight w:val="none"/>
          <w:u w:val="none"/>
          <w:lang w:bidi="ar"/>
        </w:rPr>
        <w:t>（注意：投标响应文件均需加盖投标单位公章，以下不再逐条款列示此项要求）</w:t>
      </w:r>
    </w:p>
    <w:p>
      <w:pPr>
        <w:pStyle w:val="10"/>
        <w:pageBreakBefore w:val="0"/>
        <w:kinsoku/>
        <w:wordWrap/>
        <w:overflowPunct/>
        <w:topLinePunct w:val="0"/>
        <w:bidi w:val="0"/>
        <w:spacing w:line="300" w:lineRule="auto"/>
        <w:ind w:firstLine="420" w:firstLineChars="200"/>
        <w:rPr>
          <w:rFonts w:hAnsi="宋体"/>
          <w:color w:val="auto"/>
          <w:highlight w:val="none"/>
          <w:u w:val="none"/>
        </w:rPr>
      </w:pPr>
      <w:r>
        <w:rPr>
          <w:rFonts w:hint="eastAsia" w:hAnsi="宋体"/>
          <w:color w:val="auto"/>
          <w:highlight w:val="none"/>
          <w:u w:val="none"/>
        </w:rPr>
        <w:t>资格文件包括：</w:t>
      </w:r>
    </w:p>
    <w:tbl>
      <w:tblPr>
        <w:tblStyle w:val="20"/>
        <w:tblW w:w="871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序号</w:t>
            </w:r>
          </w:p>
        </w:tc>
        <w:tc>
          <w:tcPr>
            <w:tcW w:w="8007"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1</w:t>
            </w:r>
          </w:p>
        </w:tc>
        <w:tc>
          <w:tcPr>
            <w:tcW w:w="8007"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0"/>
                <w:highlight w:val="none"/>
                <w:u w:val="none"/>
              </w:rPr>
            </w:pPr>
            <w:r>
              <w:rPr>
                <w:rFonts w:hint="eastAsia"/>
                <w:color w:val="auto"/>
                <w:szCs w:val="20"/>
                <w:highlight w:val="none"/>
                <w:u w:val="none"/>
              </w:rPr>
              <w:t>企业简介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2</w:t>
            </w:r>
          </w:p>
        </w:tc>
        <w:tc>
          <w:tcPr>
            <w:tcW w:w="8007"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0"/>
                <w:highlight w:val="none"/>
                <w:u w:val="none"/>
              </w:rPr>
            </w:pPr>
            <w:r>
              <w:rPr>
                <w:rFonts w:hint="eastAsia"/>
                <w:color w:val="auto"/>
                <w:szCs w:val="20"/>
                <w:highlight w:val="none"/>
                <w:u w:val="none"/>
              </w:rPr>
              <w:t>投标单位情况表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3</w:t>
            </w:r>
          </w:p>
        </w:tc>
        <w:tc>
          <w:tcPr>
            <w:tcW w:w="80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Courier New"/>
                <w:color w:val="auto"/>
                <w:szCs w:val="20"/>
                <w:highlight w:val="none"/>
                <w:u w:val="none"/>
              </w:rPr>
            </w:pPr>
            <w:r>
              <w:rPr>
                <w:rFonts w:hint="eastAsia" w:ascii="宋体" w:hAnsi="Courier New"/>
                <w:color w:val="auto"/>
                <w:szCs w:val="20"/>
                <w:highlight w:val="none"/>
                <w:u w:val="none"/>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4</w:t>
            </w:r>
          </w:p>
        </w:tc>
        <w:tc>
          <w:tcPr>
            <w:tcW w:w="8007"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suppressLineNumbers w:val="0"/>
              <w:kinsoku/>
              <w:wordWrap/>
              <w:overflowPunct/>
              <w:topLinePunct w:val="0"/>
              <w:bidi w:val="0"/>
              <w:spacing w:before="0" w:beforeAutospacing="0" w:after="0" w:afterAutospacing="0" w:line="300" w:lineRule="auto"/>
              <w:ind w:left="0" w:right="0"/>
              <w:jc w:val="both"/>
              <w:rPr>
                <w:rFonts w:hint="default" w:ascii="宋体" w:hAnsi="Courier New"/>
                <w:color w:val="auto"/>
                <w:szCs w:val="20"/>
                <w:highlight w:val="none"/>
                <w:u w:val="none"/>
              </w:rPr>
            </w:pPr>
            <w:r>
              <w:rPr>
                <w:rFonts w:hint="eastAsia" w:ascii="宋体" w:hAnsi="宋体" w:cs="宋体"/>
                <w:color w:val="auto"/>
                <w:kern w:val="2"/>
                <w:sz w:val="21"/>
                <w:szCs w:val="21"/>
                <w:highlight w:val="none"/>
                <w:u w:val="none"/>
                <w:lang w:bidi="ar"/>
              </w:rPr>
              <w:t>附件3 法人授权委托书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5</w:t>
            </w:r>
          </w:p>
        </w:tc>
        <w:tc>
          <w:tcPr>
            <w:tcW w:w="80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Courier New"/>
                <w:color w:val="auto"/>
                <w:szCs w:val="20"/>
                <w:highlight w:val="none"/>
                <w:u w:val="none"/>
              </w:rPr>
            </w:pPr>
            <w:r>
              <w:rPr>
                <w:rFonts w:hint="eastAsia" w:ascii="宋体" w:hAnsi="Courier New"/>
                <w:color w:val="auto"/>
                <w:szCs w:val="20"/>
                <w:highlight w:val="none"/>
                <w:u w:val="none"/>
              </w:rPr>
              <w:t>投标保证金缴纳凭证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6</w:t>
            </w:r>
          </w:p>
        </w:tc>
        <w:tc>
          <w:tcPr>
            <w:tcW w:w="80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宋体"/>
                <w:b/>
                <w:bCs/>
                <w:color w:val="auto"/>
                <w:szCs w:val="21"/>
                <w:highlight w:val="none"/>
                <w:u w:val="none"/>
                <w:lang w:bidi="ar"/>
              </w:rPr>
            </w:pPr>
            <w:r>
              <w:rPr>
                <w:rFonts w:hint="eastAsia" w:ascii="宋体" w:hAnsi="宋体" w:cs="宋体"/>
                <w:color w:val="auto"/>
                <w:szCs w:val="21"/>
                <w:highlight w:val="none"/>
                <w:u w:val="none"/>
                <w:lang w:bidi="ar"/>
              </w:rPr>
              <w:t>银行开具资信等级证明（复印件）</w:t>
            </w:r>
          </w:p>
        </w:tc>
      </w:tr>
    </w:tbl>
    <w:p>
      <w:pPr>
        <w:pStyle w:val="10"/>
        <w:pageBreakBefore w:val="0"/>
        <w:kinsoku/>
        <w:wordWrap/>
        <w:overflowPunct/>
        <w:topLinePunct w:val="0"/>
        <w:bidi w:val="0"/>
        <w:spacing w:line="300" w:lineRule="auto"/>
        <w:ind w:firstLine="420" w:firstLineChars="200"/>
        <w:rPr>
          <w:rFonts w:hint="eastAsia" w:hAnsi="宋体"/>
          <w:color w:val="auto"/>
          <w:highlight w:val="none"/>
          <w:u w:val="none"/>
        </w:rPr>
      </w:pPr>
      <w:r>
        <w:rPr>
          <w:rFonts w:hint="eastAsia" w:hAnsi="宋体"/>
          <w:color w:val="auto"/>
          <w:highlight w:val="none"/>
          <w:u w:val="none"/>
        </w:rPr>
        <w:t>商务标包含：</w:t>
      </w:r>
    </w:p>
    <w:p>
      <w:pPr>
        <w:pStyle w:val="10"/>
        <w:pageBreakBefore w:val="0"/>
        <w:widowControl/>
        <w:kinsoku/>
        <w:wordWrap/>
        <w:overflowPunct/>
        <w:topLinePunct w:val="0"/>
        <w:autoSpaceDE w:val="0"/>
        <w:autoSpaceDN/>
        <w:bidi w:val="0"/>
        <w:spacing w:line="300" w:lineRule="auto"/>
        <w:ind w:left="0" w:firstLine="420" w:firstLineChars="200"/>
        <w:rPr>
          <w:rFonts w:hint="eastAsia" w:hAnsi="宋体"/>
          <w:color w:val="auto"/>
          <w:highlight w:val="none"/>
          <w:u w:val="none"/>
        </w:rPr>
      </w:pPr>
      <w:r>
        <w:rPr>
          <w:rFonts w:hint="eastAsia" w:ascii="宋体" w:hAnsi="宋体" w:eastAsia="宋体" w:cs="宋体"/>
          <w:color w:val="auto"/>
          <w:kern w:val="2"/>
          <w:sz w:val="21"/>
          <w:szCs w:val="21"/>
          <w:highlight w:val="none"/>
          <w:u w:val="none"/>
        </w:rPr>
        <w:t>（其中，</w:t>
      </w:r>
      <w:r>
        <w:rPr>
          <w:rFonts w:hint="eastAsia" w:ascii="宋体" w:hAnsi="宋体" w:eastAsia="宋体" w:cs="宋体"/>
          <w:b/>
          <w:bCs/>
          <w:color w:val="auto"/>
          <w:kern w:val="2"/>
          <w:sz w:val="21"/>
          <w:szCs w:val="21"/>
          <w:highlight w:val="none"/>
          <w:u w:val="none"/>
        </w:rPr>
        <w:t>附件7</w:t>
      </w:r>
      <w:r>
        <w:rPr>
          <w:rFonts w:hint="eastAsia" w:ascii="宋体" w:hAnsi="宋体" w:eastAsia="宋体" w:cs="宋体"/>
          <w:b w:val="0"/>
          <w:bCs w:val="0"/>
          <w:color w:val="auto"/>
          <w:kern w:val="2"/>
          <w:sz w:val="21"/>
          <w:szCs w:val="21"/>
          <w:highlight w:val="none"/>
          <w:u w:val="none"/>
        </w:rPr>
        <w:t>“经审</w:t>
      </w:r>
      <w:r>
        <w:rPr>
          <w:rFonts w:hint="eastAsia" w:ascii="宋体" w:hAnsi="宋体" w:eastAsia="宋体" w:cs="宋体"/>
          <w:color w:val="auto"/>
          <w:kern w:val="2"/>
          <w:sz w:val="21"/>
          <w:szCs w:val="21"/>
          <w:highlight w:val="none"/>
          <w:u w:val="none"/>
        </w:rPr>
        <w:t>计的近三年的财务报表”需提供经会计师事务所审计且出具无保留意见的</w:t>
      </w:r>
      <w:r>
        <w:rPr>
          <w:rFonts w:hint="eastAsia" w:ascii="宋体" w:hAnsi="宋体" w:eastAsia="宋体" w:cs="宋体"/>
          <w:b/>
          <w:bCs/>
          <w:color w:val="auto"/>
          <w:kern w:val="2"/>
          <w:sz w:val="21"/>
          <w:szCs w:val="21"/>
          <w:highlight w:val="none"/>
          <w:u w:val="none"/>
        </w:rPr>
        <w:t>近三年的中文版本的财务审计报告原件</w:t>
      </w:r>
      <w:r>
        <w:rPr>
          <w:rFonts w:hint="eastAsia" w:ascii="宋体" w:hAnsi="宋体" w:eastAsia="宋体" w:cs="宋体"/>
          <w:color w:val="auto"/>
          <w:kern w:val="2"/>
          <w:sz w:val="21"/>
          <w:szCs w:val="21"/>
          <w:highlight w:val="none"/>
          <w:u w:val="none"/>
        </w:rPr>
        <w:t>，并</w:t>
      </w:r>
      <w:r>
        <w:rPr>
          <w:rFonts w:hint="eastAsia" w:ascii="宋体" w:hAnsi="宋体" w:eastAsia="宋体" w:cs="宋体"/>
          <w:b/>
          <w:bCs/>
          <w:color w:val="auto"/>
          <w:kern w:val="2"/>
          <w:sz w:val="21"/>
          <w:szCs w:val="21"/>
          <w:highlight w:val="none"/>
          <w:u w:val="none"/>
        </w:rPr>
        <w:t>加盖公章</w:t>
      </w:r>
      <w:r>
        <w:rPr>
          <w:rFonts w:hint="eastAsia" w:ascii="宋体" w:hAnsi="宋体" w:eastAsia="宋体" w:cs="宋体"/>
          <w:color w:val="auto"/>
          <w:kern w:val="2"/>
          <w:sz w:val="21"/>
          <w:szCs w:val="21"/>
          <w:highlight w:val="none"/>
          <w:u w:val="none"/>
        </w:rPr>
        <w:t>，包括但不限于报告页、经审计的资产负债表、利润表、现金流量表及报表附注。如投标人公司没有经审计的财务报告，可提供</w:t>
      </w:r>
      <w:r>
        <w:rPr>
          <w:rFonts w:hint="eastAsia" w:ascii="宋体" w:hAnsi="宋体" w:eastAsia="宋体" w:cs="宋体"/>
          <w:b/>
          <w:bCs/>
          <w:color w:val="auto"/>
          <w:kern w:val="2"/>
          <w:sz w:val="21"/>
          <w:szCs w:val="21"/>
          <w:highlight w:val="none"/>
          <w:u w:val="none"/>
        </w:rPr>
        <w:t>加盖公章</w:t>
      </w:r>
      <w:r>
        <w:rPr>
          <w:rFonts w:hint="eastAsia" w:ascii="宋体" w:hAnsi="宋体" w:eastAsia="宋体" w:cs="宋体"/>
          <w:color w:val="auto"/>
          <w:kern w:val="2"/>
          <w:sz w:val="21"/>
          <w:szCs w:val="21"/>
          <w:highlight w:val="none"/>
          <w:u w:val="none"/>
        </w:rPr>
        <w:t>的近三年中文版本的财务报表，包括但不限于资产负债表、利润表、现金流量表）</w:t>
      </w:r>
    </w:p>
    <w:tbl>
      <w:tblPr>
        <w:tblStyle w:val="20"/>
        <w:tblW w:w="871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序号</w:t>
            </w:r>
          </w:p>
        </w:tc>
        <w:tc>
          <w:tcPr>
            <w:tcW w:w="8007"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1</w:t>
            </w:r>
          </w:p>
        </w:tc>
        <w:tc>
          <w:tcPr>
            <w:tcW w:w="8007"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hAnsi="宋体"/>
                <w:color w:val="auto"/>
                <w:szCs w:val="20"/>
                <w:highlight w:val="none"/>
                <w:u w:val="none"/>
              </w:rPr>
            </w:pPr>
            <w:r>
              <w:rPr>
                <w:rFonts w:hint="eastAsia" w:hAnsi="宋体"/>
                <w:color w:val="auto"/>
                <w:szCs w:val="20"/>
                <w:highlight w:val="none"/>
                <w:u w:val="none"/>
              </w:rPr>
              <w:t>附件1 投标书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2</w:t>
            </w:r>
          </w:p>
        </w:tc>
        <w:tc>
          <w:tcPr>
            <w:tcW w:w="8007"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hAnsi="宋体"/>
                <w:color w:val="auto"/>
                <w:szCs w:val="20"/>
                <w:highlight w:val="none"/>
                <w:u w:val="none"/>
              </w:rPr>
            </w:pPr>
            <w:r>
              <w:rPr>
                <w:rFonts w:hint="eastAsia" w:hAnsi="宋体"/>
                <w:color w:val="auto"/>
                <w:szCs w:val="20"/>
                <w:highlight w:val="none"/>
                <w:u w:val="none"/>
              </w:rPr>
              <w:t>附件2 投标文件目录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3</w:t>
            </w:r>
          </w:p>
        </w:tc>
        <w:tc>
          <w:tcPr>
            <w:tcW w:w="8007"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hAnsi="宋体"/>
                <w:color w:val="auto"/>
                <w:szCs w:val="20"/>
                <w:highlight w:val="none"/>
                <w:u w:val="none"/>
              </w:rPr>
            </w:pPr>
            <w:r>
              <w:rPr>
                <w:rFonts w:hint="eastAsia" w:hAnsi="宋体"/>
                <w:color w:val="auto"/>
                <w:szCs w:val="20"/>
                <w:highlight w:val="none"/>
                <w:u w:val="none"/>
              </w:rPr>
              <w:t xml:space="preserve">附件4 </w:t>
            </w:r>
            <w:r>
              <w:rPr>
                <w:rFonts w:hint="eastAsia" w:hAnsi="宋体" w:cs="宋体"/>
                <w:color w:val="auto"/>
                <w:szCs w:val="21"/>
                <w:highlight w:val="none"/>
                <w:u w:val="none"/>
                <w:lang w:bidi="ar"/>
              </w:rPr>
              <w:t>开标一览表、投标明细报价一览表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4</w:t>
            </w:r>
          </w:p>
        </w:tc>
        <w:tc>
          <w:tcPr>
            <w:tcW w:w="8007"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hAnsi="宋体"/>
                <w:color w:val="auto"/>
                <w:szCs w:val="20"/>
                <w:highlight w:val="none"/>
                <w:u w:val="none"/>
              </w:rPr>
            </w:pPr>
            <w:r>
              <w:rPr>
                <w:rFonts w:hint="eastAsia" w:hAnsi="宋体"/>
                <w:color w:val="auto"/>
                <w:szCs w:val="20"/>
                <w:highlight w:val="none"/>
                <w:u w:val="none"/>
              </w:rPr>
              <w:t xml:space="preserve">附件5 </w:t>
            </w:r>
            <w:r>
              <w:rPr>
                <w:rFonts w:hint="eastAsia" w:hAnsi="宋体" w:cs="宋体"/>
                <w:color w:val="auto"/>
                <w:szCs w:val="21"/>
                <w:highlight w:val="none"/>
                <w:u w:val="none"/>
                <w:lang w:bidi="ar"/>
              </w:rPr>
              <w:t>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5</w:t>
            </w:r>
          </w:p>
        </w:tc>
        <w:tc>
          <w:tcPr>
            <w:tcW w:w="8007"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hAnsi="宋体"/>
                <w:color w:val="auto"/>
                <w:szCs w:val="20"/>
                <w:highlight w:val="none"/>
                <w:u w:val="none"/>
              </w:rPr>
            </w:pPr>
            <w:r>
              <w:rPr>
                <w:rFonts w:hint="eastAsia" w:hAnsi="宋体"/>
                <w:color w:val="auto"/>
                <w:szCs w:val="20"/>
                <w:highlight w:val="none"/>
                <w:u w:val="none"/>
              </w:rPr>
              <w:t xml:space="preserve">附件6 </w:t>
            </w:r>
            <w:r>
              <w:rPr>
                <w:rFonts w:hint="eastAsia" w:hAnsi="宋体" w:cs="宋体"/>
                <w:color w:val="auto"/>
                <w:szCs w:val="21"/>
                <w:highlight w:val="none"/>
                <w:u w:val="none"/>
                <w:lang w:bidi="ar"/>
              </w:rPr>
              <w:t>相关条款偏离表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hAnsi="宋体"/>
                <w:color w:val="auto"/>
                <w:szCs w:val="20"/>
                <w:highlight w:val="none"/>
                <w:u w:val="none"/>
                <w:lang w:val="en-US" w:eastAsia="zh-CN"/>
              </w:rPr>
            </w:pPr>
            <w:r>
              <w:rPr>
                <w:rFonts w:hint="eastAsia" w:hAnsi="宋体"/>
                <w:color w:val="auto"/>
                <w:szCs w:val="20"/>
                <w:highlight w:val="none"/>
                <w:u w:val="none"/>
                <w:lang w:val="en-US" w:eastAsia="zh-CN"/>
              </w:rPr>
              <w:t>6</w:t>
            </w:r>
          </w:p>
        </w:tc>
        <w:tc>
          <w:tcPr>
            <w:tcW w:w="8007"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rPr>
                <w:rFonts w:hint="eastAsia" w:hAnsi="宋体"/>
                <w:color w:val="auto"/>
                <w:szCs w:val="20"/>
                <w:highlight w:val="none"/>
                <w:u w:val="none"/>
              </w:rPr>
            </w:pPr>
            <w:r>
              <w:rPr>
                <w:rFonts w:hint="eastAsia" w:hAnsi="宋体"/>
                <w:color w:val="auto"/>
                <w:szCs w:val="20"/>
                <w:highlight w:val="none"/>
                <w:u w:val="none"/>
              </w:rPr>
              <w:t>附件7</w:t>
            </w:r>
            <w:r>
              <w:rPr>
                <w:rFonts w:hint="eastAsia" w:hAnsi="宋体" w:cs="宋体"/>
                <w:color w:val="auto"/>
                <w:szCs w:val="21"/>
                <w:highlight w:val="none"/>
                <w:u w:val="none"/>
                <w:lang w:bidi="ar"/>
              </w:rPr>
              <w:t>经审计的近三年的财务报表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hAnsi="宋体" w:eastAsia="宋体"/>
                <w:color w:val="auto"/>
                <w:szCs w:val="20"/>
                <w:highlight w:val="none"/>
                <w:u w:val="none"/>
                <w:lang w:eastAsia="zh-CN"/>
              </w:rPr>
            </w:pPr>
            <w:r>
              <w:rPr>
                <w:rFonts w:hint="eastAsia" w:hAnsi="宋体"/>
                <w:color w:val="auto"/>
                <w:szCs w:val="20"/>
                <w:highlight w:val="none"/>
                <w:u w:val="none"/>
                <w:lang w:val="en-US" w:eastAsia="zh-CN"/>
              </w:rPr>
              <w:t>7</w:t>
            </w:r>
          </w:p>
        </w:tc>
        <w:tc>
          <w:tcPr>
            <w:tcW w:w="8007"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hAnsi="宋体"/>
                <w:color w:val="auto"/>
                <w:szCs w:val="20"/>
                <w:highlight w:val="none"/>
                <w:u w:val="none"/>
              </w:rPr>
            </w:pPr>
            <w:r>
              <w:rPr>
                <w:rFonts w:hint="eastAsia" w:hAnsi="宋体"/>
                <w:color w:val="auto"/>
                <w:szCs w:val="20"/>
                <w:highlight w:val="none"/>
                <w:u w:val="none"/>
              </w:rPr>
              <w:t>附件</w:t>
            </w:r>
            <w:r>
              <w:rPr>
                <w:rFonts w:hint="eastAsia" w:hAnsi="宋体"/>
                <w:color w:val="auto"/>
                <w:szCs w:val="20"/>
                <w:highlight w:val="none"/>
                <w:u w:val="none"/>
                <w:lang w:val="en-US" w:eastAsia="zh-CN"/>
              </w:rPr>
              <w:t>9</w:t>
            </w:r>
            <w:r>
              <w:rPr>
                <w:rFonts w:hint="eastAsia" w:hAnsi="宋体"/>
                <w:color w:val="auto"/>
                <w:szCs w:val="20"/>
                <w:highlight w:val="none"/>
                <w:u w:val="none"/>
              </w:rPr>
              <w:t xml:space="preserve"> 投标保证金退付表</w:t>
            </w:r>
          </w:p>
        </w:tc>
      </w:tr>
    </w:tbl>
    <w:p>
      <w:pPr>
        <w:pStyle w:val="10"/>
        <w:pageBreakBefore w:val="0"/>
        <w:kinsoku/>
        <w:wordWrap/>
        <w:overflowPunct/>
        <w:topLinePunct w:val="0"/>
        <w:bidi w:val="0"/>
        <w:spacing w:line="300" w:lineRule="auto"/>
        <w:ind w:firstLine="420" w:firstLineChars="200"/>
        <w:rPr>
          <w:rFonts w:hAnsi="宋体"/>
          <w:color w:val="auto"/>
          <w:highlight w:val="none"/>
          <w:u w:val="none"/>
        </w:rPr>
      </w:pPr>
      <w:r>
        <w:rPr>
          <w:rFonts w:hint="eastAsia" w:hAnsi="宋体"/>
          <w:color w:val="auto"/>
          <w:highlight w:val="none"/>
          <w:u w:val="none"/>
        </w:rPr>
        <w:t>技术标包含：</w:t>
      </w:r>
    </w:p>
    <w:tbl>
      <w:tblPr>
        <w:tblStyle w:val="20"/>
        <w:tblW w:w="871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序号</w:t>
            </w:r>
          </w:p>
        </w:tc>
        <w:tc>
          <w:tcPr>
            <w:tcW w:w="8007"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1</w:t>
            </w:r>
          </w:p>
        </w:tc>
        <w:tc>
          <w:tcPr>
            <w:tcW w:w="8007"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hAnsi="宋体"/>
                <w:color w:val="auto"/>
                <w:szCs w:val="20"/>
                <w:highlight w:val="none"/>
                <w:u w:val="none"/>
              </w:rPr>
            </w:pPr>
            <w:r>
              <w:rPr>
                <w:rFonts w:hint="eastAsia" w:hAnsi="宋体" w:cs="宋体"/>
                <w:color w:val="auto"/>
                <w:szCs w:val="21"/>
                <w:highlight w:val="none"/>
                <w:u w:val="none"/>
                <w:lang w:bidi="ar"/>
              </w:rPr>
              <w:t>附件5 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2</w:t>
            </w:r>
          </w:p>
        </w:tc>
        <w:tc>
          <w:tcPr>
            <w:tcW w:w="8007"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hAnsi="宋体"/>
                <w:color w:val="auto"/>
                <w:szCs w:val="20"/>
                <w:highlight w:val="none"/>
                <w:u w:val="none"/>
              </w:rPr>
            </w:pPr>
            <w:r>
              <w:rPr>
                <w:rFonts w:hint="eastAsia" w:hAnsi="宋体" w:cs="宋体"/>
                <w:color w:val="auto"/>
                <w:szCs w:val="21"/>
                <w:highlight w:val="none"/>
                <w:u w:val="none"/>
                <w:lang w:bidi="ar"/>
              </w:rPr>
              <w:t>附件6 相关条款偏离表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hAnsi="宋体" w:eastAsia="宋体"/>
                <w:color w:val="auto"/>
                <w:szCs w:val="20"/>
                <w:highlight w:val="none"/>
                <w:u w:val="none"/>
                <w:lang w:val="en-US" w:eastAsia="zh-CN"/>
              </w:rPr>
            </w:pPr>
            <w:r>
              <w:rPr>
                <w:rFonts w:hint="eastAsia" w:hAnsi="宋体"/>
                <w:color w:val="auto"/>
                <w:szCs w:val="20"/>
                <w:highlight w:val="none"/>
                <w:u w:val="none"/>
                <w:lang w:val="en-US" w:eastAsia="zh-CN"/>
              </w:rPr>
              <w:t>3</w:t>
            </w:r>
          </w:p>
        </w:tc>
        <w:tc>
          <w:tcPr>
            <w:tcW w:w="8007"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leftChars="0" w:right="0" w:rightChars="0"/>
              <w:rPr>
                <w:rFonts w:hint="eastAsia" w:ascii="宋体" w:hAnsi="宋体" w:cs="宋体"/>
                <w:color w:val="auto"/>
                <w:szCs w:val="21"/>
                <w:highlight w:val="none"/>
                <w:u w:val="none"/>
                <w:lang w:bidi="ar"/>
              </w:rPr>
            </w:pPr>
            <w:r>
              <w:rPr>
                <w:rFonts w:hint="eastAsia" w:hAnsi="宋体"/>
                <w:color w:val="auto"/>
                <w:szCs w:val="20"/>
                <w:highlight w:val="none"/>
                <w:u w:val="none"/>
              </w:rPr>
              <w:t>附件8 业绩表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hAnsi="宋体" w:eastAsia="宋体"/>
                <w:color w:val="auto"/>
                <w:szCs w:val="20"/>
                <w:highlight w:val="none"/>
                <w:u w:val="none"/>
                <w:lang w:eastAsia="zh-CN"/>
              </w:rPr>
            </w:pPr>
            <w:r>
              <w:rPr>
                <w:rFonts w:hint="eastAsia" w:hAnsi="宋体"/>
                <w:color w:val="auto"/>
                <w:szCs w:val="20"/>
                <w:highlight w:val="none"/>
                <w:u w:val="none"/>
                <w:lang w:val="en-US" w:eastAsia="zh-CN"/>
              </w:rPr>
              <w:t>4</w:t>
            </w:r>
          </w:p>
        </w:tc>
        <w:tc>
          <w:tcPr>
            <w:tcW w:w="80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hAnsi="宋体" w:eastAsia="宋体"/>
                <w:color w:val="auto"/>
                <w:szCs w:val="20"/>
                <w:highlight w:val="none"/>
                <w:u w:val="none"/>
                <w:lang w:val="en-US" w:eastAsia="zh-CN"/>
              </w:rPr>
            </w:pPr>
            <w:r>
              <w:rPr>
                <w:rFonts w:hint="eastAsia" w:ascii="宋体" w:hAnsi="宋体" w:cs="宋体"/>
                <w:b w:val="0"/>
                <w:bCs w:val="0"/>
                <w:color w:val="auto"/>
                <w:szCs w:val="21"/>
                <w:highlight w:val="none"/>
                <w:u w:val="none"/>
                <w:lang w:val="en-US" w:eastAsia="zh-CN" w:bidi="ar"/>
              </w:rPr>
              <w:t>技术实施方案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hAnsi="宋体" w:eastAsia="宋体"/>
                <w:color w:val="auto"/>
                <w:szCs w:val="20"/>
                <w:highlight w:val="none"/>
                <w:u w:val="none"/>
                <w:lang w:val="en-US" w:eastAsia="zh-CN"/>
              </w:rPr>
            </w:pPr>
            <w:r>
              <w:rPr>
                <w:rFonts w:hint="eastAsia" w:hAnsi="宋体"/>
                <w:color w:val="auto"/>
                <w:szCs w:val="20"/>
                <w:highlight w:val="none"/>
                <w:u w:val="none"/>
                <w:lang w:val="en-US" w:eastAsia="zh-CN"/>
              </w:rPr>
              <w:t>5</w:t>
            </w:r>
          </w:p>
        </w:tc>
        <w:tc>
          <w:tcPr>
            <w:tcW w:w="80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eastAsia" w:ascii="宋体" w:hAnsi="宋体" w:eastAsia="宋体" w:cs="宋体"/>
                <w:color w:val="auto"/>
                <w:szCs w:val="21"/>
                <w:highlight w:val="none"/>
                <w:u w:val="none"/>
                <w:lang w:eastAsia="zh-CN" w:bidi="ar"/>
              </w:rPr>
            </w:pPr>
            <w:r>
              <w:rPr>
                <w:rFonts w:hint="eastAsia" w:ascii="宋体" w:hAnsi="宋体" w:cs="宋体"/>
                <w:color w:val="auto"/>
                <w:szCs w:val="21"/>
                <w:highlight w:val="none"/>
                <w:u w:val="none"/>
                <w:lang w:bidi="ar"/>
              </w:rPr>
              <w:t>投标人认为需要提交的其它文件</w:t>
            </w:r>
            <w:r>
              <w:rPr>
                <w:rFonts w:hint="eastAsia" w:ascii="宋体" w:hAnsi="宋体" w:cs="宋体"/>
                <w:color w:val="auto"/>
                <w:szCs w:val="21"/>
                <w:highlight w:val="none"/>
                <w:u w:val="none"/>
                <w:lang w:eastAsia="zh-CN" w:bidi="ar"/>
              </w:rPr>
              <w:t>（</w:t>
            </w:r>
            <w:r>
              <w:rPr>
                <w:rFonts w:hint="eastAsia" w:ascii="宋体" w:hAnsi="宋体" w:cs="宋体"/>
                <w:color w:val="auto"/>
                <w:szCs w:val="21"/>
                <w:highlight w:val="none"/>
                <w:u w:val="none"/>
                <w:lang w:val="en-US" w:eastAsia="zh-CN" w:bidi="ar"/>
              </w:rPr>
              <w:t>相关业务合同等</w:t>
            </w:r>
            <w:r>
              <w:rPr>
                <w:rFonts w:hint="eastAsia" w:ascii="宋体" w:hAnsi="宋体" w:cs="宋体"/>
                <w:color w:val="auto"/>
                <w:szCs w:val="21"/>
                <w:highlight w:val="none"/>
                <w:u w:val="none"/>
                <w:lang w:eastAsia="zh-CN" w:bidi="ar"/>
              </w:rPr>
              <w:t>）</w:t>
            </w:r>
          </w:p>
        </w:tc>
      </w:tr>
    </w:tbl>
    <w:p>
      <w:pPr>
        <w:pStyle w:val="5"/>
        <w:pageBreakBefore w:val="0"/>
        <w:kinsoku/>
        <w:wordWrap/>
        <w:overflowPunct/>
        <w:topLinePunct w:val="0"/>
        <w:bidi w:val="0"/>
        <w:spacing w:line="300" w:lineRule="auto"/>
        <w:rPr>
          <w:color w:val="auto"/>
          <w:highlight w:val="none"/>
          <w:u w:val="none"/>
        </w:rPr>
      </w:pPr>
      <w:r>
        <w:rPr>
          <w:rFonts w:hint="eastAsia"/>
          <w:color w:val="auto"/>
          <w:highlight w:val="none"/>
          <w:u w:val="none"/>
        </w:rPr>
        <w:t>二、投标文件签署</w:t>
      </w:r>
    </w:p>
    <w:p>
      <w:pPr>
        <w:pStyle w:val="10"/>
        <w:pageBreakBefore w:val="0"/>
        <w:kinsoku/>
        <w:wordWrap/>
        <w:overflowPunct/>
        <w:topLinePunct w:val="0"/>
        <w:bidi w:val="0"/>
        <w:spacing w:line="300" w:lineRule="auto"/>
        <w:ind w:firstLine="420" w:firstLineChars="200"/>
        <w:rPr>
          <w:rFonts w:hAnsi="宋体"/>
          <w:color w:val="auto"/>
          <w:highlight w:val="none"/>
          <w:u w:val="none"/>
        </w:rPr>
      </w:pPr>
      <w:r>
        <w:rPr>
          <w:rFonts w:hint="eastAsia" w:hAnsi="宋体"/>
          <w:color w:val="auto"/>
          <w:highlight w:val="none"/>
          <w:u w:val="none"/>
        </w:rPr>
        <w:t>1.法定代表人或投标人授权代表必须按招标文件的规定在投标文件（正本、副本及各附件）、开标一览表上签字并加盖</w:t>
      </w:r>
      <w:r>
        <w:rPr>
          <w:rFonts w:hint="eastAsia" w:hAnsi="宋体"/>
          <w:b/>
          <w:bCs/>
          <w:color w:val="auto"/>
          <w:highlight w:val="none"/>
          <w:u w:val="none"/>
        </w:rPr>
        <w:t>投标人单位公章</w:t>
      </w:r>
      <w:r>
        <w:rPr>
          <w:rFonts w:hint="eastAsia" w:hAnsi="宋体"/>
          <w:color w:val="auto"/>
          <w:highlight w:val="none"/>
          <w:u w:val="none"/>
        </w:rPr>
        <w:t>，不得使用其它形式如带有“专用章”等字样的印章，否则投标将被视为无效。如投标人对投标文件进行了修改，则须由投标人的法定代表人或授权代表在修改的每一页上签字或加盖公章。</w:t>
      </w:r>
    </w:p>
    <w:p>
      <w:pPr>
        <w:pStyle w:val="10"/>
        <w:pageBreakBefore w:val="0"/>
        <w:kinsoku/>
        <w:wordWrap/>
        <w:overflowPunct/>
        <w:topLinePunct w:val="0"/>
        <w:bidi w:val="0"/>
        <w:spacing w:line="300" w:lineRule="auto"/>
        <w:ind w:firstLine="420" w:firstLineChars="200"/>
        <w:rPr>
          <w:rFonts w:hAnsi="宋体"/>
          <w:color w:val="auto"/>
          <w:highlight w:val="none"/>
          <w:u w:val="none"/>
        </w:rPr>
      </w:pPr>
      <w:r>
        <w:rPr>
          <w:rFonts w:hint="eastAsia" w:hAnsi="宋体"/>
          <w:color w:val="auto"/>
          <w:highlight w:val="none"/>
          <w:u w:val="none"/>
        </w:rPr>
        <w:t>2.任何行间插字、涂改和增删，必须由投标人的法定代表人或授权代表签字或加盖公章后才有效。</w:t>
      </w:r>
    </w:p>
    <w:p>
      <w:pPr>
        <w:pStyle w:val="5"/>
        <w:pageBreakBefore w:val="0"/>
        <w:kinsoku/>
        <w:wordWrap/>
        <w:overflowPunct/>
        <w:topLinePunct w:val="0"/>
        <w:bidi w:val="0"/>
        <w:spacing w:line="300" w:lineRule="auto"/>
        <w:rPr>
          <w:color w:val="auto"/>
          <w:highlight w:val="none"/>
          <w:u w:val="none"/>
        </w:rPr>
      </w:pPr>
      <w:r>
        <w:rPr>
          <w:rFonts w:hint="eastAsia"/>
          <w:color w:val="auto"/>
          <w:highlight w:val="none"/>
          <w:u w:val="none"/>
        </w:rPr>
        <w:t>三、投标文件的密封和标记</w:t>
      </w:r>
    </w:p>
    <w:p>
      <w:pPr>
        <w:pStyle w:val="10"/>
        <w:pageBreakBefore w:val="0"/>
        <w:kinsoku/>
        <w:wordWrap/>
        <w:overflowPunct/>
        <w:topLinePunct w:val="0"/>
        <w:bidi w:val="0"/>
        <w:spacing w:line="300" w:lineRule="auto"/>
        <w:ind w:firstLine="420" w:firstLineChars="200"/>
        <w:rPr>
          <w:rFonts w:hAnsi="宋体"/>
          <w:color w:val="auto"/>
          <w:highlight w:val="none"/>
          <w:u w:val="none"/>
        </w:rPr>
      </w:pPr>
      <w:r>
        <w:rPr>
          <w:rFonts w:hint="eastAsia" w:hAnsi="宋体"/>
          <w:color w:val="auto"/>
          <w:highlight w:val="none"/>
          <w:u w:val="none"/>
        </w:rPr>
        <w:t>1.投标人应将投标文件正、副本及U盘电子版一同密封送达，并在封面明显处注明以下内容：</w:t>
      </w:r>
    </w:p>
    <w:p>
      <w:pPr>
        <w:pStyle w:val="10"/>
        <w:pageBreakBefore w:val="0"/>
        <w:kinsoku/>
        <w:wordWrap/>
        <w:overflowPunct/>
        <w:topLinePunct w:val="0"/>
        <w:bidi w:val="0"/>
        <w:spacing w:line="300" w:lineRule="auto"/>
        <w:ind w:firstLine="420" w:firstLineChars="200"/>
        <w:rPr>
          <w:rFonts w:hAnsi="宋体"/>
          <w:color w:val="auto"/>
          <w:highlight w:val="none"/>
          <w:u w:val="none"/>
        </w:rPr>
      </w:pPr>
      <w:r>
        <w:rPr>
          <w:rFonts w:hint="eastAsia" w:hAnsi="宋体"/>
          <w:color w:val="auto"/>
          <w:highlight w:val="none"/>
          <w:u w:val="none"/>
        </w:rPr>
        <w:t>⑴项目名称</w:t>
      </w:r>
    </w:p>
    <w:p>
      <w:pPr>
        <w:pStyle w:val="10"/>
        <w:pageBreakBefore w:val="0"/>
        <w:kinsoku/>
        <w:wordWrap/>
        <w:overflowPunct/>
        <w:topLinePunct w:val="0"/>
        <w:bidi w:val="0"/>
        <w:spacing w:line="300" w:lineRule="auto"/>
        <w:ind w:firstLine="420" w:firstLineChars="200"/>
        <w:rPr>
          <w:rFonts w:hAnsi="宋体"/>
          <w:color w:val="auto"/>
          <w:highlight w:val="none"/>
          <w:u w:val="none"/>
        </w:rPr>
      </w:pPr>
      <w:r>
        <w:rPr>
          <w:rFonts w:hint="eastAsia" w:hAnsi="宋体"/>
          <w:color w:val="auto"/>
          <w:highlight w:val="none"/>
          <w:u w:val="none"/>
        </w:rPr>
        <w:t>⑵投标人名称（加盖公章）、地址、邮编、电话、传真</w:t>
      </w:r>
    </w:p>
    <w:p>
      <w:pPr>
        <w:pStyle w:val="10"/>
        <w:pageBreakBefore w:val="0"/>
        <w:kinsoku/>
        <w:wordWrap/>
        <w:overflowPunct/>
        <w:topLinePunct w:val="0"/>
        <w:bidi w:val="0"/>
        <w:spacing w:line="300" w:lineRule="auto"/>
        <w:ind w:firstLine="420" w:firstLineChars="200"/>
        <w:rPr>
          <w:rFonts w:hAnsi="宋体"/>
          <w:color w:val="auto"/>
          <w:highlight w:val="none"/>
          <w:u w:val="none"/>
        </w:rPr>
      </w:pPr>
      <w:r>
        <w:rPr>
          <w:rFonts w:hint="eastAsia" w:hAnsi="宋体"/>
          <w:color w:val="auto"/>
          <w:highlight w:val="none"/>
          <w:u w:val="none"/>
        </w:rPr>
        <w:t>2.请投标人将2份“开标一览表”单独密封，并注明开标一览表、项目名称、投标人名称（加盖公章），与投标文件同时提交。</w:t>
      </w:r>
    </w:p>
    <w:p>
      <w:pPr>
        <w:pStyle w:val="10"/>
        <w:pageBreakBefore w:val="0"/>
        <w:kinsoku/>
        <w:wordWrap/>
        <w:overflowPunct/>
        <w:topLinePunct w:val="0"/>
        <w:bidi w:val="0"/>
        <w:spacing w:line="300" w:lineRule="auto"/>
        <w:ind w:firstLine="420" w:firstLineChars="200"/>
        <w:rPr>
          <w:rFonts w:hint="eastAsia" w:hAnsi="宋体"/>
          <w:color w:val="auto"/>
          <w:highlight w:val="none"/>
          <w:u w:val="none"/>
        </w:rPr>
      </w:pPr>
      <w:r>
        <w:rPr>
          <w:rFonts w:hint="eastAsia" w:hAnsi="宋体"/>
          <w:color w:val="auto"/>
          <w:highlight w:val="none"/>
          <w:u w:val="none"/>
        </w:rPr>
        <w:t>3.每一密封文件在封口处加盖投标人公章并注明“于</w:t>
      </w:r>
      <w:r>
        <w:rPr>
          <w:rFonts w:hint="eastAsia"/>
          <w:color w:val="auto"/>
          <w:highlight w:val="none"/>
          <w:u w:val="none"/>
        </w:rPr>
        <w:t>202</w:t>
      </w:r>
      <w:r>
        <w:rPr>
          <w:color w:val="auto"/>
          <w:highlight w:val="none"/>
          <w:u w:val="none"/>
        </w:rPr>
        <w:t>2</w:t>
      </w:r>
      <w:r>
        <w:rPr>
          <w:rFonts w:hint="eastAsia"/>
          <w:color w:val="auto"/>
          <w:highlight w:val="none"/>
          <w:u w:val="none"/>
        </w:rPr>
        <w:t>年</w:t>
      </w:r>
      <w:r>
        <w:rPr>
          <w:rFonts w:hint="eastAsia"/>
          <w:color w:val="auto"/>
          <w:highlight w:val="none"/>
          <w:u w:val="none"/>
          <w:lang w:val="en-US" w:eastAsia="zh-CN"/>
        </w:rPr>
        <w:t>1</w:t>
      </w:r>
      <w:r>
        <w:rPr>
          <w:rFonts w:hint="eastAsia"/>
          <w:color w:val="auto"/>
          <w:highlight w:val="none"/>
          <w:u w:val="none"/>
        </w:rPr>
        <w:t>月</w:t>
      </w:r>
      <w:r>
        <w:rPr>
          <w:rFonts w:hint="eastAsia"/>
          <w:color w:val="auto"/>
          <w:highlight w:val="none"/>
          <w:u w:val="none"/>
          <w:lang w:val="en-US" w:eastAsia="zh-CN"/>
        </w:rPr>
        <w:t>17</w:t>
      </w:r>
      <w:r>
        <w:rPr>
          <w:rFonts w:hint="eastAsia"/>
          <w:color w:val="auto"/>
          <w:highlight w:val="none"/>
          <w:u w:val="none"/>
        </w:rPr>
        <w:t>日上午9:00</w:t>
      </w:r>
      <w:r>
        <w:rPr>
          <w:rFonts w:hint="eastAsia" w:hAnsi="宋体"/>
          <w:color w:val="auto"/>
          <w:highlight w:val="none"/>
          <w:u w:val="none"/>
        </w:rPr>
        <w:t>时之前不准启封”字样</w:t>
      </w:r>
      <w:r>
        <w:rPr>
          <w:rFonts w:hint="eastAsia" w:hAnsi="宋体"/>
          <w:color w:val="auto"/>
          <w:highlight w:val="none"/>
          <w:u w:val="none"/>
          <w:lang w:eastAsia="zh-CN"/>
        </w:rPr>
        <w:t>（</w:t>
      </w:r>
      <w:r>
        <w:rPr>
          <w:rFonts w:hint="eastAsia" w:hAnsi="宋体"/>
          <w:color w:val="auto"/>
          <w:highlight w:val="none"/>
          <w:u w:val="none"/>
          <w:lang w:val="en-US" w:eastAsia="zh-CN"/>
        </w:rPr>
        <w:t>如开标日期变更，则以变更后的开标日期为准</w:t>
      </w:r>
      <w:r>
        <w:rPr>
          <w:rFonts w:hint="eastAsia" w:hAnsi="宋体"/>
          <w:color w:val="auto"/>
          <w:highlight w:val="none"/>
          <w:u w:val="none"/>
          <w:lang w:eastAsia="zh-CN"/>
        </w:rPr>
        <w:t>）</w:t>
      </w:r>
      <w:r>
        <w:rPr>
          <w:rFonts w:hint="eastAsia" w:hAnsi="宋体"/>
          <w:color w:val="auto"/>
          <w:highlight w:val="none"/>
          <w:u w:val="none"/>
        </w:rPr>
        <w:t>。</w:t>
      </w:r>
    </w:p>
    <w:p>
      <w:pPr>
        <w:pStyle w:val="10"/>
        <w:pageBreakBefore w:val="0"/>
        <w:kinsoku/>
        <w:wordWrap/>
        <w:overflowPunct/>
        <w:topLinePunct w:val="0"/>
        <w:bidi w:val="0"/>
        <w:spacing w:line="300" w:lineRule="auto"/>
        <w:ind w:firstLine="420" w:firstLineChars="200"/>
        <w:rPr>
          <w:rFonts w:hAnsi="宋体"/>
          <w:color w:val="auto"/>
          <w:highlight w:val="none"/>
          <w:u w:val="none"/>
        </w:rPr>
      </w:pPr>
      <w:r>
        <w:rPr>
          <w:rFonts w:hint="eastAsia" w:hAnsi="宋体"/>
          <w:color w:val="auto"/>
          <w:highlight w:val="none"/>
          <w:u w:val="none"/>
        </w:rPr>
        <w:t>4.如果投标人未按上述要求对投标文件密封及加写标记，招标人对投标人提前启封概不负责。对由此造成提前开封的投标文件，招标人有权予以拒绝，并退回投标人。</w:t>
      </w:r>
    </w:p>
    <w:p>
      <w:pPr>
        <w:pStyle w:val="5"/>
        <w:pageBreakBefore w:val="0"/>
        <w:kinsoku/>
        <w:wordWrap/>
        <w:overflowPunct/>
        <w:topLinePunct w:val="0"/>
        <w:bidi w:val="0"/>
        <w:spacing w:line="300" w:lineRule="auto"/>
        <w:rPr>
          <w:color w:val="auto"/>
          <w:highlight w:val="none"/>
          <w:u w:val="none"/>
        </w:rPr>
      </w:pPr>
      <w:r>
        <w:rPr>
          <w:rFonts w:hint="eastAsia"/>
          <w:color w:val="auto"/>
          <w:highlight w:val="none"/>
          <w:u w:val="none"/>
        </w:rPr>
        <w:t>四、投标文件附件及要求</w:t>
      </w:r>
    </w:p>
    <w:p>
      <w:pPr>
        <w:pStyle w:val="9"/>
        <w:pageBreakBefore w:val="0"/>
        <w:kinsoku/>
        <w:wordWrap/>
        <w:overflowPunct/>
        <w:topLinePunct w:val="0"/>
        <w:bidi w:val="0"/>
        <w:spacing w:line="300" w:lineRule="auto"/>
        <w:rPr>
          <w:rFonts w:ascii="黑体" w:eastAsia="黑体"/>
          <w:b/>
          <w:bCs/>
          <w:color w:val="auto"/>
          <w:sz w:val="36"/>
          <w:szCs w:val="36"/>
          <w:highlight w:val="none"/>
          <w:u w:val="none"/>
        </w:rPr>
      </w:pPr>
    </w:p>
    <w:p>
      <w:pPr>
        <w:pStyle w:val="9"/>
        <w:pageBreakBefore w:val="0"/>
        <w:kinsoku/>
        <w:wordWrap/>
        <w:overflowPunct/>
        <w:topLinePunct w:val="0"/>
        <w:bidi w:val="0"/>
        <w:spacing w:line="300" w:lineRule="auto"/>
        <w:rPr>
          <w:rFonts w:ascii="黑体" w:eastAsia="黑体"/>
          <w:b/>
          <w:bCs/>
          <w:color w:val="auto"/>
          <w:sz w:val="36"/>
          <w:szCs w:val="36"/>
          <w:highlight w:val="none"/>
          <w:u w:val="none"/>
        </w:rPr>
      </w:pPr>
    </w:p>
    <w:p>
      <w:pPr>
        <w:pStyle w:val="9"/>
        <w:pageBreakBefore w:val="0"/>
        <w:kinsoku/>
        <w:wordWrap/>
        <w:overflowPunct/>
        <w:topLinePunct w:val="0"/>
        <w:bidi w:val="0"/>
        <w:spacing w:line="300" w:lineRule="auto"/>
        <w:rPr>
          <w:rFonts w:ascii="黑体" w:eastAsia="黑体"/>
          <w:b/>
          <w:bCs/>
          <w:color w:val="auto"/>
          <w:sz w:val="36"/>
          <w:szCs w:val="36"/>
          <w:highlight w:val="none"/>
          <w:u w:val="none"/>
        </w:rPr>
      </w:pPr>
    </w:p>
    <w:p>
      <w:pPr>
        <w:pStyle w:val="9"/>
        <w:pageBreakBefore w:val="0"/>
        <w:kinsoku/>
        <w:wordWrap/>
        <w:overflowPunct/>
        <w:topLinePunct w:val="0"/>
        <w:bidi w:val="0"/>
        <w:spacing w:line="300" w:lineRule="auto"/>
        <w:rPr>
          <w:rFonts w:ascii="黑体" w:eastAsia="黑体"/>
          <w:b/>
          <w:bCs/>
          <w:color w:val="auto"/>
          <w:sz w:val="36"/>
          <w:szCs w:val="36"/>
          <w:highlight w:val="none"/>
          <w:u w:val="none"/>
        </w:rPr>
      </w:pPr>
    </w:p>
    <w:p>
      <w:pPr>
        <w:pStyle w:val="9"/>
        <w:pageBreakBefore w:val="0"/>
        <w:kinsoku/>
        <w:wordWrap/>
        <w:overflowPunct/>
        <w:topLinePunct w:val="0"/>
        <w:bidi w:val="0"/>
        <w:spacing w:line="300" w:lineRule="auto"/>
        <w:rPr>
          <w:rFonts w:ascii="黑体" w:eastAsia="黑体"/>
          <w:b/>
          <w:bCs/>
          <w:color w:val="auto"/>
          <w:sz w:val="36"/>
          <w:szCs w:val="36"/>
          <w:highlight w:val="none"/>
          <w:u w:val="none"/>
        </w:rPr>
      </w:pPr>
    </w:p>
    <w:p>
      <w:pPr>
        <w:pageBreakBefore w:val="0"/>
        <w:kinsoku/>
        <w:wordWrap/>
        <w:overflowPunct/>
        <w:topLinePunct w:val="0"/>
        <w:bidi w:val="0"/>
        <w:spacing w:line="300" w:lineRule="auto"/>
        <w:rPr>
          <w:rFonts w:ascii="宋体" w:hAnsi="宋体"/>
          <w:color w:val="auto"/>
          <w:highlight w:val="none"/>
          <w:u w:val="none"/>
        </w:rPr>
      </w:pPr>
      <w:r>
        <w:rPr>
          <w:rFonts w:hint="eastAsia" w:eastAsia="黑体"/>
          <w:b/>
          <w:bCs/>
          <w:color w:val="auto"/>
          <w:sz w:val="28"/>
          <w:highlight w:val="none"/>
          <w:u w:val="none"/>
        </w:rPr>
        <w:t>附件1</w:t>
      </w:r>
    </w:p>
    <w:p>
      <w:pPr>
        <w:pageBreakBefore w:val="0"/>
        <w:kinsoku/>
        <w:wordWrap/>
        <w:overflowPunct/>
        <w:topLinePunct w:val="0"/>
        <w:bidi w:val="0"/>
        <w:spacing w:line="300" w:lineRule="auto"/>
        <w:jc w:val="center"/>
        <w:rPr>
          <w:rFonts w:eastAsia="黑体"/>
          <w:b/>
          <w:bCs/>
          <w:color w:val="auto"/>
          <w:sz w:val="28"/>
          <w:highlight w:val="none"/>
          <w:u w:val="none"/>
        </w:rPr>
      </w:pPr>
      <w:r>
        <w:rPr>
          <w:rFonts w:hint="eastAsia" w:eastAsia="黑体"/>
          <w:b/>
          <w:bCs/>
          <w:color w:val="auto"/>
          <w:sz w:val="28"/>
          <w:highlight w:val="none"/>
          <w:u w:val="none"/>
        </w:rPr>
        <w:t>投标书</w:t>
      </w:r>
    </w:p>
    <w:p>
      <w:pPr>
        <w:pageBreakBefore w:val="0"/>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致重汽（济南）传动轴限公司：</w:t>
      </w:r>
    </w:p>
    <w:p>
      <w:pPr>
        <w:pageBreakBefore w:val="0"/>
        <w:kinsoku/>
        <w:wordWrap/>
        <w:overflowPunct/>
        <w:topLinePunct w:val="0"/>
        <w:bidi w:val="0"/>
        <w:spacing w:line="300" w:lineRule="auto"/>
        <w:ind w:firstLine="420" w:firstLineChars="200"/>
        <w:rPr>
          <w:rFonts w:ascii="宋体" w:hAnsi="宋体"/>
          <w:color w:val="auto"/>
          <w:highlight w:val="none"/>
          <w:u w:val="none"/>
        </w:rPr>
      </w:pPr>
      <w:r>
        <w:rPr>
          <w:rFonts w:hint="eastAsia" w:ascii="宋体" w:hAnsi="宋体"/>
          <w:color w:val="auto"/>
          <w:highlight w:val="none"/>
          <w:u w:val="none"/>
        </w:rPr>
        <w:t>根据贵方</w:t>
      </w:r>
      <w:r>
        <w:rPr>
          <w:rFonts w:hint="eastAsia" w:ascii="宋体" w:hAnsi="宋体"/>
          <w:color w:val="auto"/>
          <w:highlight w:val="none"/>
          <w:u w:val="none"/>
          <w:lang w:val="en-US" w:eastAsia="zh-CN"/>
        </w:rPr>
        <w:t>底零生产线骑马螺栓热处理</w:t>
      </w:r>
      <w:r>
        <w:rPr>
          <w:rFonts w:hint="eastAsia" w:ascii="宋体" w:hAnsi="宋体"/>
          <w:color w:val="auto"/>
          <w:highlight w:val="none"/>
          <w:u w:val="none"/>
        </w:rPr>
        <w:t>项目招标书，签字代表（全名、职务）           经正式授权并代表投标人（投标人名称、地址）              提交下述文件：</w:t>
      </w:r>
    </w:p>
    <w:p>
      <w:pPr>
        <w:pStyle w:val="10"/>
        <w:pageBreakBefore w:val="0"/>
        <w:kinsoku/>
        <w:wordWrap/>
        <w:overflowPunct/>
        <w:topLinePunct w:val="0"/>
        <w:bidi w:val="0"/>
        <w:spacing w:line="300" w:lineRule="auto"/>
        <w:rPr>
          <w:rFonts w:hAnsi="宋体"/>
          <w:color w:val="auto"/>
          <w:highlight w:val="none"/>
          <w:u w:val="none"/>
        </w:rPr>
      </w:pPr>
      <w:r>
        <w:rPr>
          <w:rFonts w:hint="eastAsia" w:hAnsi="宋体"/>
          <w:color w:val="auto"/>
          <w:highlight w:val="none"/>
          <w:u w:val="none"/>
        </w:rPr>
        <w:t>资质证明文件（1份）</w:t>
      </w:r>
    </w:p>
    <w:p>
      <w:pPr>
        <w:pStyle w:val="10"/>
        <w:pageBreakBefore w:val="0"/>
        <w:kinsoku/>
        <w:wordWrap/>
        <w:overflowPunct/>
        <w:topLinePunct w:val="0"/>
        <w:bidi w:val="0"/>
        <w:spacing w:line="300" w:lineRule="auto"/>
        <w:rPr>
          <w:color w:val="auto"/>
          <w:highlight w:val="none"/>
          <w:u w:val="none"/>
        </w:rPr>
      </w:pPr>
      <w:r>
        <w:rPr>
          <w:rFonts w:hint="eastAsia"/>
          <w:color w:val="auto"/>
          <w:highlight w:val="none"/>
          <w:u w:val="none"/>
        </w:rPr>
        <w:t>开标一览表（内装2份）</w:t>
      </w:r>
    </w:p>
    <w:p>
      <w:pPr>
        <w:pageBreakBefore w:val="0"/>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商务标书（正本1份和副本</w:t>
      </w:r>
      <w:r>
        <w:rPr>
          <w:rFonts w:hint="eastAsia" w:ascii="宋体" w:hAnsi="宋体"/>
          <w:color w:val="auto"/>
          <w:highlight w:val="none"/>
          <w:u w:val="none"/>
          <w:lang w:val="en-US" w:eastAsia="zh-CN"/>
        </w:rPr>
        <w:t>4</w:t>
      </w:r>
      <w:r>
        <w:rPr>
          <w:rFonts w:hint="eastAsia" w:ascii="宋体" w:hAnsi="宋体"/>
          <w:color w:val="auto"/>
          <w:highlight w:val="none"/>
          <w:u w:val="none"/>
        </w:rPr>
        <w:t>份，）</w:t>
      </w:r>
    </w:p>
    <w:p>
      <w:pPr>
        <w:pageBreakBefore w:val="0"/>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技术标书（正本1份和副本</w:t>
      </w:r>
      <w:r>
        <w:rPr>
          <w:rFonts w:hint="eastAsia" w:ascii="宋体" w:hAnsi="宋体"/>
          <w:color w:val="auto"/>
          <w:highlight w:val="none"/>
          <w:u w:val="none"/>
          <w:lang w:val="en-US" w:eastAsia="zh-CN"/>
        </w:rPr>
        <w:t>4</w:t>
      </w:r>
      <w:r>
        <w:rPr>
          <w:rFonts w:hint="eastAsia" w:ascii="宋体" w:hAnsi="宋体"/>
          <w:color w:val="auto"/>
          <w:highlight w:val="none"/>
          <w:u w:val="none"/>
        </w:rPr>
        <w:t>份）</w:t>
      </w:r>
    </w:p>
    <w:p>
      <w:pPr>
        <w:pageBreakBefore w:val="0"/>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据此，签字代表宣布同意如下：</w:t>
      </w:r>
    </w:p>
    <w:p>
      <w:pPr>
        <w:pageBreakBefore w:val="0"/>
        <w:kinsoku/>
        <w:wordWrap/>
        <w:overflowPunct/>
        <w:topLinePunct w:val="0"/>
        <w:bidi w:val="0"/>
        <w:spacing w:line="300" w:lineRule="auto"/>
        <w:ind w:firstLine="840" w:firstLineChars="400"/>
        <w:rPr>
          <w:rFonts w:ascii="宋体" w:hAnsi="宋体"/>
          <w:color w:val="auto"/>
          <w:highlight w:val="none"/>
          <w:u w:val="none"/>
        </w:rPr>
      </w:pPr>
      <w:r>
        <w:rPr>
          <w:rFonts w:hint="eastAsia" w:ascii="宋体" w:hAnsi="宋体"/>
          <w:color w:val="auto"/>
          <w:highlight w:val="none"/>
          <w:u w:val="none"/>
        </w:rPr>
        <w:t>所附投标报价表中规定的应提供的投标报价。</w:t>
      </w:r>
    </w:p>
    <w:p>
      <w:pPr>
        <w:pageBreakBefore w:val="0"/>
        <w:numPr>
          <w:ilvl w:val="0"/>
          <w:numId w:val="3"/>
        </w:numPr>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投标人将按招标文件的规定履行合同责任和义务。</w:t>
      </w:r>
    </w:p>
    <w:p>
      <w:pPr>
        <w:pageBreakBefore w:val="0"/>
        <w:numPr>
          <w:ilvl w:val="0"/>
          <w:numId w:val="3"/>
        </w:numPr>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投标人已详细审查全部招标文件，包括修改文件（如有的话）以及全部参考资料和有关附件，我们完全理解并同意放弃对这方面有不明及误解的权利。</w:t>
      </w:r>
    </w:p>
    <w:p>
      <w:pPr>
        <w:pageBreakBefore w:val="0"/>
        <w:numPr>
          <w:ilvl w:val="0"/>
          <w:numId w:val="3"/>
        </w:numPr>
        <w:kinsoku/>
        <w:wordWrap/>
        <w:overflowPunct/>
        <w:topLinePunct w:val="0"/>
        <w:bidi w:val="0"/>
        <w:spacing w:line="300" w:lineRule="auto"/>
        <w:rPr>
          <w:rFonts w:ascii="宋体" w:hAnsi="宋体"/>
          <w:color w:val="auto"/>
          <w:highlight w:val="none"/>
          <w:u w:val="none"/>
        </w:rPr>
      </w:pPr>
      <w:r>
        <w:rPr>
          <w:rFonts w:hint="eastAsia"/>
          <w:color w:val="auto"/>
          <w:szCs w:val="21"/>
          <w:highlight w:val="none"/>
          <w:u w:val="none"/>
        </w:rPr>
        <w:t>投标有效期：自投标截止之日起至合同签署日一直有效</w:t>
      </w:r>
      <w:r>
        <w:rPr>
          <w:rFonts w:hint="eastAsia" w:ascii="宋体" w:hAnsi="宋体"/>
          <w:color w:val="auto"/>
          <w:szCs w:val="21"/>
          <w:highlight w:val="none"/>
          <w:u w:val="none"/>
        </w:rPr>
        <w:t>。</w:t>
      </w:r>
    </w:p>
    <w:p>
      <w:pPr>
        <w:pageBreakBefore w:val="0"/>
        <w:numPr>
          <w:ilvl w:val="0"/>
          <w:numId w:val="3"/>
        </w:numPr>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投标人同意提供贵方要求的可能与投标有关的一切数据和资料，完全理解贵方不一定要接受最低价的投标或收到的任何投标。</w:t>
      </w:r>
    </w:p>
    <w:p>
      <w:pPr>
        <w:pageBreakBefore w:val="0"/>
        <w:numPr>
          <w:ilvl w:val="0"/>
          <w:numId w:val="3"/>
        </w:numPr>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投标人承诺所提供的所有数据和资料均真实有效，如存在虚报情况，投标人愿为此承担一切法律责任，并主动退出本项目竞标。</w:t>
      </w:r>
    </w:p>
    <w:p>
      <w:pPr>
        <w:pageBreakBefore w:val="0"/>
        <w:numPr>
          <w:ilvl w:val="0"/>
          <w:numId w:val="3"/>
        </w:numPr>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与本投标有关的一切正式往来通讯请寄：</w:t>
      </w:r>
    </w:p>
    <w:p>
      <w:pPr>
        <w:pageBreakBefore w:val="0"/>
        <w:kinsoku/>
        <w:wordWrap/>
        <w:overflowPunct/>
        <w:topLinePunct w:val="0"/>
        <w:bidi w:val="0"/>
        <w:spacing w:line="300" w:lineRule="auto"/>
        <w:ind w:left="795"/>
        <w:rPr>
          <w:rFonts w:ascii="宋体" w:hAnsi="宋体"/>
          <w:color w:val="auto"/>
          <w:highlight w:val="none"/>
          <w:u w:val="none"/>
        </w:rPr>
      </w:pPr>
      <w:r>
        <w:rPr>
          <w:rFonts w:hint="eastAsia" w:ascii="宋体" w:hAnsi="宋体"/>
          <w:color w:val="auto"/>
          <w:highlight w:val="none"/>
          <w:u w:val="none"/>
        </w:rPr>
        <w:t xml:space="preserve">地址：                                  </w:t>
      </w:r>
    </w:p>
    <w:p>
      <w:pPr>
        <w:pageBreakBefore w:val="0"/>
        <w:kinsoku/>
        <w:wordWrap/>
        <w:overflowPunct/>
        <w:topLinePunct w:val="0"/>
        <w:bidi w:val="0"/>
        <w:spacing w:line="300" w:lineRule="auto"/>
        <w:ind w:left="795"/>
        <w:rPr>
          <w:rFonts w:ascii="宋体" w:hAnsi="宋体"/>
          <w:color w:val="auto"/>
          <w:highlight w:val="none"/>
          <w:u w:val="none"/>
        </w:rPr>
      </w:pPr>
      <w:r>
        <w:rPr>
          <w:rFonts w:hint="eastAsia" w:ascii="宋体" w:hAnsi="宋体"/>
          <w:color w:val="auto"/>
          <w:highlight w:val="none"/>
          <w:u w:val="none"/>
        </w:rPr>
        <w:t>邮编：</w:t>
      </w:r>
    </w:p>
    <w:p>
      <w:pPr>
        <w:pageBreakBefore w:val="0"/>
        <w:kinsoku/>
        <w:wordWrap/>
        <w:overflowPunct/>
        <w:topLinePunct w:val="0"/>
        <w:bidi w:val="0"/>
        <w:spacing w:line="300" w:lineRule="auto"/>
        <w:ind w:left="795"/>
        <w:rPr>
          <w:color w:val="auto"/>
          <w:highlight w:val="none"/>
          <w:u w:val="none"/>
        </w:rPr>
      </w:pPr>
      <w:r>
        <w:rPr>
          <w:rFonts w:hint="eastAsia" w:ascii="宋体" w:hAnsi="宋体"/>
          <w:color w:val="auto"/>
          <w:highlight w:val="none"/>
          <w:u w:val="none"/>
        </w:rPr>
        <w:t xml:space="preserve">电话：                               传真：                                   </w:t>
      </w:r>
    </w:p>
    <w:p>
      <w:pPr>
        <w:pageBreakBefore w:val="0"/>
        <w:kinsoku/>
        <w:wordWrap/>
        <w:overflowPunct/>
        <w:topLinePunct w:val="0"/>
        <w:bidi w:val="0"/>
        <w:spacing w:line="300" w:lineRule="auto"/>
        <w:ind w:left="795"/>
        <w:rPr>
          <w:color w:val="auto"/>
          <w:highlight w:val="none"/>
          <w:u w:val="none"/>
        </w:rPr>
      </w:pPr>
      <w:r>
        <w:rPr>
          <w:rFonts w:hint="eastAsia"/>
          <w:color w:val="auto"/>
          <w:highlight w:val="none"/>
          <w:u w:val="none"/>
        </w:rPr>
        <w:t xml:space="preserve">投标人授权代表签字：                 职务：                 </w:t>
      </w:r>
    </w:p>
    <w:p>
      <w:pPr>
        <w:pageBreakBefore w:val="0"/>
        <w:kinsoku/>
        <w:wordWrap/>
        <w:overflowPunct/>
        <w:topLinePunct w:val="0"/>
        <w:bidi w:val="0"/>
        <w:spacing w:line="300" w:lineRule="auto"/>
        <w:ind w:left="795"/>
        <w:rPr>
          <w:color w:val="auto"/>
          <w:highlight w:val="none"/>
          <w:u w:val="none"/>
        </w:rPr>
      </w:pPr>
      <w:r>
        <w:rPr>
          <w:rFonts w:hint="eastAsia"/>
          <w:color w:val="auto"/>
          <w:highlight w:val="none"/>
          <w:u w:val="none"/>
        </w:rPr>
        <w:t>投标人名称（及公章）：</w:t>
      </w:r>
    </w:p>
    <w:p>
      <w:pPr>
        <w:pageBreakBefore w:val="0"/>
        <w:kinsoku/>
        <w:wordWrap/>
        <w:overflowPunct/>
        <w:topLinePunct w:val="0"/>
        <w:bidi w:val="0"/>
        <w:spacing w:line="300" w:lineRule="auto"/>
        <w:ind w:left="795"/>
        <w:rPr>
          <w:rFonts w:ascii="黑体" w:eastAsia="黑体"/>
          <w:color w:val="auto"/>
          <w:sz w:val="30"/>
          <w:highlight w:val="none"/>
          <w:u w:val="none"/>
        </w:rPr>
      </w:pPr>
      <w:r>
        <w:rPr>
          <w:rFonts w:hint="eastAsia"/>
          <w:color w:val="auto"/>
          <w:highlight w:val="none"/>
          <w:u w:val="none"/>
        </w:rPr>
        <w:t>日期：        年       月       日</w:t>
      </w:r>
    </w:p>
    <w:p>
      <w:pPr>
        <w:pageBreakBefore w:val="0"/>
        <w:kinsoku/>
        <w:wordWrap/>
        <w:overflowPunct/>
        <w:topLinePunct w:val="0"/>
        <w:bidi w:val="0"/>
        <w:spacing w:line="300" w:lineRule="auto"/>
        <w:ind w:left="795"/>
        <w:rPr>
          <w:color w:val="auto"/>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r>
        <w:rPr>
          <w:rFonts w:ascii="黑体" w:eastAsia="黑体"/>
          <w:color w:val="auto"/>
          <w:sz w:val="30"/>
          <w:highlight w:val="none"/>
          <w:u w:val="none"/>
        </w:rPr>
        <w:br w:type="page"/>
      </w:r>
      <w:r>
        <w:rPr>
          <w:rFonts w:hint="eastAsia" w:ascii="黑体" w:eastAsia="黑体"/>
          <w:color w:val="auto"/>
          <w:sz w:val="30"/>
          <w:highlight w:val="none"/>
          <w:u w:val="none"/>
        </w:rPr>
        <w:t>附件</w:t>
      </w:r>
      <w:r>
        <w:rPr>
          <w:rFonts w:hint="eastAsia" w:eastAsia="黑体"/>
          <w:b/>
          <w:bCs/>
          <w:color w:val="auto"/>
          <w:sz w:val="28"/>
          <w:highlight w:val="none"/>
          <w:u w:val="none"/>
        </w:rPr>
        <w:t>2</w:t>
      </w:r>
    </w:p>
    <w:p>
      <w:pPr>
        <w:pageBreakBefore w:val="0"/>
        <w:kinsoku/>
        <w:wordWrap/>
        <w:overflowPunct/>
        <w:topLinePunct w:val="0"/>
        <w:bidi w:val="0"/>
        <w:spacing w:line="300" w:lineRule="auto"/>
        <w:jc w:val="center"/>
        <w:rPr>
          <w:rFonts w:ascii="黑体" w:eastAsia="黑体"/>
          <w:color w:val="auto"/>
          <w:sz w:val="30"/>
          <w:highlight w:val="none"/>
          <w:u w:val="none"/>
        </w:rPr>
      </w:pPr>
      <w:r>
        <w:rPr>
          <w:rFonts w:hint="eastAsia" w:ascii="黑体" w:eastAsia="黑体"/>
          <w:color w:val="auto"/>
          <w:sz w:val="30"/>
          <w:highlight w:val="none"/>
          <w:u w:val="none"/>
        </w:rPr>
        <w:t>投标文件目录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52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 w:val="28"/>
                <w:szCs w:val="20"/>
                <w:highlight w:val="none"/>
                <w:u w:val="none"/>
              </w:rPr>
            </w:pPr>
            <w:r>
              <w:rPr>
                <w:rFonts w:hint="eastAsia"/>
                <w:color w:val="auto"/>
                <w:sz w:val="28"/>
                <w:szCs w:val="20"/>
                <w:highlight w:val="none"/>
                <w:u w:val="none"/>
              </w:rPr>
              <w:t>序号</w:t>
            </w:r>
          </w:p>
        </w:tc>
        <w:tc>
          <w:tcPr>
            <w:tcW w:w="652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 w:val="28"/>
                <w:szCs w:val="20"/>
                <w:highlight w:val="none"/>
                <w:u w:val="none"/>
              </w:rPr>
            </w:pPr>
            <w:r>
              <w:rPr>
                <w:rFonts w:hint="eastAsia"/>
                <w:color w:val="auto"/>
                <w:sz w:val="28"/>
                <w:szCs w:val="20"/>
                <w:highlight w:val="none"/>
                <w:u w:val="none"/>
              </w:rPr>
              <w:t>主要内容</w:t>
            </w:r>
          </w:p>
        </w:tc>
        <w:tc>
          <w:tcPr>
            <w:tcW w:w="1276"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 w:val="28"/>
                <w:szCs w:val="20"/>
                <w:highlight w:val="none"/>
                <w:u w:val="none"/>
              </w:rPr>
            </w:pPr>
            <w:r>
              <w:rPr>
                <w:rFonts w:hint="eastAsia"/>
                <w:color w:val="auto"/>
                <w:sz w:val="28"/>
                <w:szCs w:val="20"/>
                <w:highlight w:val="none"/>
                <w:u w:val="none"/>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bl>
    <w:p>
      <w:pPr>
        <w:pageBreakBefore w:val="0"/>
        <w:kinsoku/>
        <w:wordWrap/>
        <w:overflowPunct/>
        <w:topLinePunct w:val="0"/>
        <w:bidi w:val="0"/>
        <w:spacing w:line="300" w:lineRule="auto"/>
        <w:rPr>
          <w:rFonts w:ascii="宋体" w:hAnsi="宋体"/>
          <w:color w:val="auto"/>
          <w:sz w:val="24"/>
          <w:szCs w:val="24"/>
          <w:highlight w:val="none"/>
          <w:u w:val="none"/>
        </w:rPr>
      </w:pPr>
    </w:p>
    <w:p>
      <w:pPr>
        <w:pageBreakBefore w:val="0"/>
        <w:kinsoku/>
        <w:wordWrap/>
        <w:overflowPunct/>
        <w:topLinePunct w:val="0"/>
        <w:bidi w:val="0"/>
        <w:spacing w:line="300" w:lineRule="auto"/>
        <w:rPr>
          <w:rFonts w:ascii="宋体" w:hAnsi="宋体"/>
          <w:color w:val="auto"/>
          <w:sz w:val="24"/>
          <w:szCs w:val="24"/>
          <w:highlight w:val="none"/>
          <w:u w:val="none"/>
        </w:rPr>
      </w:pPr>
      <w:r>
        <w:rPr>
          <w:rFonts w:hint="eastAsia" w:ascii="宋体" w:hAnsi="宋体"/>
          <w:color w:val="auto"/>
          <w:sz w:val="24"/>
          <w:szCs w:val="24"/>
          <w:highlight w:val="none"/>
          <w:u w:val="none"/>
        </w:rPr>
        <w:t>投标人名称（盖章）：              法定代表人或授权代表签字：</w:t>
      </w:r>
    </w:p>
    <w:p>
      <w:pPr>
        <w:pageBreakBefore w:val="0"/>
        <w:kinsoku/>
        <w:wordWrap/>
        <w:overflowPunct/>
        <w:topLinePunct w:val="0"/>
        <w:bidi w:val="0"/>
        <w:spacing w:line="300" w:lineRule="auto"/>
        <w:rPr>
          <w:rFonts w:ascii="宋体" w:hAnsi="宋体"/>
          <w:color w:val="auto"/>
          <w:sz w:val="24"/>
          <w:highlight w:val="none"/>
          <w:u w:val="none"/>
        </w:rPr>
      </w:pPr>
    </w:p>
    <w:p>
      <w:pPr>
        <w:pageBreakBefore w:val="0"/>
        <w:kinsoku/>
        <w:wordWrap/>
        <w:overflowPunct/>
        <w:topLinePunct w:val="0"/>
        <w:bidi w:val="0"/>
        <w:spacing w:line="300" w:lineRule="auto"/>
        <w:rPr>
          <w:rFonts w:ascii="宋体" w:hAnsi="宋体"/>
          <w:color w:val="auto"/>
          <w:sz w:val="24"/>
          <w:highlight w:val="none"/>
          <w:u w:val="none"/>
        </w:rPr>
      </w:pPr>
      <w:r>
        <w:rPr>
          <w:rFonts w:hint="eastAsia" w:ascii="宋体" w:hAnsi="宋体"/>
          <w:b/>
          <w:color w:val="auto"/>
          <w:sz w:val="24"/>
          <w:highlight w:val="none"/>
          <w:u w:val="none"/>
        </w:rPr>
        <w:t>注：</w:t>
      </w:r>
      <w:r>
        <w:rPr>
          <w:rFonts w:hint="eastAsia" w:ascii="宋体" w:hAnsi="宋体"/>
          <w:color w:val="auto"/>
          <w:sz w:val="24"/>
          <w:highlight w:val="none"/>
          <w:u w:val="none"/>
        </w:rPr>
        <w:t>1.本表填写投标文件主要内容，以用于开标宣读。</w:t>
      </w:r>
    </w:p>
    <w:p>
      <w:pPr>
        <w:pageBreakBefore w:val="0"/>
        <w:kinsoku/>
        <w:wordWrap/>
        <w:overflowPunct/>
        <w:topLinePunct w:val="0"/>
        <w:bidi w:val="0"/>
        <w:spacing w:line="300" w:lineRule="auto"/>
        <w:ind w:firstLine="480"/>
        <w:rPr>
          <w:rFonts w:ascii="宋体" w:hAnsi="宋体" w:cs="宋体"/>
          <w:color w:val="auto"/>
          <w:highlight w:val="none"/>
          <w:u w:val="none"/>
        </w:rPr>
        <w:sectPr>
          <w:footerReference r:id="rId6" w:type="first"/>
          <w:footerReference r:id="rId5" w:type="default"/>
          <w:pgSz w:w="11906" w:h="16838"/>
          <w:pgMar w:top="1417" w:right="1587" w:bottom="1020" w:left="1587" w:header="851" w:footer="992" w:gutter="0"/>
          <w:pgNumType w:fmt="decimal" w:start="1"/>
          <w:cols w:space="720" w:num="1"/>
          <w:titlePg/>
          <w:docGrid w:type="lines" w:linePitch="312" w:charSpace="0"/>
        </w:sectPr>
      </w:pPr>
      <w:r>
        <w:rPr>
          <w:rFonts w:hint="eastAsia" w:ascii="宋体" w:hAnsi="宋体"/>
          <w:color w:val="auto"/>
          <w:sz w:val="24"/>
          <w:highlight w:val="none"/>
          <w:u w:val="none"/>
        </w:rPr>
        <w:t>2．“索引”一栏填写该主要内容对应于投标文件的“条款号/页号”。</w:t>
      </w:r>
    </w:p>
    <w:p>
      <w:pPr>
        <w:pageBreakBefore w:val="0"/>
        <w:kinsoku/>
        <w:wordWrap/>
        <w:overflowPunct/>
        <w:topLinePunct w:val="0"/>
        <w:bidi w:val="0"/>
        <w:spacing w:line="300" w:lineRule="auto"/>
        <w:rPr>
          <w:rFonts w:eastAsia="黑体"/>
          <w:b/>
          <w:bCs/>
          <w:color w:val="auto"/>
          <w:sz w:val="28"/>
          <w:highlight w:val="none"/>
          <w:u w:val="none"/>
        </w:rPr>
      </w:pPr>
      <w:r>
        <w:rPr>
          <w:rFonts w:hint="eastAsia" w:eastAsia="黑体"/>
          <w:b/>
          <w:bCs/>
          <w:color w:val="auto"/>
          <w:sz w:val="28"/>
          <w:highlight w:val="none"/>
          <w:u w:val="none"/>
        </w:rPr>
        <w:t>附件3</w:t>
      </w:r>
    </w:p>
    <w:p>
      <w:pPr>
        <w:pageBreakBefore w:val="0"/>
        <w:kinsoku/>
        <w:wordWrap/>
        <w:overflowPunct/>
        <w:topLinePunct w:val="0"/>
        <w:bidi w:val="0"/>
        <w:spacing w:line="300" w:lineRule="auto"/>
        <w:jc w:val="center"/>
        <w:rPr>
          <w:rFonts w:eastAsia="黑体"/>
          <w:b/>
          <w:bCs/>
          <w:color w:val="auto"/>
          <w:sz w:val="28"/>
          <w:highlight w:val="none"/>
          <w:u w:val="none"/>
        </w:rPr>
      </w:pPr>
      <w:r>
        <w:rPr>
          <w:rFonts w:hint="eastAsia" w:eastAsia="黑体"/>
          <w:b/>
          <w:bCs/>
          <w:color w:val="auto"/>
          <w:sz w:val="28"/>
          <w:highlight w:val="none"/>
          <w:u w:val="none"/>
        </w:rPr>
        <w:t>法人授权委托书</w:t>
      </w:r>
    </w:p>
    <w:p>
      <w:pPr>
        <w:pageBreakBefore w:val="0"/>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致重汽（济南）传动轴有限公司：</w:t>
      </w:r>
    </w:p>
    <w:p>
      <w:pPr>
        <w:pageBreakBefore w:val="0"/>
        <w:kinsoku/>
        <w:wordWrap/>
        <w:overflowPunct/>
        <w:topLinePunct w:val="0"/>
        <w:bidi w:val="0"/>
        <w:spacing w:line="300" w:lineRule="auto"/>
        <w:ind w:firstLine="428" w:firstLineChars="200"/>
        <w:rPr>
          <w:rFonts w:ascii="宋体"/>
          <w:color w:val="auto"/>
          <w:kern w:val="0"/>
          <w:szCs w:val="21"/>
          <w:highlight w:val="none"/>
          <w:u w:val="none"/>
        </w:rPr>
      </w:pPr>
      <w:r>
        <w:rPr>
          <w:rFonts w:hint="eastAsia" w:ascii="宋体" w:hAnsi="宋体"/>
          <w:color w:val="auto"/>
          <w:kern w:val="0"/>
          <w:szCs w:val="21"/>
          <w:highlight w:val="none"/>
          <w:u w:val="none"/>
        </w:rPr>
        <w:t>本授权委托书声明：我（法人姓名）       系</w:t>
      </w:r>
      <w:r>
        <w:rPr>
          <w:rFonts w:hint="eastAsia" w:ascii="宋体" w:hAnsi="宋体"/>
          <w:color w:val="auto"/>
          <w:highlight w:val="none"/>
          <w:u w:val="none"/>
        </w:rPr>
        <w:t>（投标人名称）</w:t>
      </w:r>
      <w:r>
        <w:rPr>
          <w:rFonts w:hint="eastAsia" w:ascii="宋体" w:hAnsi="宋体"/>
          <w:color w:val="auto"/>
          <w:kern w:val="0"/>
          <w:szCs w:val="21"/>
          <w:highlight w:val="none"/>
          <w:u w:val="none"/>
        </w:rPr>
        <w:t xml:space="preserve">                   的法定代表人，现授权委托</w:t>
      </w:r>
      <w:r>
        <w:rPr>
          <w:rFonts w:hint="eastAsia" w:ascii="宋体" w:hAnsi="宋体"/>
          <w:color w:val="auto"/>
          <w:highlight w:val="none"/>
          <w:u w:val="none"/>
        </w:rPr>
        <w:t>（投标人名称）</w:t>
      </w:r>
      <w:r>
        <w:rPr>
          <w:rFonts w:hint="eastAsia" w:ascii="宋体" w:hAnsi="宋体"/>
          <w:color w:val="auto"/>
          <w:kern w:val="0"/>
          <w:szCs w:val="21"/>
          <w:highlight w:val="none"/>
          <w:u w:val="none"/>
        </w:rPr>
        <w:t xml:space="preserve">                    的 （授权代表姓名）        为我公司参加贵方组织的</w:t>
      </w:r>
      <w:r>
        <w:rPr>
          <w:rFonts w:hint="eastAsia" w:ascii="宋体" w:hAnsi="宋体"/>
          <w:color w:val="auto"/>
          <w:kern w:val="0"/>
          <w:szCs w:val="21"/>
          <w:highlight w:val="none"/>
          <w:u w:val="none"/>
          <w:lang w:eastAsia="zh-CN"/>
        </w:rPr>
        <w:t>底零生产线骑马螺栓热处理</w:t>
      </w:r>
      <w:r>
        <w:rPr>
          <w:rFonts w:hint="eastAsia" w:cs="宋体"/>
          <w:color w:val="auto"/>
          <w:kern w:val="0"/>
          <w:szCs w:val="21"/>
          <w:highlight w:val="none"/>
          <w:u w:val="none"/>
        </w:rPr>
        <w:t>项目</w:t>
      </w:r>
      <w:r>
        <w:rPr>
          <w:rFonts w:hint="eastAsia" w:ascii="宋体" w:hAnsi="宋体"/>
          <w:color w:val="auto"/>
          <w:kern w:val="0"/>
          <w:szCs w:val="21"/>
          <w:highlight w:val="none"/>
          <w:u w:val="none"/>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pPr>
        <w:pageBreakBefore w:val="0"/>
        <w:kinsoku/>
        <w:wordWrap/>
        <w:overflowPunct/>
        <w:topLinePunct w:val="0"/>
        <w:bidi w:val="0"/>
        <w:spacing w:line="300" w:lineRule="auto"/>
        <w:ind w:firstLine="428" w:firstLineChars="200"/>
        <w:rPr>
          <w:rFonts w:ascii="宋体"/>
          <w:color w:val="auto"/>
          <w:kern w:val="0"/>
          <w:szCs w:val="21"/>
          <w:highlight w:val="none"/>
          <w:u w:val="none"/>
        </w:rPr>
      </w:pPr>
      <w:r>
        <w:rPr>
          <w:rFonts w:hint="eastAsia" w:ascii="宋体" w:hAnsi="宋体"/>
          <w:color w:val="auto"/>
          <w:kern w:val="0"/>
          <w:szCs w:val="21"/>
          <w:highlight w:val="none"/>
          <w:u w:val="none"/>
        </w:rPr>
        <w:t>委托期限：</w:t>
      </w:r>
      <w:r>
        <w:rPr>
          <w:rFonts w:ascii="宋体" w:hAnsi="宋体"/>
          <w:color w:val="auto"/>
          <w:kern w:val="0"/>
          <w:szCs w:val="21"/>
          <w:highlight w:val="none"/>
          <w:u w:val="none"/>
        </w:rPr>
        <w:t>20</w:t>
      </w:r>
      <w:r>
        <w:rPr>
          <w:rFonts w:hint="eastAsia" w:ascii="宋体" w:hAnsi="宋体"/>
          <w:color w:val="auto"/>
          <w:kern w:val="0"/>
          <w:szCs w:val="21"/>
          <w:highlight w:val="none"/>
          <w:u w:val="none"/>
          <w:lang w:val="en-US" w:eastAsia="zh-CN"/>
        </w:rPr>
        <w:t>23</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年X</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月</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X</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日至</w:t>
      </w:r>
      <w:r>
        <w:rPr>
          <w:rFonts w:ascii="宋体" w:hAnsi="宋体"/>
          <w:color w:val="auto"/>
          <w:kern w:val="0"/>
          <w:szCs w:val="21"/>
          <w:highlight w:val="none"/>
          <w:u w:val="none"/>
        </w:rPr>
        <w:t xml:space="preserve"> 20</w:t>
      </w:r>
      <w:r>
        <w:rPr>
          <w:rFonts w:hint="eastAsia" w:ascii="宋体" w:hAnsi="宋体"/>
          <w:color w:val="auto"/>
          <w:kern w:val="0"/>
          <w:szCs w:val="21"/>
          <w:highlight w:val="none"/>
          <w:u w:val="none"/>
        </w:rPr>
        <w:t>XX</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年</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X</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月</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X</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日</w:t>
      </w:r>
    </w:p>
    <w:p>
      <w:pPr>
        <w:pageBreakBefore w:val="0"/>
        <w:kinsoku/>
        <w:wordWrap/>
        <w:overflowPunct/>
        <w:topLinePunct w:val="0"/>
        <w:bidi w:val="0"/>
        <w:spacing w:line="300" w:lineRule="auto"/>
        <w:ind w:firstLine="428" w:firstLineChars="200"/>
        <w:rPr>
          <w:rFonts w:ascii="宋体"/>
          <w:color w:val="auto"/>
          <w:kern w:val="0"/>
          <w:szCs w:val="21"/>
          <w:highlight w:val="none"/>
          <w:u w:val="none"/>
        </w:rPr>
      </w:pPr>
      <w:r>
        <w:rPr>
          <w:rFonts w:hint="eastAsia" w:ascii="宋体" w:hAnsi="宋体"/>
          <w:color w:val="auto"/>
          <w:kern w:val="0"/>
          <w:szCs w:val="21"/>
          <w:highlight w:val="none"/>
          <w:u w:val="none"/>
        </w:rPr>
        <w:t>授权代表无转委托权，特此委托。</w:t>
      </w:r>
    </w:p>
    <w:p>
      <w:pPr>
        <w:pageBreakBefore w:val="0"/>
        <w:kinsoku/>
        <w:wordWrap/>
        <w:overflowPunct/>
        <w:topLinePunct w:val="0"/>
        <w:bidi w:val="0"/>
        <w:spacing w:line="300" w:lineRule="auto"/>
        <w:ind w:firstLine="428" w:firstLineChars="200"/>
        <w:rPr>
          <w:rFonts w:ascii="宋体"/>
          <w:color w:val="auto"/>
          <w:kern w:val="0"/>
          <w:szCs w:val="21"/>
          <w:highlight w:val="none"/>
          <w:u w:val="none"/>
        </w:rPr>
      </w:pPr>
      <w:r>
        <w:rPr>
          <w:rFonts w:hint="eastAsia" w:ascii="宋体" w:hAnsi="宋体"/>
          <w:color w:val="auto"/>
          <w:kern w:val="0"/>
          <w:szCs w:val="21"/>
          <w:highlight w:val="none"/>
          <w:u w:val="none"/>
        </w:rPr>
        <w:t>授权代表姓名：</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 xml:space="preserve">     </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性别：</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 xml:space="preserve">  </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年龄：</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 xml:space="preserve">  </w:t>
      </w:r>
      <w:r>
        <w:rPr>
          <w:rFonts w:ascii="宋体" w:hAnsi="宋体"/>
          <w:color w:val="auto"/>
          <w:kern w:val="0"/>
          <w:szCs w:val="21"/>
          <w:highlight w:val="none"/>
          <w:u w:val="none"/>
        </w:rPr>
        <w:t xml:space="preserve">  </w:t>
      </w:r>
    </w:p>
    <w:p>
      <w:pPr>
        <w:pageBreakBefore w:val="0"/>
        <w:kinsoku/>
        <w:wordWrap/>
        <w:overflowPunct/>
        <w:topLinePunct w:val="0"/>
        <w:bidi w:val="0"/>
        <w:spacing w:line="300" w:lineRule="auto"/>
        <w:ind w:firstLine="428" w:firstLineChars="200"/>
        <w:rPr>
          <w:rFonts w:ascii="宋体"/>
          <w:color w:val="auto"/>
          <w:kern w:val="0"/>
          <w:szCs w:val="21"/>
          <w:highlight w:val="none"/>
          <w:u w:val="none"/>
        </w:rPr>
      </w:pPr>
      <w:r>
        <w:rPr>
          <w:rFonts w:hint="eastAsia" w:ascii="宋体" w:hAnsi="宋体"/>
          <w:color w:val="auto"/>
          <w:kern w:val="0"/>
          <w:szCs w:val="21"/>
          <w:highlight w:val="none"/>
          <w:u w:val="none"/>
        </w:rPr>
        <w:t>身份证号码：</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 xml:space="preserve">                  </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职务：</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 xml:space="preserve">       </w:t>
      </w:r>
      <w:r>
        <w:rPr>
          <w:rFonts w:ascii="宋体" w:hAnsi="宋体"/>
          <w:color w:val="auto"/>
          <w:kern w:val="0"/>
          <w:szCs w:val="21"/>
          <w:highlight w:val="none"/>
          <w:u w:val="none"/>
        </w:rPr>
        <w:t xml:space="preserve">    </w:t>
      </w:r>
    </w:p>
    <w:p>
      <w:pPr>
        <w:pageBreakBefore w:val="0"/>
        <w:kinsoku/>
        <w:wordWrap/>
        <w:overflowPunct/>
        <w:topLinePunct w:val="0"/>
        <w:bidi w:val="0"/>
        <w:spacing w:line="300" w:lineRule="auto"/>
        <w:ind w:firstLine="428" w:firstLineChars="200"/>
        <w:rPr>
          <w:rFonts w:ascii="宋体"/>
          <w:color w:val="auto"/>
          <w:kern w:val="0"/>
          <w:szCs w:val="21"/>
          <w:highlight w:val="none"/>
          <w:u w:val="none"/>
        </w:rPr>
      </w:pPr>
      <w:r>
        <w:rPr>
          <w:rFonts w:hint="eastAsia" w:ascii="宋体" w:hAnsi="宋体"/>
          <w:color w:val="auto"/>
          <w:kern w:val="0"/>
          <w:szCs w:val="21"/>
          <w:highlight w:val="none"/>
          <w:u w:val="none"/>
        </w:rPr>
        <w:t>投标人名称：（盖单位公章）</w:t>
      </w:r>
    </w:p>
    <w:p>
      <w:pPr>
        <w:pageBreakBefore w:val="0"/>
        <w:kinsoku/>
        <w:wordWrap/>
        <w:overflowPunct/>
        <w:topLinePunct w:val="0"/>
        <w:bidi w:val="0"/>
        <w:spacing w:line="300" w:lineRule="auto"/>
        <w:ind w:firstLine="428" w:firstLineChars="200"/>
        <w:rPr>
          <w:rFonts w:ascii="宋体"/>
          <w:color w:val="auto"/>
          <w:kern w:val="0"/>
          <w:szCs w:val="21"/>
          <w:highlight w:val="none"/>
          <w:u w:val="none"/>
        </w:rPr>
      </w:pPr>
      <w:r>
        <w:rPr>
          <w:rFonts w:hint="eastAsia" w:ascii="宋体" w:hAnsi="宋体"/>
          <w:color w:val="auto"/>
          <w:kern w:val="0"/>
          <w:szCs w:val="21"/>
          <w:highlight w:val="none"/>
          <w:u w:val="none"/>
        </w:rPr>
        <w:t>法定代表人：（签字）</w:t>
      </w:r>
    </w:p>
    <w:p>
      <w:pPr>
        <w:pageBreakBefore w:val="0"/>
        <w:kinsoku/>
        <w:wordWrap/>
        <w:overflowPunct/>
        <w:topLinePunct w:val="0"/>
        <w:bidi w:val="0"/>
        <w:spacing w:line="300" w:lineRule="auto"/>
        <w:rPr>
          <w:rFonts w:ascii="宋体"/>
          <w:color w:val="auto"/>
          <w:kern w:val="0"/>
          <w:szCs w:val="21"/>
          <w:highlight w:val="none"/>
          <w:u w:val="none"/>
        </w:rPr>
      </w:pPr>
    </w:p>
    <w:p>
      <w:pPr>
        <w:pageBreakBefore w:val="0"/>
        <w:kinsoku/>
        <w:wordWrap/>
        <w:overflowPunct/>
        <w:topLinePunct w:val="0"/>
        <w:bidi w:val="0"/>
        <w:adjustRightInd w:val="0"/>
        <w:spacing w:line="300" w:lineRule="auto"/>
        <w:jc w:val="left"/>
        <w:textAlignment w:val="baseline"/>
        <w:rPr>
          <w:rFonts w:ascii="宋体"/>
          <w:b/>
          <w:color w:val="auto"/>
          <w:kern w:val="0"/>
          <w:szCs w:val="21"/>
          <w:highlight w:val="none"/>
          <w:u w:val="none"/>
        </w:rPr>
      </w:pPr>
      <w:r>
        <w:rPr>
          <w:rFonts w:hint="eastAsia" w:ascii="宋体" w:hAnsi="宋体"/>
          <w:b/>
          <w:color w:val="auto"/>
          <w:kern w:val="0"/>
          <w:szCs w:val="21"/>
          <w:highlight w:val="none"/>
          <w:u w:val="none"/>
        </w:rPr>
        <w:t>附法人代表及被授权人（授权代表）有效的身份证正反两面复印件</w:t>
      </w: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r>
        <w:rPr>
          <w:rFonts w:hint="eastAsia" w:eastAsia="黑体"/>
          <w:b/>
          <w:bCs/>
          <w:color w:val="auto"/>
          <w:sz w:val="28"/>
          <w:highlight w:val="none"/>
          <w:u w:val="none"/>
        </w:rPr>
        <w:t xml:space="preserve">附件4   </w:t>
      </w:r>
    </w:p>
    <w:p>
      <w:pPr>
        <w:pageBreakBefore w:val="0"/>
        <w:kinsoku/>
        <w:wordWrap/>
        <w:overflowPunct/>
        <w:topLinePunct w:val="0"/>
        <w:bidi w:val="0"/>
        <w:spacing w:line="300" w:lineRule="auto"/>
        <w:jc w:val="center"/>
        <w:rPr>
          <w:rFonts w:ascii="华文新魏" w:eastAsia="华文新魏"/>
          <w:color w:val="auto"/>
          <w:sz w:val="44"/>
          <w:highlight w:val="none"/>
          <w:u w:val="none"/>
        </w:rPr>
      </w:pPr>
      <w:r>
        <w:rPr>
          <w:rFonts w:hint="eastAsia" w:ascii="华文新魏" w:eastAsia="华文新魏"/>
          <w:color w:val="auto"/>
          <w:sz w:val="44"/>
          <w:highlight w:val="none"/>
          <w:u w:val="none"/>
        </w:rPr>
        <w:t>开标一览表</w:t>
      </w:r>
    </w:p>
    <w:p>
      <w:pPr>
        <w:pStyle w:val="9"/>
        <w:pageBreakBefore w:val="0"/>
        <w:kinsoku/>
        <w:wordWrap/>
        <w:overflowPunct/>
        <w:topLinePunct w:val="0"/>
        <w:bidi w:val="0"/>
        <w:spacing w:line="300" w:lineRule="auto"/>
        <w:rPr>
          <w:rFonts w:eastAsia="楷体_GB2312"/>
          <w:bCs/>
          <w:color w:val="auto"/>
          <w:sz w:val="28"/>
          <w:szCs w:val="22"/>
          <w:highlight w:val="none"/>
          <w:u w:val="none"/>
        </w:rPr>
      </w:pPr>
      <w:r>
        <w:rPr>
          <w:rFonts w:hint="eastAsia" w:eastAsia="楷体_GB2312"/>
          <w:bCs/>
          <w:color w:val="auto"/>
          <w:sz w:val="28"/>
          <w:szCs w:val="22"/>
          <w:highlight w:val="none"/>
          <w:u w:val="none"/>
        </w:rPr>
        <w:t>1、报价（元，不含税）：</w:t>
      </w:r>
      <w:r>
        <w:rPr>
          <w:rFonts w:hint="eastAsia" w:eastAsia="楷体_GB2312"/>
          <w:bCs/>
          <w:color w:val="auto"/>
          <w:sz w:val="28"/>
          <w:highlight w:val="none"/>
          <w:u w:val="none"/>
        </w:rPr>
        <w:t>报价包含但不限于人工费、管理费、利润等费用。</w:t>
      </w:r>
    </w:p>
    <w:p>
      <w:pPr>
        <w:pageBreakBefore w:val="0"/>
        <w:numPr>
          <w:ilvl w:val="0"/>
          <w:numId w:val="4"/>
        </w:numPr>
        <w:kinsoku/>
        <w:wordWrap/>
        <w:overflowPunct/>
        <w:topLinePunct w:val="0"/>
        <w:bidi w:val="0"/>
        <w:spacing w:line="300" w:lineRule="auto"/>
        <w:rPr>
          <w:rFonts w:eastAsia="楷体_GB2312"/>
          <w:bCs/>
          <w:color w:val="auto"/>
          <w:sz w:val="28"/>
          <w:szCs w:val="22"/>
          <w:highlight w:val="none"/>
          <w:u w:val="none"/>
        </w:rPr>
      </w:pPr>
      <w:r>
        <w:rPr>
          <w:rFonts w:hint="eastAsia" w:eastAsia="楷体_GB2312"/>
          <w:bCs/>
          <w:color w:val="auto"/>
          <w:sz w:val="28"/>
          <w:highlight w:val="none"/>
          <w:u w:val="none"/>
        </w:rPr>
        <w:t>交货期：</w:t>
      </w:r>
      <w:r>
        <w:rPr>
          <w:rFonts w:hint="eastAsia" w:eastAsia="楷体_GB2312"/>
          <w:bCs/>
          <w:color w:val="auto"/>
          <w:sz w:val="28"/>
          <w:szCs w:val="22"/>
          <w:highlight w:val="none"/>
          <w:u w:val="none"/>
        </w:rPr>
        <w:t>我单位承诺收到中标通知后</w:t>
      </w:r>
      <w:r>
        <w:rPr>
          <w:rFonts w:hint="eastAsia" w:eastAsia="楷体_GB2312"/>
          <w:b/>
          <w:color w:val="auto"/>
          <w:sz w:val="28"/>
          <w:szCs w:val="22"/>
          <w:highlight w:val="none"/>
          <w:u w:val="none"/>
        </w:rPr>
        <w:t>一周内</w:t>
      </w:r>
      <w:r>
        <w:rPr>
          <w:rFonts w:hint="eastAsia" w:eastAsia="楷体_GB2312"/>
          <w:bCs/>
          <w:color w:val="auto"/>
          <w:sz w:val="28"/>
          <w:szCs w:val="22"/>
          <w:highlight w:val="none"/>
          <w:u w:val="none"/>
        </w:rPr>
        <w:t>人员到齐。（一周内人员无法到齐的，承诺可满足的人员到齐时间）</w:t>
      </w:r>
    </w:p>
    <w:p>
      <w:pPr>
        <w:pStyle w:val="9"/>
        <w:pageBreakBefore w:val="0"/>
        <w:numPr>
          <w:ilvl w:val="0"/>
          <w:numId w:val="4"/>
        </w:numPr>
        <w:kinsoku/>
        <w:wordWrap/>
        <w:overflowPunct/>
        <w:topLinePunct w:val="0"/>
        <w:bidi w:val="0"/>
        <w:spacing w:line="300" w:lineRule="auto"/>
        <w:rPr>
          <w:rFonts w:ascii="Times New Roman" w:eastAsia="楷体_GB2312"/>
          <w:bCs/>
          <w:color w:val="auto"/>
          <w:sz w:val="28"/>
          <w:szCs w:val="22"/>
          <w:highlight w:val="none"/>
          <w:u w:val="none"/>
        </w:rPr>
      </w:pPr>
      <w:r>
        <w:rPr>
          <w:rFonts w:hint="eastAsia" w:ascii="Times New Roman" w:eastAsia="楷体_GB2312"/>
          <w:bCs/>
          <w:color w:val="auto"/>
          <w:sz w:val="28"/>
          <w:szCs w:val="22"/>
          <w:highlight w:val="none"/>
          <w:u w:val="none"/>
        </w:rPr>
        <w:t>付款方式有无偏离</w:t>
      </w:r>
    </w:p>
    <w:p>
      <w:pPr>
        <w:pStyle w:val="9"/>
        <w:pageBreakBefore w:val="0"/>
        <w:numPr>
          <w:ilvl w:val="0"/>
          <w:numId w:val="4"/>
        </w:numPr>
        <w:kinsoku/>
        <w:wordWrap/>
        <w:overflowPunct/>
        <w:topLinePunct w:val="0"/>
        <w:bidi w:val="0"/>
        <w:spacing w:line="300" w:lineRule="auto"/>
        <w:rPr>
          <w:rFonts w:ascii="Times New Roman" w:eastAsia="楷体_GB2312"/>
          <w:bCs/>
          <w:color w:val="auto"/>
          <w:sz w:val="28"/>
          <w:szCs w:val="22"/>
          <w:highlight w:val="none"/>
          <w:u w:val="none"/>
        </w:rPr>
      </w:pPr>
      <w:r>
        <w:rPr>
          <w:rFonts w:hint="eastAsia" w:ascii="Times New Roman" w:eastAsia="楷体_GB2312"/>
          <w:bCs/>
          <w:color w:val="auto"/>
          <w:sz w:val="28"/>
          <w:szCs w:val="22"/>
          <w:highlight w:val="none"/>
          <w:u w:val="none"/>
        </w:rPr>
        <w:t>对招标文件的认同程度（是否完全认同）</w:t>
      </w:r>
    </w:p>
    <w:p>
      <w:pPr>
        <w:pageBreakBefore w:val="0"/>
        <w:kinsoku/>
        <w:wordWrap/>
        <w:overflowPunct/>
        <w:topLinePunct w:val="0"/>
        <w:bidi w:val="0"/>
        <w:spacing w:line="300" w:lineRule="auto"/>
        <w:rPr>
          <w:color w:val="auto"/>
          <w:sz w:val="28"/>
          <w:highlight w:val="none"/>
          <w:u w:val="none"/>
        </w:rPr>
      </w:pPr>
    </w:p>
    <w:p>
      <w:pPr>
        <w:pageBreakBefore w:val="0"/>
        <w:kinsoku/>
        <w:wordWrap/>
        <w:overflowPunct/>
        <w:topLinePunct w:val="0"/>
        <w:bidi w:val="0"/>
        <w:spacing w:line="300" w:lineRule="auto"/>
        <w:ind w:firstLine="3408" w:firstLineChars="1200"/>
        <w:rPr>
          <w:rFonts w:eastAsia="华文新魏"/>
          <w:color w:val="auto"/>
          <w:sz w:val="28"/>
          <w:highlight w:val="none"/>
          <w:u w:val="none"/>
        </w:rPr>
      </w:pPr>
      <w:r>
        <w:rPr>
          <w:rFonts w:hint="eastAsia" w:eastAsia="华文新魏"/>
          <w:color w:val="auto"/>
          <w:sz w:val="28"/>
          <w:highlight w:val="none"/>
          <w:u w:val="none"/>
        </w:rPr>
        <w:t>投标授权的代表签字：</w:t>
      </w:r>
    </w:p>
    <w:p>
      <w:pPr>
        <w:pageBreakBefore w:val="0"/>
        <w:kinsoku/>
        <w:wordWrap/>
        <w:overflowPunct/>
        <w:topLinePunct w:val="0"/>
        <w:bidi w:val="0"/>
        <w:spacing w:line="300" w:lineRule="auto"/>
        <w:ind w:firstLine="5112" w:firstLineChars="1800"/>
        <w:rPr>
          <w:rFonts w:eastAsia="华文新魏"/>
          <w:color w:val="auto"/>
          <w:sz w:val="28"/>
          <w:highlight w:val="none"/>
          <w:u w:val="none"/>
        </w:rPr>
      </w:pPr>
    </w:p>
    <w:p>
      <w:pPr>
        <w:pageBreakBefore w:val="0"/>
        <w:kinsoku/>
        <w:wordWrap/>
        <w:overflowPunct/>
        <w:topLinePunct w:val="0"/>
        <w:bidi w:val="0"/>
        <w:spacing w:line="300" w:lineRule="auto"/>
        <w:ind w:firstLine="3408" w:firstLineChars="1200"/>
        <w:rPr>
          <w:rFonts w:eastAsia="华文新魏"/>
          <w:color w:val="auto"/>
          <w:sz w:val="28"/>
          <w:highlight w:val="none"/>
          <w:u w:val="none"/>
        </w:rPr>
      </w:pPr>
    </w:p>
    <w:p>
      <w:pPr>
        <w:pageBreakBefore w:val="0"/>
        <w:kinsoku/>
        <w:wordWrap/>
        <w:overflowPunct/>
        <w:topLinePunct w:val="0"/>
        <w:bidi w:val="0"/>
        <w:spacing w:line="300" w:lineRule="auto"/>
        <w:ind w:firstLine="3408" w:firstLineChars="1200"/>
        <w:rPr>
          <w:rFonts w:eastAsia="华文新魏"/>
          <w:color w:val="auto"/>
          <w:sz w:val="28"/>
          <w:highlight w:val="none"/>
          <w:u w:val="none"/>
        </w:rPr>
      </w:pPr>
      <w:r>
        <w:rPr>
          <w:rFonts w:hint="eastAsia" w:eastAsia="华文新魏"/>
          <w:color w:val="auto"/>
          <w:sz w:val="28"/>
          <w:highlight w:val="none"/>
          <w:u w:val="none"/>
        </w:rPr>
        <w:t>单位（公章）：</w:t>
      </w:r>
    </w:p>
    <w:p>
      <w:pPr>
        <w:pageBreakBefore w:val="0"/>
        <w:kinsoku/>
        <w:wordWrap/>
        <w:overflowPunct/>
        <w:topLinePunct w:val="0"/>
        <w:bidi w:val="0"/>
        <w:spacing w:line="300" w:lineRule="auto"/>
        <w:ind w:firstLine="5112" w:firstLineChars="1800"/>
        <w:rPr>
          <w:rFonts w:eastAsia="华文新魏"/>
          <w:color w:val="auto"/>
          <w:sz w:val="28"/>
          <w:highlight w:val="none"/>
          <w:u w:val="none"/>
        </w:rPr>
      </w:pPr>
    </w:p>
    <w:p>
      <w:pPr>
        <w:pageBreakBefore w:val="0"/>
        <w:kinsoku/>
        <w:wordWrap/>
        <w:overflowPunct/>
        <w:topLinePunct w:val="0"/>
        <w:bidi w:val="0"/>
        <w:spacing w:line="300" w:lineRule="auto"/>
        <w:ind w:firstLine="3408" w:firstLineChars="1200"/>
        <w:rPr>
          <w:rFonts w:eastAsia="华文新魏"/>
          <w:color w:val="auto"/>
          <w:sz w:val="28"/>
          <w:highlight w:val="none"/>
          <w:u w:val="none"/>
        </w:rPr>
      </w:pPr>
    </w:p>
    <w:p>
      <w:pPr>
        <w:pageBreakBefore w:val="0"/>
        <w:kinsoku/>
        <w:wordWrap/>
        <w:overflowPunct/>
        <w:topLinePunct w:val="0"/>
        <w:bidi w:val="0"/>
        <w:spacing w:line="300" w:lineRule="auto"/>
        <w:ind w:firstLine="3408" w:firstLineChars="1200"/>
        <w:rPr>
          <w:color w:val="auto"/>
          <w:sz w:val="32"/>
          <w:highlight w:val="none"/>
          <w:u w:val="none"/>
        </w:rPr>
      </w:pPr>
      <w:r>
        <w:rPr>
          <w:rFonts w:hint="eastAsia" w:eastAsia="华文新魏"/>
          <w:color w:val="auto"/>
          <w:sz w:val="28"/>
          <w:highlight w:val="none"/>
          <w:u w:val="none"/>
        </w:rPr>
        <w:t>日  期：   年  月  日</w:t>
      </w:r>
    </w:p>
    <w:p>
      <w:pPr>
        <w:pageBreakBefore w:val="0"/>
        <w:kinsoku/>
        <w:wordWrap/>
        <w:overflowPunct/>
        <w:topLinePunct w:val="0"/>
        <w:bidi w:val="0"/>
        <w:spacing w:line="300" w:lineRule="auto"/>
        <w:rPr>
          <w:rFonts w:ascii="宋体"/>
          <w:color w:val="auto"/>
          <w:sz w:val="24"/>
          <w:highlight w:val="none"/>
          <w:u w:val="none"/>
        </w:rPr>
      </w:pPr>
      <w:r>
        <w:rPr>
          <w:rFonts w:hint="eastAsia" w:ascii="宋体" w:hAnsi="宋体"/>
          <w:color w:val="auto"/>
          <w:szCs w:val="21"/>
          <w:highlight w:val="none"/>
          <w:u w:val="none"/>
        </w:rPr>
        <w:t xml:space="preserve">             </w:t>
      </w: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Style w:val="9"/>
        <w:pageBreakBefore w:val="0"/>
        <w:kinsoku/>
        <w:wordWrap/>
        <w:overflowPunct/>
        <w:topLinePunct w:val="0"/>
        <w:bidi w:val="0"/>
        <w:spacing w:line="300" w:lineRule="auto"/>
        <w:rPr>
          <w:color w:val="auto"/>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Style w:val="2"/>
        <w:rPr>
          <w:rFonts w:eastAsia="黑体"/>
          <w:b/>
          <w:bCs/>
          <w:color w:val="auto"/>
          <w:sz w:val="28"/>
          <w:highlight w:val="none"/>
          <w:u w:val="none"/>
        </w:rPr>
      </w:pPr>
    </w:p>
    <w:p>
      <w:pPr>
        <w:pStyle w:val="2"/>
        <w:rPr>
          <w:rFonts w:eastAsia="黑体"/>
          <w:b/>
          <w:bCs/>
          <w:color w:val="auto"/>
          <w:sz w:val="28"/>
          <w:highlight w:val="none"/>
          <w:u w:val="none"/>
        </w:rPr>
      </w:pPr>
    </w:p>
    <w:p>
      <w:pPr>
        <w:pStyle w:val="9"/>
        <w:pageBreakBefore w:val="0"/>
        <w:kinsoku/>
        <w:wordWrap/>
        <w:overflowPunct/>
        <w:topLinePunct w:val="0"/>
        <w:bidi w:val="0"/>
        <w:spacing w:line="300" w:lineRule="auto"/>
        <w:rPr>
          <w:rFonts w:hint="eastAsia" w:ascii="Times New Roman" w:eastAsia="黑体"/>
          <w:b/>
          <w:bCs/>
          <w:color w:val="auto"/>
          <w:sz w:val="28"/>
          <w:highlight w:val="none"/>
          <w:u w:val="none"/>
        </w:rPr>
      </w:pPr>
    </w:p>
    <w:p>
      <w:pPr>
        <w:pStyle w:val="9"/>
        <w:pageBreakBefore w:val="0"/>
        <w:kinsoku/>
        <w:wordWrap/>
        <w:overflowPunct/>
        <w:topLinePunct w:val="0"/>
        <w:bidi w:val="0"/>
        <w:spacing w:line="300" w:lineRule="auto"/>
        <w:rPr>
          <w:rFonts w:ascii="Times New Roman" w:eastAsia="黑体"/>
          <w:b/>
          <w:bCs/>
          <w:color w:val="auto"/>
          <w:sz w:val="28"/>
          <w:highlight w:val="none"/>
          <w:u w:val="none"/>
        </w:rPr>
      </w:pPr>
      <w:r>
        <w:rPr>
          <w:rFonts w:hint="eastAsia" w:ascii="Times New Roman" w:eastAsia="黑体"/>
          <w:b/>
          <w:bCs/>
          <w:color w:val="auto"/>
          <w:sz w:val="28"/>
          <w:highlight w:val="none"/>
          <w:u w:val="none"/>
        </w:rPr>
        <w:t>附件4</w:t>
      </w:r>
    </w:p>
    <w:p>
      <w:pPr>
        <w:pageBreakBefore w:val="0"/>
        <w:kinsoku/>
        <w:wordWrap/>
        <w:overflowPunct/>
        <w:topLinePunct w:val="0"/>
        <w:bidi w:val="0"/>
        <w:spacing w:line="300" w:lineRule="auto"/>
        <w:rPr>
          <w:rFonts w:eastAsia="黑体"/>
          <w:b/>
          <w:bCs/>
          <w:color w:val="auto"/>
          <w:sz w:val="28"/>
          <w:highlight w:val="none"/>
          <w:u w:val="none"/>
        </w:rPr>
      </w:pPr>
      <w:r>
        <w:rPr>
          <w:rFonts w:hint="eastAsia" w:eastAsia="黑体"/>
          <w:b/>
          <w:bCs/>
          <w:color w:val="auto"/>
          <w:sz w:val="28"/>
          <w:highlight w:val="none"/>
          <w:u w:val="none"/>
        </w:rPr>
        <w:t>投标明细报价一览表</w:t>
      </w:r>
    </w:p>
    <w:p>
      <w:pPr>
        <w:pageBreakBefore w:val="0"/>
        <w:kinsoku/>
        <w:wordWrap/>
        <w:overflowPunct/>
        <w:topLinePunct w:val="0"/>
        <w:bidi w:val="0"/>
        <w:spacing w:line="300" w:lineRule="auto"/>
        <w:rPr>
          <w:rFonts w:hAnsi="宋体" w:eastAsia="楷体_GB2312"/>
          <w:bCs/>
          <w:color w:val="auto"/>
          <w:sz w:val="24"/>
          <w:highlight w:val="none"/>
          <w:u w:val="none"/>
        </w:rPr>
      </w:pPr>
      <w:r>
        <w:rPr>
          <w:rFonts w:hint="eastAsia" w:hAnsi="宋体" w:eastAsia="楷体_GB2312"/>
          <w:bCs/>
          <w:color w:val="auto"/>
          <w:sz w:val="24"/>
          <w:highlight w:val="none"/>
          <w:u w:val="none"/>
        </w:rPr>
        <w:t>项目名称：</w:t>
      </w:r>
      <w:r>
        <w:rPr>
          <w:rFonts w:hint="eastAsia" w:hAnsi="宋体" w:eastAsia="楷体_GB2312"/>
          <w:bCs/>
          <w:color w:val="auto"/>
          <w:sz w:val="24"/>
          <w:highlight w:val="none"/>
          <w:u w:val="none"/>
          <w:lang w:eastAsia="zh-CN"/>
        </w:rPr>
        <w:t>底零生产线骑马螺栓热处理</w:t>
      </w:r>
      <w:r>
        <w:rPr>
          <w:rFonts w:hint="eastAsia" w:hAnsi="宋体" w:eastAsia="楷体_GB2312"/>
          <w:bCs/>
          <w:color w:val="auto"/>
          <w:sz w:val="24"/>
          <w:highlight w:val="none"/>
          <w:u w:val="none"/>
        </w:rPr>
        <w:t>项目</w:t>
      </w:r>
      <w:r>
        <w:rPr>
          <w:rFonts w:hAnsi="宋体" w:eastAsia="楷体_GB2312"/>
          <w:bCs/>
          <w:color w:val="auto"/>
          <w:sz w:val="24"/>
          <w:highlight w:val="none"/>
          <w:u w:val="none"/>
        </w:rPr>
        <w:t xml:space="preserve">                       </w:t>
      </w:r>
      <w:r>
        <w:rPr>
          <w:rFonts w:hint="eastAsia" w:hAnsi="宋体" w:eastAsia="楷体_GB2312"/>
          <w:bCs/>
          <w:color w:val="auto"/>
          <w:sz w:val="24"/>
          <w:highlight w:val="none"/>
          <w:u w:val="none"/>
        </w:rPr>
        <w:t>包号：</w:t>
      </w:r>
    </w:p>
    <w:tbl>
      <w:tblPr>
        <w:tblStyle w:val="20"/>
        <w:tblpPr w:leftFromText="180" w:rightFromText="180" w:vertAnchor="text" w:horzAnchor="margin" w:tblpXSpec="center" w:tblpY="366"/>
        <w:tblOverlap w:val="never"/>
        <w:tblW w:w="9138" w:type="dxa"/>
        <w:tblInd w:w="0" w:type="dxa"/>
        <w:tblLayout w:type="fixed"/>
        <w:tblCellMar>
          <w:top w:w="0" w:type="dxa"/>
          <w:left w:w="0" w:type="dxa"/>
          <w:bottom w:w="0" w:type="dxa"/>
          <w:right w:w="0" w:type="dxa"/>
        </w:tblCellMar>
      </w:tblPr>
      <w:tblGrid>
        <w:gridCol w:w="711"/>
        <w:gridCol w:w="1562"/>
        <w:gridCol w:w="899"/>
        <w:gridCol w:w="1707"/>
        <w:gridCol w:w="1531"/>
        <w:gridCol w:w="1408"/>
        <w:gridCol w:w="1320"/>
      </w:tblGrid>
      <w:tr>
        <w:tblPrEx>
          <w:tblCellMar>
            <w:top w:w="0" w:type="dxa"/>
            <w:left w:w="0" w:type="dxa"/>
            <w:bottom w:w="0" w:type="dxa"/>
            <w:right w:w="0" w:type="dxa"/>
          </w:tblCellMar>
        </w:tblPrEx>
        <w:trPr>
          <w:trHeight w:val="505" w:hRule="atLeast"/>
        </w:trPr>
        <w:tc>
          <w:tcPr>
            <w:tcW w:w="7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cs="宋体"/>
                <w:color w:val="auto"/>
                <w:sz w:val="24"/>
                <w:szCs w:val="24"/>
                <w:highlight w:val="none"/>
                <w:u w:val="none"/>
              </w:rPr>
            </w:pPr>
            <w:r>
              <w:rPr>
                <w:rFonts w:hint="eastAsia" w:ascii="宋体" w:hAnsi="宋体" w:cs="宋体"/>
                <w:color w:val="auto"/>
                <w:kern w:val="0"/>
                <w:sz w:val="24"/>
                <w:szCs w:val="24"/>
                <w:highlight w:val="none"/>
                <w:u w:val="none"/>
                <w:lang w:bidi="ar"/>
              </w:rPr>
              <w:t>序号</w:t>
            </w:r>
          </w:p>
        </w:tc>
        <w:tc>
          <w:tcPr>
            <w:tcW w:w="1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cs="宋体"/>
                <w:color w:val="auto"/>
                <w:sz w:val="24"/>
                <w:szCs w:val="24"/>
                <w:highlight w:val="none"/>
                <w:u w:val="none"/>
              </w:rPr>
            </w:pPr>
            <w:r>
              <w:rPr>
                <w:rFonts w:hint="eastAsia" w:ascii="宋体" w:hAnsi="宋体" w:cs="宋体"/>
                <w:color w:val="auto"/>
                <w:sz w:val="24"/>
                <w:szCs w:val="24"/>
                <w:highlight w:val="none"/>
                <w:u w:val="none"/>
              </w:rPr>
              <w:t>项目分项</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eastAsia" w:ascii="宋体" w:hAnsi="宋体" w:eastAsia="宋体" w:cs="宋体"/>
                <w:color w:val="auto"/>
                <w:kern w:val="0"/>
                <w:sz w:val="24"/>
                <w:szCs w:val="24"/>
                <w:highlight w:val="none"/>
                <w:u w:val="none"/>
                <w:lang w:val="en-US" w:eastAsia="zh-CN" w:bidi="ar"/>
              </w:rPr>
            </w:pPr>
            <w:r>
              <w:rPr>
                <w:rFonts w:hint="eastAsia" w:ascii="宋体" w:hAnsi="宋体" w:cs="宋体"/>
                <w:color w:val="auto"/>
                <w:kern w:val="0"/>
                <w:sz w:val="24"/>
                <w:szCs w:val="24"/>
                <w:highlight w:val="none"/>
                <w:u w:val="none"/>
                <w:lang w:val="en-US" w:eastAsia="zh-CN" w:bidi="ar"/>
              </w:rPr>
              <w:t>工序</w:t>
            </w:r>
          </w:p>
        </w:tc>
        <w:tc>
          <w:tcPr>
            <w:tcW w:w="17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cs="宋体"/>
                <w:color w:val="auto"/>
                <w:sz w:val="24"/>
                <w:szCs w:val="24"/>
                <w:highlight w:val="none"/>
                <w:u w:val="none"/>
              </w:rPr>
            </w:pPr>
            <w:r>
              <w:rPr>
                <w:rFonts w:hint="eastAsia" w:ascii="宋体" w:hAnsi="宋体" w:cs="宋体"/>
                <w:color w:val="auto"/>
                <w:kern w:val="0"/>
                <w:sz w:val="24"/>
                <w:szCs w:val="24"/>
                <w:highlight w:val="none"/>
                <w:u w:val="none"/>
                <w:lang w:bidi="ar"/>
              </w:rPr>
              <w:t>年度预测量（件）</w:t>
            </w:r>
          </w:p>
        </w:tc>
        <w:tc>
          <w:tcPr>
            <w:tcW w:w="1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cs="宋体"/>
                <w:color w:val="auto"/>
                <w:kern w:val="0"/>
                <w:sz w:val="24"/>
                <w:szCs w:val="24"/>
                <w:highlight w:val="none"/>
                <w:u w:val="none"/>
                <w:lang w:bidi="ar"/>
              </w:rPr>
            </w:pPr>
            <w:r>
              <w:rPr>
                <w:rFonts w:hint="eastAsia" w:ascii="宋体" w:hAnsi="宋体" w:cs="宋体"/>
                <w:color w:val="auto"/>
                <w:kern w:val="0"/>
                <w:sz w:val="24"/>
                <w:szCs w:val="24"/>
                <w:highlight w:val="none"/>
                <w:u w:val="none"/>
                <w:lang w:bidi="ar"/>
              </w:rPr>
              <w:t>招标基价（元/件，不含税）</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cs="宋体"/>
                <w:color w:val="auto"/>
                <w:sz w:val="24"/>
                <w:szCs w:val="24"/>
                <w:highlight w:val="none"/>
                <w:u w:val="none"/>
              </w:rPr>
            </w:pPr>
            <w:r>
              <w:rPr>
                <w:rFonts w:hint="eastAsia" w:ascii="宋体" w:hAnsi="宋体" w:cs="宋体"/>
                <w:color w:val="auto"/>
                <w:kern w:val="0"/>
                <w:sz w:val="24"/>
                <w:szCs w:val="24"/>
                <w:highlight w:val="none"/>
                <w:u w:val="none"/>
                <w:lang w:bidi="ar"/>
              </w:rPr>
              <w:t>投标价（元/件，不含税）</w:t>
            </w:r>
          </w:p>
        </w:tc>
        <w:tc>
          <w:tcPr>
            <w:tcW w:w="132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cs="宋体"/>
                <w:color w:val="auto"/>
                <w:sz w:val="24"/>
                <w:szCs w:val="24"/>
                <w:highlight w:val="none"/>
                <w:u w:val="none"/>
              </w:rPr>
            </w:pPr>
            <w:r>
              <w:rPr>
                <w:rFonts w:hint="eastAsia" w:ascii="宋体" w:hAnsi="宋体" w:cs="宋体"/>
                <w:color w:val="auto"/>
                <w:kern w:val="0"/>
                <w:sz w:val="24"/>
                <w:szCs w:val="24"/>
                <w:highlight w:val="none"/>
                <w:u w:val="none"/>
                <w:lang w:bidi="ar"/>
              </w:rPr>
              <w:t>备注</w:t>
            </w:r>
          </w:p>
        </w:tc>
      </w:tr>
      <w:tr>
        <w:tblPrEx>
          <w:tblCellMar>
            <w:top w:w="0" w:type="dxa"/>
            <w:left w:w="0" w:type="dxa"/>
            <w:bottom w:w="0" w:type="dxa"/>
            <w:right w:w="0" w:type="dxa"/>
          </w:tblCellMar>
        </w:tblPrEx>
        <w:trPr>
          <w:trHeight w:val="57"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cs="宋体"/>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leftChars="0" w:right="0" w:rightChars="0"/>
              <w:jc w:val="center"/>
              <w:textAlignment w:val="center"/>
              <w:rPr>
                <w:rFonts w:hint="default" w:ascii="宋体" w:hAnsi="宋体" w:cs="宋体"/>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前簧骑马螺栓</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leftChars="0" w:right="0" w:rightChars="0"/>
              <w:jc w:val="center"/>
              <w:textAlignment w:val="center"/>
              <w:rPr>
                <w:rFonts w:hint="eastAsia"/>
                <w:color w:val="auto"/>
                <w:szCs w:val="20"/>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热处理</w:t>
            </w:r>
          </w:p>
        </w:tc>
        <w:tc>
          <w:tcPr>
            <w:tcW w:w="17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color w:val="auto"/>
                <w:szCs w:val="20"/>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r>
              <w:rPr>
                <w:rFonts w:hint="eastAsia" w:ascii="宋体" w:hAnsi="宋体" w:cs="宋体"/>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0000</w:t>
            </w:r>
          </w:p>
        </w:tc>
        <w:tc>
          <w:tcPr>
            <w:tcW w:w="1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0.18</w:t>
            </w:r>
          </w:p>
        </w:tc>
        <w:tc>
          <w:tcPr>
            <w:tcW w:w="140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eastAsia" w:ascii="宋体" w:hAnsi="宋体" w:eastAsia="宋体" w:cs="宋体"/>
                <w:color w:val="auto"/>
                <w:sz w:val="22"/>
                <w:szCs w:val="22"/>
                <w:highlight w:val="none"/>
                <w:u w:val="none"/>
                <w:lang w:val="en-US" w:eastAsia="zh-CN"/>
              </w:rPr>
            </w:pPr>
          </w:p>
        </w:tc>
        <w:tc>
          <w:tcPr>
            <w:tcW w:w="1320"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both"/>
              <w:textAlignment w:val="center"/>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u w:val="none"/>
                <w:lang w:val="en-US" w:eastAsia="zh-CN" w:bidi="ar"/>
              </w:rPr>
              <w:t>1.以上产出量为参考量，以实际出产量为准；</w:t>
            </w:r>
          </w:p>
          <w:p>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rPr>
                <w:rFonts w:hint="default"/>
                <w:color w:val="auto"/>
                <w:szCs w:val="20"/>
                <w:highlight w:val="none"/>
                <w:u w:val="none"/>
              </w:rPr>
            </w:pPr>
            <w:r>
              <w:rPr>
                <w:rFonts w:hint="eastAsia" w:ascii="宋体" w:hAnsi="宋体" w:eastAsia="宋体" w:cs="宋体"/>
                <w:color w:val="auto"/>
                <w:kern w:val="2"/>
                <w:sz w:val="24"/>
                <w:szCs w:val="24"/>
                <w:highlight w:val="none"/>
                <w:u w:val="none"/>
                <w:lang w:val="en-US" w:eastAsia="zh-CN" w:bidi="ar"/>
              </w:rPr>
              <w:t>2.招标基价、投标价包括</w:t>
            </w:r>
            <w:r>
              <w:rPr>
                <w:rFonts w:hint="eastAsia" w:ascii="宋体" w:hAnsi="宋体" w:eastAsia="宋体" w:cs="宋体"/>
                <w:bCs/>
                <w:color w:val="auto"/>
                <w:kern w:val="2"/>
                <w:sz w:val="24"/>
                <w:szCs w:val="24"/>
                <w:highlight w:val="none"/>
                <w:u w:val="none"/>
                <w:lang w:val="en-US" w:eastAsia="zh-CN" w:bidi="ar"/>
              </w:rPr>
              <w:t>人工费、管理费、利润</w:t>
            </w:r>
            <w:r>
              <w:rPr>
                <w:rFonts w:hint="eastAsia" w:ascii="宋体" w:hAnsi="宋体" w:eastAsia="宋体" w:cs="宋体"/>
                <w:color w:val="auto"/>
                <w:kern w:val="2"/>
                <w:sz w:val="24"/>
                <w:szCs w:val="24"/>
                <w:highlight w:val="none"/>
                <w:u w:val="none"/>
                <w:lang w:val="en-US" w:eastAsia="zh-CN" w:bidi="ar"/>
              </w:rPr>
              <w:t>等所有费用。</w:t>
            </w:r>
          </w:p>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eastAsia" w:ascii="宋体" w:hAnsi="宋体" w:cs="宋体"/>
                <w:color w:val="auto"/>
                <w:kern w:val="0"/>
                <w:sz w:val="22"/>
                <w:szCs w:val="22"/>
                <w:highlight w:val="none"/>
                <w:u w:val="none"/>
                <w:lang w:bidi="ar"/>
              </w:rPr>
            </w:pPr>
          </w:p>
        </w:tc>
      </w:tr>
      <w:tr>
        <w:tblPrEx>
          <w:tblCellMar>
            <w:top w:w="0" w:type="dxa"/>
            <w:left w:w="0" w:type="dxa"/>
            <w:bottom w:w="0" w:type="dxa"/>
            <w:right w:w="0" w:type="dxa"/>
          </w:tblCellMar>
        </w:tblPrEx>
        <w:trPr>
          <w:trHeight w:val="57"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cs="宋体"/>
                <w:color w:val="auto"/>
                <w:kern w:val="0"/>
                <w:sz w:val="24"/>
                <w:szCs w:val="24"/>
                <w:highlight w:val="none"/>
                <w:u w:val="none"/>
                <w:lang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leftChars="0" w:right="0" w:rightChars="0"/>
              <w:jc w:val="center"/>
              <w:textAlignment w:val="center"/>
              <w:rPr>
                <w:rFonts w:hint="default" w:ascii="宋体" w:hAnsi="宋体" w:cs="宋体"/>
                <w:color w:val="auto"/>
                <w:kern w:val="0"/>
                <w:sz w:val="24"/>
                <w:szCs w:val="24"/>
                <w:highlight w:val="none"/>
                <w:u w:val="none"/>
                <w:lang w:bidi="ar"/>
              </w:rPr>
            </w:pPr>
            <w:r>
              <w:rPr>
                <w:rFonts w:hint="eastAsia" w:ascii="宋体" w:hAnsi="宋体" w:eastAsia="宋体" w:cs="宋体"/>
                <w:i w:val="0"/>
                <w:iCs w:val="0"/>
                <w:color w:val="auto"/>
                <w:kern w:val="0"/>
                <w:sz w:val="22"/>
                <w:szCs w:val="22"/>
                <w:highlight w:val="none"/>
                <w:u w:val="none"/>
                <w:lang w:val="en-US" w:eastAsia="zh-CN" w:bidi="ar"/>
              </w:rPr>
              <w:t>后簧骑马螺栓</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leftChars="0" w:right="0" w:rightChars="0"/>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热处理</w:t>
            </w:r>
          </w:p>
        </w:tc>
        <w:tc>
          <w:tcPr>
            <w:tcW w:w="17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eastAsia="宋体" w:cs="宋体"/>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620000</w:t>
            </w:r>
          </w:p>
        </w:tc>
        <w:tc>
          <w:tcPr>
            <w:tcW w:w="1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0.25</w:t>
            </w:r>
          </w:p>
        </w:tc>
        <w:tc>
          <w:tcPr>
            <w:tcW w:w="140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宋体"/>
                <w:color w:val="auto"/>
                <w:sz w:val="22"/>
                <w:szCs w:val="22"/>
                <w:highlight w:val="none"/>
                <w:u w:val="none"/>
              </w:rPr>
            </w:pPr>
          </w:p>
        </w:tc>
        <w:tc>
          <w:tcPr>
            <w:tcW w:w="1320"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cs="宋体"/>
                <w:color w:val="auto"/>
                <w:kern w:val="0"/>
                <w:sz w:val="22"/>
                <w:szCs w:val="22"/>
                <w:highlight w:val="none"/>
                <w:u w:val="none"/>
                <w:lang w:bidi="ar"/>
              </w:rPr>
            </w:pPr>
          </w:p>
        </w:tc>
      </w:tr>
      <w:tr>
        <w:tblPrEx>
          <w:tblCellMar>
            <w:top w:w="0" w:type="dxa"/>
            <w:left w:w="0" w:type="dxa"/>
            <w:bottom w:w="0" w:type="dxa"/>
            <w:right w:w="0" w:type="dxa"/>
          </w:tblCellMar>
        </w:tblPrEx>
        <w:trPr>
          <w:trHeight w:val="57"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leftChars="0" w:right="0" w:rightChars="0"/>
              <w:jc w:val="center"/>
              <w:textAlignment w:val="center"/>
              <w:rPr>
                <w:rFonts w:hint="eastAsia" w:ascii="宋体" w:hAnsi="宋体" w:cs="宋体"/>
                <w:color w:val="auto"/>
                <w:kern w:val="0"/>
                <w:sz w:val="24"/>
                <w:szCs w:val="24"/>
                <w:highlight w:val="none"/>
                <w:u w:val="none"/>
                <w:lang w:bidi="ar"/>
              </w:rPr>
            </w:pPr>
            <w:r>
              <w:rPr>
                <w:rFonts w:hint="eastAsia" w:ascii="宋体" w:hAnsi="宋体" w:eastAsia="宋体" w:cs="宋体"/>
                <w:i w:val="0"/>
                <w:iCs w:val="0"/>
                <w:color w:val="auto"/>
                <w:kern w:val="0"/>
                <w:sz w:val="22"/>
                <w:szCs w:val="22"/>
                <w:highlight w:val="none"/>
                <w:u w:val="none"/>
                <w:lang w:val="en-US" w:eastAsia="zh-CN" w:bidi="ar"/>
              </w:rPr>
              <w:t>轴承压块</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leftChars="0" w:right="0" w:rightChars="0"/>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热处理</w:t>
            </w:r>
          </w:p>
        </w:tc>
        <w:tc>
          <w:tcPr>
            <w:tcW w:w="17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eastAsia="宋体" w:cs="宋体"/>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w:t>
            </w:r>
          </w:p>
        </w:tc>
        <w:tc>
          <w:tcPr>
            <w:tcW w:w="1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0.58</w:t>
            </w:r>
          </w:p>
        </w:tc>
        <w:tc>
          <w:tcPr>
            <w:tcW w:w="140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宋体"/>
                <w:color w:val="auto"/>
                <w:sz w:val="22"/>
                <w:szCs w:val="22"/>
                <w:highlight w:val="none"/>
                <w:u w:val="none"/>
              </w:rPr>
            </w:pPr>
          </w:p>
        </w:tc>
        <w:tc>
          <w:tcPr>
            <w:tcW w:w="1320"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eastAsia" w:ascii="宋体" w:hAnsi="宋体" w:cs="宋体"/>
                <w:color w:val="auto"/>
                <w:kern w:val="0"/>
                <w:sz w:val="22"/>
                <w:szCs w:val="22"/>
                <w:highlight w:val="none"/>
                <w:u w:val="none"/>
                <w:lang w:bidi="ar"/>
              </w:rPr>
            </w:pPr>
          </w:p>
        </w:tc>
      </w:tr>
      <w:tr>
        <w:tblPrEx>
          <w:tblCellMar>
            <w:top w:w="0" w:type="dxa"/>
            <w:left w:w="0" w:type="dxa"/>
            <w:bottom w:w="0" w:type="dxa"/>
            <w:right w:w="0" w:type="dxa"/>
          </w:tblCellMar>
        </w:tblPrEx>
        <w:trPr>
          <w:trHeight w:val="57"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eastAsia" w:ascii="宋体" w:hAnsi="宋体" w:cs="宋体"/>
                <w:color w:val="auto"/>
                <w:kern w:val="0"/>
                <w:sz w:val="24"/>
                <w:szCs w:val="24"/>
                <w:highlight w:val="none"/>
                <w:u w:val="none"/>
                <w:lang w:val="en-US" w:eastAsia="zh-CN" w:bidi="ar"/>
              </w:rPr>
            </w:pPr>
            <w:bookmarkStart w:id="4" w:name="OLE_LINK5" w:colFirst="2" w:colLast="2"/>
            <w:r>
              <w:rPr>
                <w:rFonts w:hint="eastAsia" w:ascii="宋体" w:hAnsi="宋体" w:eastAsia="宋体" w:cs="宋体"/>
                <w:i w:val="0"/>
                <w:iCs w:val="0"/>
                <w:color w:val="auto"/>
                <w:kern w:val="0"/>
                <w:sz w:val="22"/>
                <w:szCs w:val="22"/>
                <w:highlight w:val="none"/>
                <w:u w:val="none"/>
                <w:lang w:val="en-US" w:eastAsia="zh-CN" w:bidi="ar"/>
              </w:rPr>
              <w:t>4</w:t>
            </w:r>
          </w:p>
        </w:tc>
        <w:tc>
          <w:tcPr>
            <w:tcW w:w="1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前簧骑马螺栓</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leftChars="0" w:right="0" w:rightChars="0"/>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抛丸</w:t>
            </w:r>
          </w:p>
        </w:tc>
        <w:tc>
          <w:tcPr>
            <w:tcW w:w="17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540000</w:t>
            </w:r>
          </w:p>
        </w:tc>
        <w:tc>
          <w:tcPr>
            <w:tcW w:w="1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0.135</w:t>
            </w:r>
          </w:p>
        </w:tc>
        <w:tc>
          <w:tcPr>
            <w:tcW w:w="140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宋体"/>
                <w:color w:val="auto"/>
                <w:sz w:val="22"/>
                <w:szCs w:val="22"/>
                <w:highlight w:val="none"/>
                <w:u w:val="none"/>
              </w:rPr>
            </w:pPr>
          </w:p>
        </w:tc>
        <w:tc>
          <w:tcPr>
            <w:tcW w:w="1320"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eastAsia" w:ascii="宋体" w:hAnsi="宋体" w:cs="宋体"/>
                <w:color w:val="auto"/>
                <w:kern w:val="0"/>
                <w:sz w:val="22"/>
                <w:szCs w:val="22"/>
                <w:highlight w:val="none"/>
                <w:u w:val="none"/>
                <w:lang w:bidi="ar"/>
              </w:rPr>
            </w:pPr>
          </w:p>
        </w:tc>
      </w:tr>
      <w:tr>
        <w:tblPrEx>
          <w:tblCellMar>
            <w:top w:w="0" w:type="dxa"/>
            <w:left w:w="0" w:type="dxa"/>
            <w:bottom w:w="0" w:type="dxa"/>
            <w:right w:w="0" w:type="dxa"/>
          </w:tblCellMar>
        </w:tblPrEx>
        <w:trPr>
          <w:trHeight w:val="57"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eastAsia" w:ascii="宋体" w:hAnsi="宋体" w:cs="宋体"/>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后簧骑马螺栓</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leftChars="0" w:right="0" w:rightChars="0"/>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抛丸</w:t>
            </w:r>
          </w:p>
        </w:tc>
        <w:tc>
          <w:tcPr>
            <w:tcW w:w="17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62</w:t>
            </w:r>
            <w:r>
              <w:rPr>
                <w:rFonts w:hint="eastAsia" w:ascii="宋体" w:hAnsi="宋体" w:eastAsia="宋体" w:cs="宋体"/>
                <w:i w:val="0"/>
                <w:iCs w:val="0"/>
                <w:color w:val="auto"/>
                <w:kern w:val="0"/>
                <w:sz w:val="24"/>
                <w:szCs w:val="24"/>
                <w:highlight w:val="none"/>
                <w:u w:val="none"/>
                <w:lang w:val="en-US" w:eastAsia="zh-CN" w:bidi="ar"/>
              </w:rPr>
              <w:t>0000</w:t>
            </w:r>
          </w:p>
        </w:tc>
        <w:tc>
          <w:tcPr>
            <w:tcW w:w="1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0.225</w:t>
            </w:r>
          </w:p>
        </w:tc>
        <w:tc>
          <w:tcPr>
            <w:tcW w:w="140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宋体"/>
                <w:color w:val="auto"/>
                <w:sz w:val="22"/>
                <w:szCs w:val="22"/>
                <w:highlight w:val="none"/>
                <w:u w:val="none"/>
              </w:rPr>
            </w:pPr>
          </w:p>
        </w:tc>
        <w:tc>
          <w:tcPr>
            <w:tcW w:w="1320"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eastAsia" w:ascii="宋体" w:hAnsi="宋体" w:cs="宋体"/>
                <w:color w:val="auto"/>
                <w:kern w:val="0"/>
                <w:sz w:val="22"/>
                <w:szCs w:val="22"/>
                <w:highlight w:val="none"/>
                <w:u w:val="none"/>
                <w:lang w:bidi="ar"/>
              </w:rPr>
            </w:pPr>
          </w:p>
        </w:tc>
      </w:tr>
      <w:bookmarkEnd w:id="4"/>
      <w:tr>
        <w:tblPrEx>
          <w:tblCellMar>
            <w:top w:w="0" w:type="dxa"/>
            <w:left w:w="0" w:type="dxa"/>
            <w:bottom w:w="0" w:type="dxa"/>
            <w:right w:w="0" w:type="dxa"/>
          </w:tblCellMar>
        </w:tblPrEx>
        <w:trPr>
          <w:trHeight w:val="57"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eastAsia" w:ascii="宋体" w:hAnsi="宋体" w:cs="宋体"/>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大支架</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leftChars="0" w:right="0" w:rightChars="0"/>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抛丸</w:t>
            </w:r>
          </w:p>
        </w:tc>
        <w:tc>
          <w:tcPr>
            <w:tcW w:w="17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310</w:t>
            </w:r>
          </w:p>
        </w:tc>
        <w:tc>
          <w:tcPr>
            <w:tcW w:w="1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40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宋体"/>
                <w:color w:val="auto"/>
                <w:sz w:val="22"/>
                <w:szCs w:val="22"/>
                <w:highlight w:val="none"/>
                <w:u w:val="none"/>
              </w:rPr>
            </w:pPr>
          </w:p>
        </w:tc>
        <w:tc>
          <w:tcPr>
            <w:tcW w:w="1320"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eastAsia" w:ascii="宋体" w:hAnsi="宋体" w:cs="宋体"/>
                <w:color w:val="auto"/>
                <w:kern w:val="0"/>
                <w:sz w:val="22"/>
                <w:szCs w:val="22"/>
                <w:highlight w:val="none"/>
                <w:u w:val="none"/>
                <w:lang w:bidi="ar"/>
              </w:rPr>
            </w:pPr>
          </w:p>
        </w:tc>
      </w:tr>
      <w:tr>
        <w:tblPrEx>
          <w:tblCellMar>
            <w:top w:w="0" w:type="dxa"/>
            <w:left w:w="0" w:type="dxa"/>
            <w:bottom w:w="0" w:type="dxa"/>
            <w:right w:w="0" w:type="dxa"/>
          </w:tblCellMar>
        </w:tblPrEx>
        <w:trPr>
          <w:trHeight w:val="57"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eastAsia" w:ascii="宋体" w:hAnsi="宋体" w:cs="宋体"/>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1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小支架</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leftChars="0" w:right="0" w:rightChars="0"/>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抛丸</w:t>
            </w:r>
          </w:p>
        </w:tc>
        <w:tc>
          <w:tcPr>
            <w:tcW w:w="17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w:t>
            </w:r>
          </w:p>
        </w:tc>
        <w:tc>
          <w:tcPr>
            <w:tcW w:w="1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0.2</w:t>
            </w:r>
          </w:p>
        </w:tc>
        <w:tc>
          <w:tcPr>
            <w:tcW w:w="140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宋体"/>
                <w:color w:val="auto"/>
                <w:sz w:val="22"/>
                <w:szCs w:val="22"/>
                <w:highlight w:val="none"/>
                <w:u w:val="none"/>
              </w:rPr>
            </w:pPr>
          </w:p>
        </w:tc>
        <w:tc>
          <w:tcPr>
            <w:tcW w:w="1320"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eastAsia" w:ascii="宋体" w:hAnsi="宋体" w:cs="宋体"/>
                <w:color w:val="auto"/>
                <w:kern w:val="0"/>
                <w:sz w:val="22"/>
                <w:szCs w:val="22"/>
                <w:highlight w:val="none"/>
                <w:u w:val="none"/>
                <w:lang w:bidi="ar"/>
              </w:rPr>
            </w:pPr>
          </w:p>
        </w:tc>
      </w:tr>
      <w:tr>
        <w:tblPrEx>
          <w:tblCellMar>
            <w:top w:w="0" w:type="dxa"/>
            <w:left w:w="0" w:type="dxa"/>
            <w:bottom w:w="0" w:type="dxa"/>
            <w:right w:w="0" w:type="dxa"/>
          </w:tblCellMar>
        </w:tblPrEx>
        <w:trPr>
          <w:trHeight w:val="57"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8</w:t>
            </w:r>
          </w:p>
        </w:tc>
        <w:tc>
          <w:tcPr>
            <w:tcW w:w="1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牵引钩抛丸</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抛丸</w:t>
            </w:r>
          </w:p>
        </w:tc>
        <w:tc>
          <w:tcPr>
            <w:tcW w:w="17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440</w:t>
            </w:r>
          </w:p>
        </w:tc>
        <w:tc>
          <w:tcPr>
            <w:tcW w:w="1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0.2</w:t>
            </w:r>
          </w:p>
        </w:tc>
        <w:tc>
          <w:tcPr>
            <w:tcW w:w="140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宋体"/>
                <w:color w:val="auto"/>
                <w:sz w:val="22"/>
                <w:szCs w:val="22"/>
                <w:highlight w:val="none"/>
                <w:u w:val="none"/>
              </w:rPr>
            </w:pPr>
          </w:p>
        </w:tc>
        <w:tc>
          <w:tcPr>
            <w:tcW w:w="1320"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eastAsia" w:ascii="宋体" w:hAnsi="宋体" w:cs="宋体"/>
                <w:color w:val="auto"/>
                <w:kern w:val="0"/>
                <w:sz w:val="22"/>
                <w:szCs w:val="22"/>
                <w:highlight w:val="none"/>
                <w:u w:val="none"/>
                <w:lang w:bidi="ar"/>
              </w:rPr>
            </w:pPr>
          </w:p>
        </w:tc>
      </w:tr>
      <w:tr>
        <w:tblPrEx>
          <w:tblCellMar>
            <w:top w:w="0" w:type="dxa"/>
            <w:left w:w="0" w:type="dxa"/>
            <w:bottom w:w="0" w:type="dxa"/>
            <w:right w:w="0" w:type="dxa"/>
          </w:tblCellMar>
        </w:tblPrEx>
        <w:trPr>
          <w:trHeight w:val="57"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9</w:t>
            </w:r>
          </w:p>
        </w:tc>
        <w:tc>
          <w:tcPr>
            <w:tcW w:w="1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杠杆总成抛丸</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抛丸</w:t>
            </w:r>
          </w:p>
        </w:tc>
        <w:tc>
          <w:tcPr>
            <w:tcW w:w="17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2300</w:t>
            </w:r>
          </w:p>
        </w:tc>
        <w:tc>
          <w:tcPr>
            <w:tcW w:w="1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0.3</w:t>
            </w:r>
          </w:p>
        </w:tc>
        <w:tc>
          <w:tcPr>
            <w:tcW w:w="140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宋体"/>
                <w:color w:val="auto"/>
                <w:sz w:val="22"/>
                <w:szCs w:val="22"/>
                <w:highlight w:val="none"/>
                <w:u w:val="none"/>
              </w:rPr>
            </w:pPr>
          </w:p>
        </w:tc>
        <w:tc>
          <w:tcPr>
            <w:tcW w:w="132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eastAsia" w:ascii="宋体" w:hAnsi="宋体" w:cs="宋体"/>
                <w:color w:val="auto"/>
                <w:kern w:val="0"/>
                <w:sz w:val="22"/>
                <w:szCs w:val="22"/>
                <w:highlight w:val="none"/>
                <w:u w:val="none"/>
                <w:lang w:bidi="ar"/>
              </w:rPr>
            </w:pPr>
          </w:p>
        </w:tc>
      </w:tr>
    </w:tbl>
    <w:p>
      <w:pPr>
        <w:pageBreakBefore w:val="0"/>
        <w:kinsoku/>
        <w:wordWrap/>
        <w:overflowPunct/>
        <w:topLinePunct w:val="0"/>
        <w:autoSpaceDE w:val="0"/>
        <w:autoSpaceDN w:val="0"/>
        <w:bidi w:val="0"/>
        <w:adjustRightInd w:val="0"/>
        <w:spacing w:line="300" w:lineRule="auto"/>
        <w:jc w:val="left"/>
        <w:rPr>
          <w:rFonts w:hAnsi="宋体" w:eastAsia="楷体_GB2312"/>
          <w:bCs/>
          <w:color w:val="auto"/>
          <w:sz w:val="24"/>
          <w:highlight w:val="none"/>
          <w:u w:val="none"/>
        </w:rPr>
      </w:pPr>
    </w:p>
    <w:p>
      <w:pPr>
        <w:pageBreakBefore w:val="0"/>
        <w:kinsoku/>
        <w:wordWrap/>
        <w:overflowPunct/>
        <w:topLinePunct w:val="0"/>
        <w:autoSpaceDE w:val="0"/>
        <w:autoSpaceDN w:val="0"/>
        <w:bidi w:val="0"/>
        <w:adjustRightInd w:val="0"/>
        <w:spacing w:line="300" w:lineRule="auto"/>
        <w:jc w:val="left"/>
        <w:rPr>
          <w:rFonts w:hAnsi="宋体" w:eastAsia="楷体_GB2312"/>
          <w:bCs/>
          <w:color w:val="auto"/>
          <w:sz w:val="24"/>
          <w:highlight w:val="none"/>
          <w:u w:val="none"/>
        </w:rPr>
      </w:pPr>
      <w:r>
        <w:rPr>
          <w:rFonts w:hint="eastAsia" w:hAnsi="宋体" w:eastAsia="楷体_GB2312"/>
          <w:bCs/>
          <w:color w:val="auto"/>
          <w:sz w:val="24"/>
          <w:highlight w:val="none"/>
          <w:u w:val="none"/>
        </w:rPr>
        <w:t>说明：</w:t>
      </w:r>
      <w:r>
        <w:rPr>
          <w:rFonts w:hAnsi="宋体" w:eastAsia="楷体_GB2312"/>
          <w:bCs/>
          <w:color w:val="auto"/>
          <w:sz w:val="24"/>
          <w:highlight w:val="none"/>
          <w:u w:val="none"/>
        </w:rPr>
        <w:t>1</w:t>
      </w:r>
      <w:r>
        <w:rPr>
          <w:rFonts w:hint="eastAsia" w:hAnsi="宋体" w:eastAsia="楷体_GB2312"/>
          <w:bCs/>
          <w:color w:val="auto"/>
          <w:sz w:val="24"/>
          <w:highlight w:val="none"/>
          <w:u w:val="none"/>
        </w:rPr>
        <w:t>、所有投标单位须按上述附件对实施范围的各组成部分及分项进行报价；</w:t>
      </w:r>
    </w:p>
    <w:p>
      <w:pPr>
        <w:pageBreakBefore w:val="0"/>
        <w:kinsoku/>
        <w:wordWrap/>
        <w:overflowPunct/>
        <w:topLinePunct w:val="0"/>
        <w:autoSpaceDE w:val="0"/>
        <w:autoSpaceDN w:val="0"/>
        <w:bidi w:val="0"/>
        <w:adjustRightInd w:val="0"/>
        <w:spacing w:line="300" w:lineRule="auto"/>
        <w:ind w:firstLine="732" w:firstLineChars="300"/>
        <w:jc w:val="left"/>
        <w:rPr>
          <w:rFonts w:hAnsi="宋体" w:eastAsia="楷体_GB2312"/>
          <w:bCs/>
          <w:color w:val="auto"/>
          <w:sz w:val="24"/>
          <w:highlight w:val="none"/>
          <w:u w:val="none"/>
        </w:rPr>
      </w:pPr>
      <w:r>
        <w:rPr>
          <w:rFonts w:hint="eastAsia" w:hAnsi="宋体" w:eastAsia="楷体_GB2312"/>
          <w:bCs/>
          <w:color w:val="auto"/>
          <w:sz w:val="24"/>
          <w:highlight w:val="none"/>
          <w:u w:val="none"/>
          <w:lang w:val="en-US" w:eastAsia="zh-CN"/>
        </w:rPr>
        <w:t>2</w:t>
      </w:r>
      <w:r>
        <w:rPr>
          <w:rFonts w:hint="eastAsia" w:hAnsi="宋体" w:eastAsia="楷体_GB2312"/>
          <w:bCs/>
          <w:color w:val="auto"/>
          <w:sz w:val="24"/>
          <w:highlight w:val="none"/>
          <w:u w:val="none"/>
        </w:rPr>
        <w:t>、以上每一项目的报价应仅含该项本身内容的报价，投标单位不得将其他项目的价格含在上述一项或多项中作为整体报价。如果投标单位未填报某一或若干分项，则此项或若干项的费用则被认为已经包含在报价清单的其他项目中。投标单位在投标报价</w:t>
      </w:r>
      <w:r>
        <w:rPr>
          <w:rFonts w:hAnsi="宋体" w:eastAsia="楷体_GB2312"/>
          <w:bCs/>
          <w:color w:val="auto"/>
          <w:sz w:val="24"/>
          <w:highlight w:val="none"/>
          <w:u w:val="none"/>
        </w:rPr>
        <w:t>(</w:t>
      </w:r>
      <w:r>
        <w:rPr>
          <w:rFonts w:hint="eastAsia" w:hAnsi="宋体" w:eastAsia="楷体_GB2312"/>
          <w:bCs/>
          <w:color w:val="auto"/>
          <w:sz w:val="24"/>
          <w:highlight w:val="none"/>
          <w:u w:val="none"/>
        </w:rPr>
        <w:t>含分项报价</w:t>
      </w:r>
      <w:r>
        <w:rPr>
          <w:rFonts w:hAnsi="宋体" w:eastAsia="楷体_GB2312"/>
          <w:bCs/>
          <w:color w:val="auto"/>
          <w:sz w:val="24"/>
          <w:highlight w:val="none"/>
          <w:u w:val="none"/>
        </w:rPr>
        <w:t>)</w:t>
      </w:r>
      <w:r>
        <w:rPr>
          <w:rFonts w:hint="eastAsia" w:hAnsi="宋体" w:eastAsia="楷体_GB2312"/>
          <w:bCs/>
          <w:color w:val="auto"/>
          <w:sz w:val="24"/>
          <w:highlight w:val="none"/>
          <w:u w:val="none"/>
        </w:rPr>
        <w:t>中，没有注明或填写价格的，该项费用为免费或由投标单位自行内部消化。</w:t>
      </w:r>
    </w:p>
    <w:p>
      <w:pPr>
        <w:pageBreakBefore w:val="0"/>
        <w:kinsoku/>
        <w:wordWrap/>
        <w:overflowPunct/>
        <w:topLinePunct w:val="0"/>
        <w:autoSpaceDE w:val="0"/>
        <w:autoSpaceDN w:val="0"/>
        <w:bidi w:val="0"/>
        <w:adjustRightInd w:val="0"/>
        <w:spacing w:line="300" w:lineRule="auto"/>
        <w:ind w:firstLine="732" w:firstLineChars="300"/>
        <w:jc w:val="left"/>
        <w:rPr>
          <w:rFonts w:hAnsi="宋体" w:eastAsia="楷体_GB2312"/>
          <w:bCs/>
          <w:color w:val="auto"/>
          <w:sz w:val="24"/>
          <w:highlight w:val="none"/>
          <w:u w:val="none"/>
        </w:rPr>
      </w:pPr>
    </w:p>
    <w:p>
      <w:pPr>
        <w:pageBreakBefore w:val="0"/>
        <w:kinsoku/>
        <w:wordWrap/>
        <w:overflowPunct/>
        <w:topLinePunct w:val="0"/>
        <w:bidi w:val="0"/>
        <w:spacing w:line="300" w:lineRule="auto"/>
        <w:rPr>
          <w:rFonts w:hAnsi="宋体" w:eastAsia="楷体_GB2312"/>
          <w:bCs/>
          <w:color w:val="auto"/>
          <w:sz w:val="24"/>
          <w:highlight w:val="none"/>
          <w:u w:val="none"/>
        </w:rPr>
      </w:pPr>
      <w:r>
        <w:rPr>
          <w:rFonts w:hint="eastAsia" w:hAnsi="宋体" w:eastAsia="楷体_GB2312"/>
          <w:bCs/>
          <w:color w:val="auto"/>
          <w:sz w:val="24"/>
          <w:highlight w:val="none"/>
          <w:u w:val="none"/>
        </w:rPr>
        <w:t>投标单位名称：</w:t>
      </w:r>
      <w:r>
        <w:rPr>
          <w:rFonts w:hAnsi="宋体" w:eastAsia="楷体_GB2312"/>
          <w:bCs/>
          <w:color w:val="auto"/>
          <w:sz w:val="24"/>
          <w:highlight w:val="none"/>
          <w:u w:val="none"/>
        </w:rPr>
        <w:t>(</w:t>
      </w:r>
      <w:r>
        <w:rPr>
          <w:rFonts w:hint="eastAsia" w:hAnsi="宋体" w:eastAsia="楷体_GB2312"/>
          <w:bCs/>
          <w:color w:val="auto"/>
          <w:sz w:val="24"/>
          <w:highlight w:val="none"/>
          <w:u w:val="none"/>
        </w:rPr>
        <w:t>盖章</w:t>
      </w:r>
      <w:r>
        <w:rPr>
          <w:rFonts w:hAnsi="宋体" w:eastAsia="楷体_GB2312"/>
          <w:bCs/>
          <w:color w:val="auto"/>
          <w:sz w:val="24"/>
          <w:highlight w:val="none"/>
          <w:u w:val="none"/>
        </w:rPr>
        <w:t>)</w:t>
      </w:r>
    </w:p>
    <w:p>
      <w:pPr>
        <w:pageBreakBefore w:val="0"/>
        <w:kinsoku/>
        <w:wordWrap/>
        <w:overflowPunct/>
        <w:topLinePunct w:val="0"/>
        <w:bidi w:val="0"/>
        <w:spacing w:line="300" w:lineRule="auto"/>
        <w:rPr>
          <w:rFonts w:hAnsi="宋体" w:eastAsia="楷体_GB2312"/>
          <w:bCs/>
          <w:color w:val="auto"/>
          <w:sz w:val="24"/>
          <w:highlight w:val="none"/>
          <w:u w:val="none"/>
        </w:rPr>
      </w:pPr>
      <w:r>
        <w:rPr>
          <w:rFonts w:hint="eastAsia" w:hAnsi="宋体" w:eastAsia="楷体_GB2312"/>
          <w:bCs/>
          <w:color w:val="auto"/>
          <w:sz w:val="24"/>
          <w:highlight w:val="none"/>
          <w:u w:val="none"/>
        </w:rPr>
        <w:t>授权代表：</w:t>
      </w:r>
      <w:r>
        <w:rPr>
          <w:rFonts w:hAnsi="宋体" w:eastAsia="楷体_GB2312"/>
          <w:bCs/>
          <w:color w:val="auto"/>
          <w:sz w:val="24"/>
          <w:highlight w:val="none"/>
          <w:u w:val="none"/>
        </w:rPr>
        <w:t>(</w:t>
      </w:r>
      <w:r>
        <w:rPr>
          <w:rFonts w:hint="eastAsia" w:hAnsi="宋体" w:eastAsia="楷体_GB2312"/>
          <w:bCs/>
          <w:color w:val="auto"/>
          <w:sz w:val="24"/>
          <w:highlight w:val="none"/>
          <w:u w:val="none"/>
        </w:rPr>
        <w:t>签字</w:t>
      </w:r>
      <w:r>
        <w:rPr>
          <w:rFonts w:hAnsi="宋体" w:eastAsia="楷体_GB2312"/>
          <w:bCs/>
          <w:color w:val="auto"/>
          <w:sz w:val="24"/>
          <w:highlight w:val="none"/>
          <w:u w:val="none"/>
        </w:rPr>
        <w:t>)</w:t>
      </w:r>
    </w:p>
    <w:p>
      <w:pPr>
        <w:pageBreakBefore w:val="0"/>
        <w:kinsoku/>
        <w:wordWrap/>
        <w:overflowPunct/>
        <w:topLinePunct w:val="0"/>
        <w:bidi w:val="0"/>
        <w:spacing w:line="300" w:lineRule="auto"/>
        <w:jc w:val="right"/>
        <w:rPr>
          <w:rFonts w:eastAsia="黑体"/>
          <w:b/>
          <w:bCs/>
          <w:color w:val="auto"/>
          <w:sz w:val="28"/>
          <w:highlight w:val="none"/>
          <w:u w:val="none"/>
        </w:rPr>
      </w:pPr>
      <w:r>
        <w:rPr>
          <w:rFonts w:hint="eastAsia" w:hAnsi="宋体" w:eastAsia="楷体_GB2312"/>
          <w:bCs/>
          <w:color w:val="auto"/>
          <w:sz w:val="24"/>
          <w:highlight w:val="none"/>
          <w:u w:val="none"/>
        </w:rPr>
        <w:t>日</w:t>
      </w:r>
      <w:r>
        <w:rPr>
          <w:rFonts w:hAnsi="宋体" w:eastAsia="楷体_GB2312"/>
          <w:bCs/>
          <w:color w:val="auto"/>
          <w:sz w:val="24"/>
          <w:highlight w:val="none"/>
          <w:u w:val="none"/>
        </w:rPr>
        <w:t xml:space="preserve">    </w:t>
      </w:r>
      <w:r>
        <w:rPr>
          <w:rFonts w:hint="eastAsia" w:hAnsi="宋体" w:eastAsia="楷体_GB2312"/>
          <w:bCs/>
          <w:color w:val="auto"/>
          <w:sz w:val="24"/>
          <w:highlight w:val="none"/>
          <w:u w:val="none"/>
        </w:rPr>
        <w:t>期：</w:t>
      </w:r>
      <w:r>
        <w:rPr>
          <w:rFonts w:hAnsi="宋体" w:eastAsia="楷体_GB2312"/>
          <w:bCs/>
          <w:color w:val="auto"/>
          <w:sz w:val="24"/>
          <w:highlight w:val="none"/>
          <w:u w:val="none"/>
        </w:rPr>
        <w:t>_____</w:t>
      </w:r>
      <w:r>
        <w:rPr>
          <w:rFonts w:hint="eastAsia" w:hAnsi="宋体" w:eastAsia="楷体_GB2312"/>
          <w:bCs/>
          <w:color w:val="auto"/>
          <w:sz w:val="24"/>
          <w:highlight w:val="none"/>
          <w:u w:val="none"/>
        </w:rPr>
        <w:t>年</w:t>
      </w:r>
      <w:r>
        <w:rPr>
          <w:rFonts w:hAnsi="宋体" w:eastAsia="楷体_GB2312"/>
          <w:bCs/>
          <w:color w:val="auto"/>
          <w:sz w:val="24"/>
          <w:highlight w:val="none"/>
          <w:u w:val="none"/>
        </w:rPr>
        <w:t>____</w:t>
      </w:r>
      <w:r>
        <w:rPr>
          <w:rFonts w:hint="eastAsia" w:hAnsi="宋体" w:eastAsia="楷体_GB2312"/>
          <w:bCs/>
          <w:color w:val="auto"/>
          <w:sz w:val="24"/>
          <w:highlight w:val="none"/>
          <w:u w:val="none"/>
        </w:rPr>
        <w:t>月</w:t>
      </w:r>
      <w:r>
        <w:rPr>
          <w:rFonts w:hAnsi="宋体" w:eastAsia="楷体_GB2312"/>
          <w:bCs/>
          <w:color w:val="auto"/>
          <w:sz w:val="24"/>
          <w:highlight w:val="none"/>
          <w:u w:val="none"/>
        </w:rPr>
        <w:t>____</w:t>
      </w:r>
      <w:r>
        <w:rPr>
          <w:rFonts w:hint="eastAsia" w:hAnsi="宋体" w:eastAsia="楷体_GB2312"/>
          <w:bCs/>
          <w:color w:val="auto"/>
          <w:sz w:val="24"/>
          <w:highlight w:val="none"/>
          <w:u w:val="none"/>
        </w:rPr>
        <w:t>日</w:t>
      </w:r>
    </w:p>
    <w:p>
      <w:pPr>
        <w:pageBreakBefore w:val="0"/>
        <w:kinsoku/>
        <w:wordWrap/>
        <w:overflowPunct/>
        <w:topLinePunct w:val="0"/>
        <w:bidi w:val="0"/>
        <w:spacing w:line="300" w:lineRule="auto"/>
        <w:rPr>
          <w:rFonts w:hint="eastAsia" w:eastAsia="黑体"/>
          <w:b/>
          <w:bCs/>
          <w:color w:val="auto"/>
          <w:sz w:val="28"/>
          <w:highlight w:val="none"/>
          <w:u w:val="none"/>
        </w:rPr>
      </w:pPr>
    </w:p>
    <w:p>
      <w:pPr>
        <w:pageBreakBefore w:val="0"/>
        <w:kinsoku/>
        <w:wordWrap/>
        <w:overflowPunct/>
        <w:topLinePunct w:val="0"/>
        <w:bidi w:val="0"/>
        <w:spacing w:line="300" w:lineRule="auto"/>
        <w:rPr>
          <w:rFonts w:hint="eastAsia" w:eastAsia="黑体"/>
          <w:b/>
          <w:bCs/>
          <w:color w:val="auto"/>
          <w:sz w:val="28"/>
          <w:highlight w:val="none"/>
          <w:u w:val="none"/>
        </w:rPr>
      </w:pPr>
    </w:p>
    <w:p>
      <w:pPr>
        <w:pageBreakBefore w:val="0"/>
        <w:kinsoku/>
        <w:wordWrap/>
        <w:overflowPunct/>
        <w:topLinePunct w:val="0"/>
        <w:bidi w:val="0"/>
        <w:spacing w:line="300" w:lineRule="auto"/>
        <w:rPr>
          <w:rFonts w:hint="eastAsia" w:eastAsia="黑体"/>
          <w:b/>
          <w:bCs/>
          <w:color w:val="auto"/>
          <w:sz w:val="28"/>
          <w:highlight w:val="none"/>
          <w:u w:val="none"/>
        </w:rPr>
      </w:pPr>
    </w:p>
    <w:p>
      <w:pPr>
        <w:pageBreakBefore w:val="0"/>
        <w:kinsoku/>
        <w:wordWrap/>
        <w:overflowPunct/>
        <w:topLinePunct w:val="0"/>
        <w:bidi w:val="0"/>
        <w:spacing w:line="300" w:lineRule="auto"/>
        <w:rPr>
          <w:rFonts w:hint="eastAsia" w:eastAsia="黑体"/>
          <w:b/>
          <w:bCs/>
          <w:color w:val="auto"/>
          <w:sz w:val="28"/>
          <w:highlight w:val="none"/>
          <w:u w:val="none"/>
        </w:rPr>
      </w:pPr>
    </w:p>
    <w:p>
      <w:pPr>
        <w:pageBreakBefore w:val="0"/>
        <w:kinsoku/>
        <w:wordWrap/>
        <w:overflowPunct/>
        <w:topLinePunct w:val="0"/>
        <w:bidi w:val="0"/>
        <w:spacing w:line="300" w:lineRule="auto"/>
        <w:rPr>
          <w:rFonts w:ascii="宋体" w:hAnsi="宋体"/>
          <w:color w:val="auto"/>
          <w:sz w:val="24"/>
          <w:highlight w:val="none"/>
          <w:u w:val="none"/>
        </w:rPr>
      </w:pPr>
      <w:r>
        <w:rPr>
          <w:rFonts w:hint="eastAsia" w:eastAsia="黑体"/>
          <w:b/>
          <w:bCs/>
          <w:color w:val="auto"/>
          <w:sz w:val="28"/>
          <w:highlight w:val="none"/>
          <w:u w:val="none"/>
        </w:rPr>
        <w:t>附件5</w:t>
      </w:r>
    </w:p>
    <w:p>
      <w:pPr>
        <w:pageBreakBefore w:val="0"/>
        <w:kinsoku/>
        <w:wordWrap/>
        <w:overflowPunct/>
        <w:topLinePunct w:val="0"/>
        <w:bidi w:val="0"/>
        <w:spacing w:line="300" w:lineRule="auto"/>
        <w:ind w:firstLine="3952" w:firstLineChars="1300"/>
        <w:rPr>
          <w:rFonts w:ascii="华文新魏" w:hAnsi="宋体" w:eastAsia="华文新魏"/>
          <w:color w:val="auto"/>
          <w:sz w:val="30"/>
          <w:szCs w:val="30"/>
          <w:highlight w:val="none"/>
          <w:u w:val="none"/>
        </w:rPr>
      </w:pPr>
      <w:r>
        <w:rPr>
          <w:rFonts w:hint="eastAsia" w:ascii="华文新魏" w:hAnsi="宋体" w:eastAsia="华文新魏"/>
          <w:color w:val="auto"/>
          <w:sz w:val="30"/>
          <w:szCs w:val="30"/>
          <w:highlight w:val="none"/>
          <w:u w:val="none"/>
        </w:rPr>
        <w:t>服务承诺书</w:t>
      </w:r>
    </w:p>
    <w:p>
      <w:pPr>
        <w:pageBreakBefore w:val="0"/>
        <w:kinsoku/>
        <w:wordWrap/>
        <w:overflowPunct/>
        <w:topLinePunct w:val="0"/>
        <w:bidi w:val="0"/>
        <w:spacing w:line="300" w:lineRule="auto"/>
        <w:rPr>
          <w:rFonts w:ascii="宋体" w:hAnsi="宋体"/>
          <w:color w:val="auto"/>
          <w:sz w:val="24"/>
          <w:highlight w:val="none"/>
          <w:u w:val="none"/>
        </w:rPr>
      </w:pPr>
      <w:r>
        <w:rPr>
          <w:rFonts w:hint="eastAsia" w:ascii="宋体" w:hAnsi="宋体"/>
          <w:bCs/>
          <w:color w:val="auto"/>
          <w:sz w:val="24"/>
          <w:highlight w:val="none"/>
          <w:u w:val="none"/>
        </w:rPr>
        <w:t>致：</w:t>
      </w:r>
      <w:r>
        <w:rPr>
          <w:rFonts w:hint="eastAsia" w:ascii="宋体" w:hAnsi="宋体"/>
          <w:color w:val="auto"/>
          <w:sz w:val="24"/>
          <w:highlight w:val="none"/>
          <w:u w:val="none"/>
        </w:rPr>
        <w:t>重汽（济南）传动轴有限公司</w:t>
      </w:r>
    </w:p>
    <w:p>
      <w:pPr>
        <w:pageBreakBefore w:val="0"/>
        <w:kinsoku/>
        <w:wordWrap/>
        <w:overflowPunct/>
        <w:topLinePunct w:val="0"/>
        <w:bidi w:val="0"/>
        <w:spacing w:line="300" w:lineRule="auto"/>
        <w:rPr>
          <w:rFonts w:ascii="宋体"/>
          <w:bCs/>
          <w:color w:val="auto"/>
          <w:sz w:val="24"/>
          <w:highlight w:val="none"/>
          <w:u w:val="none"/>
        </w:rPr>
      </w:pPr>
      <w:r>
        <w:rPr>
          <w:rFonts w:hint="eastAsia" w:ascii="宋体" w:hAnsi="宋体"/>
          <w:bCs/>
          <w:color w:val="auto"/>
          <w:sz w:val="24"/>
          <w:highlight w:val="none"/>
          <w:u w:val="none"/>
        </w:rPr>
        <w:t>我单位承诺：</w:t>
      </w:r>
    </w:p>
    <w:p>
      <w:pPr>
        <w:pageBreakBefore w:val="0"/>
        <w:kinsoku/>
        <w:wordWrap/>
        <w:overflowPunct/>
        <w:topLinePunct w:val="0"/>
        <w:bidi w:val="0"/>
        <w:spacing w:line="300" w:lineRule="auto"/>
        <w:ind w:firstLine="488" w:firstLineChars="200"/>
        <w:rPr>
          <w:rFonts w:ascii="宋体"/>
          <w:bCs/>
          <w:color w:val="auto"/>
          <w:sz w:val="24"/>
          <w:highlight w:val="none"/>
          <w:u w:val="none"/>
        </w:rPr>
      </w:pPr>
      <w:r>
        <w:rPr>
          <w:rFonts w:hint="eastAsia" w:ascii="宋体" w:hAnsi="宋体"/>
          <w:bCs/>
          <w:color w:val="auto"/>
          <w:sz w:val="24"/>
          <w:highlight w:val="none"/>
          <w:u w:val="none"/>
        </w:rPr>
        <w:t>①经招标人认可的工程项目经理及相应资质的专业技术、管理人员必须是将来施工现场的实际操作者，并应常驻项目施工现场，上述人员未经招标人同意，我单位不得擅自调换或撤离，招标人如认为有必要，可要求对上述人员中的部分人员作出更好的调整。</w:t>
      </w:r>
    </w:p>
    <w:p>
      <w:pPr>
        <w:pageBreakBefore w:val="0"/>
        <w:kinsoku/>
        <w:wordWrap/>
        <w:overflowPunct/>
        <w:topLinePunct w:val="0"/>
        <w:bidi w:val="0"/>
        <w:spacing w:line="300" w:lineRule="auto"/>
        <w:ind w:firstLine="488" w:firstLineChars="200"/>
        <w:rPr>
          <w:rFonts w:ascii="宋体"/>
          <w:bCs/>
          <w:color w:val="auto"/>
          <w:sz w:val="24"/>
          <w:highlight w:val="none"/>
          <w:u w:val="none"/>
        </w:rPr>
      </w:pPr>
      <w:r>
        <w:rPr>
          <w:rFonts w:hint="eastAsia" w:ascii="宋体" w:hAnsi="宋体"/>
          <w:bCs/>
          <w:color w:val="auto"/>
          <w:sz w:val="24"/>
          <w:highlight w:val="none"/>
          <w:u w:val="none"/>
        </w:rPr>
        <w:t>②按招标文件要求完成相应工作内容。</w:t>
      </w:r>
    </w:p>
    <w:p>
      <w:pPr>
        <w:pageBreakBefore w:val="0"/>
        <w:kinsoku/>
        <w:wordWrap/>
        <w:overflowPunct/>
        <w:topLinePunct w:val="0"/>
        <w:bidi w:val="0"/>
        <w:spacing w:line="300" w:lineRule="auto"/>
        <w:ind w:firstLine="488" w:firstLineChars="200"/>
        <w:rPr>
          <w:rFonts w:ascii="宋体" w:hAnsi="宋体" w:cs="宋体"/>
          <w:bCs/>
          <w:color w:val="auto"/>
          <w:sz w:val="24"/>
          <w:highlight w:val="none"/>
          <w:u w:val="none"/>
        </w:rPr>
      </w:pPr>
      <w:r>
        <w:rPr>
          <w:rFonts w:hint="eastAsia" w:ascii="宋体" w:hAnsi="宋体"/>
          <w:bCs/>
          <w:color w:val="auto"/>
          <w:sz w:val="24"/>
          <w:highlight w:val="none"/>
          <w:u w:val="none"/>
        </w:rPr>
        <w:t>③</w:t>
      </w:r>
      <w:r>
        <w:rPr>
          <w:rFonts w:hint="eastAsia" w:ascii="宋体" w:hAnsi="宋体" w:cs="宋体"/>
          <w:bCs/>
          <w:color w:val="auto"/>
          <w:sz w:val="24"/>
          <w:highlight w:val="none"/>
          <w:u w:val="none"/>
        </w:rPr>
        <w:t>我单位已完全理解、明确并熟知招标文件中的全部招标内容，对项目要求无异议。</w:t>
      </w:r>
    </w:p>
    <w:p>
      <w:pPr>
        <w:pageBreakBefore w:val="0"/>
        <w:kinsoku/>
        <w:wordWrap/>
        <w:overflowPunct/>
        <w:topLinePunct w:val="0"/>
        <w:bidi w:val="0"/>
        <w:spacing w:line="300" w:lineRule="auto"/>
        <w:ind w:firstLine="488" w:firstLineChars="200"/>
        <w:rPr>
          <w:rFonts w:ascii="宋体" w:hAnsi="宋体"/>
          <w:bCs/>
          <w:color w:val="auto"/>
          <w:sz w:val="24"/>
          <w:highlight w:val="none"/>
          <w:u w:val="none"/>
        </w:rPr>
      </w:pPr>
    </w:p>
    <w:p>
      <w:pPr>
        <w:pageBreakBefore w:val="0"/>
        <w:kinsoku/>
        <w:wordWrap/>
        <w:overflowPunct/>
        <w:topLinePunct w:val="0"/>
        <w:bidi w:val="0"/>
        <w:spacing w:line="300" w:lineRule="auto"/>
        <w:ind w:firstLine="488" w:firstLineChars="200"/>
        <w:rPr>
          <w:rFonts w:ascii="宋体" w:hAnsi="宋体"/>
          <w:bCs/>
          <w:color w:val="auto"/>
          <w:sz w:val="24"/>
          <w:highlight w:val="none"/>
          <w:u w:val="none"/>
        </w:rPr>
      </w:pPr>
    </w:p>
    <w:p>
      <w:pPr>
        <w:pageBreakBefore w:val="0"/>
        <w:kinsoku/>
        <w:wordWrap/>
        <w:overflowPunct/>
        <w:topLinePunct w:val="0"/>
        <w:bidi w:val="0"/>
        <w:spacing w:line="300" w:lineRule="auto"/>
        <w:ind w:firstLine="488" w:firstLineChars="200"/>
        <w:rPr>
          <w:rFonts w:ascii="宋体" w:hAnsi="宋体"/>
          <w:bCs/>
          <w:color w:val="auto"/>
          <w:sz w:val="24"/>
          <w:highlight w:val="none"/>
          <w:u w:val="none"/>
        </w:rPr>
      </w:pPr>
    </w:p>
    <w:p>
      <w:pPr>
        <w:pageBreakBefore w:val="0"/>
        <w:kinsoku/>
        <w:wordWrap/>
        <w:overflowPunct/>
        <w:topLinePunct w:val="0"/>
        <w:bidi w:val="0"/>
        <w:spacing w:line="300" w:lineRule="auto"/>
        <w:ind w:firstLine="488" w:firstLineChars="200"/>
        <w:rPr>
          <w:rFonts w:ascii="宋体"/>
          <w:b/>
          <w:bCs/>
          <w:color w:val="auto"/>
          <w:sz w:val="24"/>
          <w:highlight w:val="none"/>
          <w:u w:val="none"/>
        </w:rPr>
      </w:pPr>
    </w:p>
    <w:p>
      <w:pPr>
        <w:pageBreakBefore w:val="0"/>
        <w:kinsoku/>
        <w:wordWrap/>
        <w:overflowPunct/>
        <w:topLinePunct w:val="0"/>
        <w:autoSpaceDE w:val="0"/>
        <w:autoSpaceDN w:val="0"/>
        <w:bidi w:val="0"/>
        <w:adjustRightInd w:val="0"/>
        <w:spacing w:line="300" w:lineRule="auto"/>
        <w:jc w:val="left"/>
        <w:rPr>
          <w:rFonts w:ascii="宋体" w:cs="宋体"/>
          <w:color w:val="auto"/>
          <w:kern w:val="0"/>
          <w:sz w:val="24"/>
          <w:highlight w:val="none"/>
          <w:u w:val="none"/>
        </w:rPr>
      </w:pPr>
      <w:r>
        <w:rPr>
          <w:rFonts w:hint="eastAsia" w:ascii="宋体" w:cs="宋体"/>
          <w:color w:val="auto"/>
          <w:kern w:val="0"/>
          <w:sz w:val="24"/>
          <w:highlight w:val="none"/>
          <w:u w:val="none"/>
        </w:rPr>
        <w:t>投标人：（盖章）</w:t>
      </w:r>
    </w:p>
    <w:p>
      <w:pPr>
        <w:pageBreakBefore w:val="0"/>
        <w:kinsoku/>
        <w:wordWrap/>
        <w:overflowPunct/>
        <w:topLinePunct w:val="0"/>
        <w:autoSpaceDE w:val="0"/>
        <w:autoSpaceDN w:val="0"/>
        <w:bidi w:val="0"/>
        <w:adjustRightInd w:val="0"/>
        <w:spacing w:line="300" w:lineRule="auto"/>
        <w:jc w:val="left"/>
        <w:rPr>
          <w:rFonts w:ascii="宋体" w:cs="宋体"/>
          <w:color w:val="auto"/>
          <w:kern w:val="0"/>
          <w:sz w:val="24"/>
          <w:highlight w:val="none"/>
          <w:u w:val="none"/>
        </w:rPr>
      </w:pPr>
      <w:r>
        <w:rPr>
          <w:rFonts w:hint="eastAsia" w:ascii="宋体" w:cs="宋体"/>
          <w:color w:val="auto"/>
          <w:kern w:val="0"/>
          <w:sz w:val="24"/>
          <w:highlight w:val="none"/>
          <w:u w:val="none"/>
        </w:rPr>
        <w:t>单位地址：</w:t>
      </w:r>
    </w:p>
    <w:p>
      <w:pPr>
        <w:pageBreakBefore w:val="0"/>
        <w:kinsoku/>
        <w:wordWrap/>
        <w:overflowPunct/>
        <w:topLinePunct w:val="0"/>
        <w:autoSpaceDE w:val="0"/>
        <w:autoSpaceDN w:val="0"/>
        <w:bidi w:val="0"/>
        <w:adjustRightInd w:val="0"/>
        <w:spacing w:line="300" w:lineRule="auto"/>
        <w:jc w:val="left"/>
        <w:rPr>
          <w:rFonts w:ascii="宋体" w:cs="宋体"/>
          <w:color w:val="auto"/>
          <w:kern w:val="0"/>
          <w:sz w:val="24"/>
          <w:highlight w:val="none"/>
          <w:u w:val="none"/>
        </w:rPr>
      </w:pPr>
      <w:r>
        <w:rPr>
          <w:rFonts w:hint="eastAsia" w:ascii="宋体" w:cs="宋体"/>
          <w:color w:val="auto"/>
          <w:kern w:val="0"/>
          <w:sz w:val="24"/>
          <w:highlight w:val="none"/>
          <w:u w:val="none"/>
        </w:rPr>
        <w:t>法定代表人或其委托代理人：（签字或盖章）</w:t>
      </w:r>
    </w:p>
    <w:p>
      <w:pPr>
        <w:pageBreakBefore w:val="0"/>
        <w:kinsoku/>
        <w:wordWrap/>
        <w:overflowPunct/>
        <w:topLinePunct w:val="0"/>
        <w:autoSpaceDE w:val="0"/>
        <w:autoSpaceDN w:val="0"/>
        <w:bidi w:val="0"/>
        <w:adjustRightInd w:val="0"/>
        <w:spacing w:line="300" w:lineRule="auto"/>
        <w:jc w:val="left"/>
        <w:rPr>
          <w:rFonts w:ascii="宋体" w:cs="宋体"/>
          <w:color w:val="auto"/>
          <w:kern w:val="0"/>
          <w:sz w:val="24"/>
          <w:highlight w:val="none"/>
          <w:u w:val="none"/>
        </w:rPr>
      </w:pPr>
      <w:r>
        <w:rPr>
          <w:rFonts w:hint="eastAsia" w:ascii="宋体" w:cs="宋体"/>
          <w:color w:val="auto"/>
          <w:kern w:val="0"/>
          <w:sz w:val="24"/>
          <w:highlight w:val="none"/>
          <w:u w:val="none"/>
        </w:rPr>
        <w:t>邮政编码：电话：传真：</w:t>
      </w:r>
    </w:p>
    <w:p>
      <w:pPr>
        <w:pageBreakBefore w:val="0"/>
        <w:kinsoku/>
        <w:wordWrap/>
        <w:overflowPunct/>
        <w:topLinePunct w:val="0"/>
        <w:bidi w:val="0"/>
        <w:spacing w:line="300" w:lineRule="auto"/>
        <w:rPr>
          <w:rFonts w:ascii="宋体"/>
          <w:b/>
          <w:bCs/>
          <w:color w:val="auto"/>
          <w:sz w:val="24"/>
          <w:highlight w:val="none"/>
          <w:u w:val="none"/>
        </w:rPr>
      </w:pPr>
      <w:r>
        <w:rPr>
          <w:rFonts w:hint="eastAsia" w:ascii="宋体" w:cs="宋体"/>
          <w:color w:val="auto"/>
          <w:kern w:val="0"/>
          <w:szCs w:val="21"/>
          <w:highlight w:val="none"/>
          <w:u w:val="none"/>
        </w:rPr>
        <w:t>日期：</w:t>
      </w:r>
      <w:r>
        <w:rPr>
          <w:rFonts w:ascii="TimesNewRomanPSMT" w:hAnsi="TimesNewRomanPSMT" w:cs="TimesNewRomanPSMT"/>
          <w:color w:val="auto"/>
          <w:kern w:val="0"/>
          <w:szCs w:val="21"/>
          <w:highlight w:val="none"/>
          <w:u w:val="none"/>
        </w:rPr>
        <w:t>_____</w:t>
      </w:r>
      <w:r>
        <w:rPr>
          <w:rFonts w:hint="eastAsia" w:ascii="宋体" w:cs="宋体"/>
          <w:color w:val="auto"/>
          <w:kern w:val="0"/>
          <w:szCs w:val="21"/>
          <w:highlight w:val="none"/>
          <w:u w:val="none"/>
        </w:rPr>
        <w:t>年</w:t>
      </w:r>
      <w:r>
        <w:rPr>
          <w:rFonts w:ascii="TimesNewRomanPSMT" w:hAnsi="TimesNewRomanPSMT" w:cs="TimesNewRomanPSMT"/>
          <w:color w:val="auto"/>
          <w:kern w:val="0"/>
          <w:szCs w:val="21"/>
          <w:highlight w:val="none"/>
          <w:u w:val="none"/>
        </w:rPr>
        <w:t>____</w:t>
      </w:r>
      <w:r>
        <w:rPr>
          <w:rFonts w:hint="eastAsia" w:ascii="宋体" w:cs="宋体"/>
          <w:color w:val="auto"/>
          <w:kern w:val="0"/>
          <w:szCs w:val="21"/>
          <w:highlight w:val="none"/>
          <w:u w:val="none"/>
        </w:rPr>
        <w:t>月</w:t>
      </w:r>
      <w:r>
        <w:rPr>
          <w:rFonts w:ascii="TimesNewRomanPSMT" w:hAnsi="TimesNewRomanPSMT" w:cs="TimesNewRomanPSMT"/>
          <w:color w:val="auto"/>
          <w:kern w:val="0"/>
          <w:szCs w:val="21"/>
          <w:highlight w:val="none"/>
          <w:u w:val="none"/>
        </w:rPr>
        <w:t>____</w:t>
      </w:r>
      <w:r>
        <w:rPr>
          <w:rFonts w:hint="eastAsia" w:ascii="TimesNewRomanPSMT" w:hAnsi="TimesNewRomanPSMT" w:cs="TimesNewRomanPSMT"/>
          <w:color w:val="auto"/>
          <w:kern w:val="0"/>
          <w:szCs w:val="21"/>
          <w:highlight w:val="none"/>
          <w:u w:val="none"/>
        </w:rPr>
        <w:t>日</w:t>
      </w:r>
    </w:p>
    <w:p>
      <w:pPr>
        <w:pageBreakBefore w:val="0"/>
        <w:kinsoku/>
        <w:wordWrap/>
        <w:overflowPunct/>
        <w:topLinePunct w:val="0"/>
        <w:bidi w:val="0"/>
        <w:spacing w:line="300" w:lineRule="auto"/>
        <w:rPr>
          <w:rFonts w:ascii="宋体"/>
          <w:b/>
          <w:bCs/>
          <w:color w:val="auto"/>
          <w:sz w:val="24"/>
          <w:highlight w:val="none"/>
          <w:u w:val="none"/>
        </w:rPr>
      </w:pPr>
    </w:p>
    <w:p>
      <w:pPr>
        <w:pageBreakBefore w:val="0"/>
        <w:kinsoku/>
        <w:wordWrap/>
        <w:overflowPunct/>
        <w:topLinePunct w:val="0"/>
        <w:bidi w:val="0"/>
        <w:spacing w:line="300" w:lineRule="auto"/>
        <w:rPr>
          <w:rFonts w:ascii="宋体"/>
          <w:b/>
          <w:bCs/>
          <w:color w:val="auto"/>
          <w:sz w:val="24"/>
          <w:highlight w:val="none"/>
          <w:u w:val="none"/>
        </w:rPr>
      </w:pPr>
    </w:p>
    <w:p>
      <w:pPr>
        <w:pStyle w:val="9"/>
        <w:pageBreakBefore w:val="0"/>
        <w:kinsoku/>
        <w:wordWrap/>
        <w:overflowPunct/>
        <w:topLinePunct w:val="0"/>
        <w:bidi w:val="0"/>
        <w:spacing w:line="300" w:lineRule="auto"/>
        <w:rPr>
          <w:rFonts w:ascii="宋体"/>
          <w:b/>
          <w:bCs/>
          <w:color w:val="auto"/>
          <w:sz w:val="24"/>
          <w:highlight w:val="none"/>
          <w:u w:val="none"/>
        </w:rPr>
      </w:pPr>
    </w:p>
    <w:p>
      <w:pPr>
        <w:pStyle w:val="9"/>
        <w:pageBreakBefore w:val="0"/>
        <w:kinsoku/>
        <w:wordWrap/>
        <w:overflowPunct/>
        <w:topLinePunct w:val="0"/>
        <w:bidi w:val="0"/>
        <w:spacing w:line="300" w:lineRule="auto"/>
        <w:rPr>
          <w:rFonts w:ascii="宋体"/>
          <w:b/>
          <w:bCs/>
          <w:color w:val="auto"/>
          <w:sz w:val="24"/>
          <w:highlight w:val="none"/>
          <w:u w:val="none"/>
        </w:rPr>
      </w:pPr>
    </w:p>
    <w:p>
      <w:pPr>
        <w:pStyle w:val="9"/>
        <w:pageBreakBefore w:val="0"/>
        <w:kinsoku/>
        <w:wordWrap/>
        <w:overflowPunct/>
        <w:topLinePunct w:val="0"/>
        <w:bidi w:val="0"/>
        <w:spacing w:line="300" w:lineRule="auto"/>
        <w:rPr>
          <w:rFonts w:ascii="宋体"/>
          <w:b/>
          <w:bCs/>
          <w:color w:val="auto"/>
          <w:sz w:val="24"/>
          <w:highlight w:val="none"/>
          <w:u w:val="none"/>
        </w:rPr>
      </w:pPr>
    </w:p>
    <w:p>
      <w:pPr>
        <w:pStyle w:val="9"/>
        <w:pageBreakBefore w:val="0"/>
        <w:kinsoku/>
        <w:wordWrap/>
        <w:overflowPunct/>
        <w:topLinePunct w:val="0"/>
        <w:bidi w:val="0"/>
        <w:spacing w:line="300" w:lineRule="auto"/>
        <w:rPr>
          <w:rFonts w:ascii="宋体"/>
          <w:b/>
          <w:bCs/>
          <w:color w:val="auto"/>
          <w:sz w:val="24"/>
          <w:highlight w:val="none"/>
          <w:u w:val="none"/>
        </w:rPr>
      </w:pPr>
    </w:p>
    <w:p>
      <w:pPr>
        <w:pStyle w:val="9"/>
        <w:pageBreakBefore w:val="0"/>
        <w:kinsoku/>
        <w:wordWrap/>
        <w:overflowPunct/>
        <w:topLinePunct w:val="0"/>
        <w:bidi w:val="0"/>
        <w:spacing w:line="300" w:lineRule="auto"/>
        <w:rPr>
          <w:rFonts w:ascii="宋体"/>
          <w:b/>
          <w:bCs/>
          <w:color w:val="auto"/>
          <w:sz w:val="24"/>
          <w:highlight w:val="none"/>
          <w:u w:val="none"/>
        </w:rPr>
      </w:pPr>
    </w:p>
    <w:p>
      <w:pPr>
        <w:pStyle w:val="9"/>
        <w:pageBreakBefore w:val="0"/>
        <w:kinsoku/>
        <w:wordWrap/>
        <w:overflowPunct/>
        <w:topLinePunct w:val="0"/>
        <w:bidi w:val="0"/>
        <w:spacing w:line="300" w:lineRule="auto"/>
        <w:rPr>
          <w:rFonts w:ascii="宋体"/>
          <w:b/>
          <w:bCs/>
          <w:color w:val="auto"/>
          <w:sz w:val="24"/>
          <w:highlight w:val="none"/>
          <w:u w:val="none"/>
        </w:rPr>
      </w:pPr>
    </w:p>
    <w:p>
      <w:pPr>
        <w:pStyle w:val="9"/>
        <w:pageBreakBefore w:val="0"/>
        <w:kinsoku/>
        <w:wordWrap/>
        <w:overflowPunct/>
        <w:topLinePunct w:val="0"/>
        <w:bidi w:val="0"/>
        <w:spacing w:line="300" w:lineRule="auto"/>
        <w:rPr>
          <w:rFonts w:ascii="宋体"/>
          <w:b/>
          <w:bCs/>
          <w:color w:val="auto"/>
          <w:sz w:val="24"/>
          <w:highlight w:val="none"/>
          <w:u w:val="none"/>
        </w:rPr>
      </w:pPr>
    </w:p>
    <w:p>
      <w:pPr>
        <w:pStyle w:val="9"/>
        <w:pageBreakBefore w:val="0"/>
        <w:kinsoku/>
        <w:wordWrap/>
        <w:overflowPunct/>
        <w:topLinePunct w:val="0"/>
        <w:bidi w:val="0"/>
        <w:spacing w:line="300" w:lineRule="auto"/>
        <w:rPr>
          <w:rFonts w:ascii="宋体"/>
          <w:b/>
          <w:bCs/>
          <w:color w:val="auto"/>
          <w:sz w:val="24"/>
          <w:highlight w:val="none"/>
          <w:u w:val="none"/>
        </w:rPr>
      </w:pPr>
    </w:p>
    <w:p>
      <w:pPr>
        <w:pageBreakBefore w:val="0"/>
        <w:kinsoku/>
        <w:wordWrap/>
        <w:overflowPunct/>
        <w:topLinePunct w:val="0"/>
        <w:bidi w:val="0"/>
        <w:spacing w:line="300" w:lineRule="auto"/>
        <w:rPr>
          <w:rFonts w:ascii="宋体"/>
          <w:b/>
          <w:bCs/>
          <w:color w:val="auto"/>
          <w:sz w:val="24"/>
          <w:highlight w:val="none"/>
          <w:u w:val="none"/>
        </w:rPr>
      </w:pPr>
    </w:p>
    <w:p>
      <w:pPr>
        <w:pStyle w:val="2"/>
        <w:rPr>
          <w:rFonts w:ascii="宋体"/>
          <w:b/>
          <w:bCs/>
          <w:color w:val="auto"/>
          <w:sz w:val="24"/>
          <w:highlight w:val="none"/>
          <w:u w:val="none"/>
        </w:rPr>
      </w:pPr>
    </w:p>
    <w:p>
      <w:pPr>
        <w:pStyle w:val="2"/>
        <w:rPr>
          <w:rFonts w:ascii="宋体"/>
          <w:b/>
          <w:bCs/>
          <w:color w:val="auto"/>
          <w:sz w:val="24"/>
          <w:highlight w:val="none"/>
          <w:u w:val="none"/>
        </w:rPr>
      </w:pPr>
    </w:p>
    <w:p>
      <w:pPr>
        <w:pageBreakBefore w:val="0"/>
        <w:kinsoku/>
        <w:wordWrap/>
        <w:overflowPunct/>
        <w:topLinePunct w:val="0"/>
        <w:bidi w:val="0"/>
        <w:spacing w:line="300" w:lineRule="auto"/>
        <w:rPr>
          <w:rFonts w:ascii="仿宋_GB2312" w:hAnsi="宋体" w:eastAsia="仿宋_GB2312"/>
          <w:color w:val="auto"/>
          <w:sz w:val="24"/>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r>
        <w:rPr>
          <w:rFonts w:hint="eastAsia" w:eastAsia="黑体"/>
          <w:b/>
          <w:bCs/>
          <w:color w:val="auto"/>
          <w:sz w:val="28"/>
          <w:highlight w:val="none"/>
          <w:u w:val="none"/>
        </w:rPr>
        <w:t>附件6</w:t>
      </w:r>
    </w:p>
    <w:p>
      <w:pPr>
        <w:pageBreakBefore w:val="0"/>
        <w:kinsoku/>
        <w:wordWrap/>
        <w:overflowPunct/>
        <w:topLinePunct w:val="0"/>
        <w:bidi w:val="0"/>
        <w:spacing w:line="300" w:lineRule="auto"/>
        <w:jc w:val="center"/>
        <w:rPr>
          <w:rFonts w:eastAsia="黑体"/>
          <w:b/>
          <w:bCs/>
          <w:color w:val="auto"/>
          <w:sz w:val="28"/>
          <w:highlight w:val="none"/>
          <w:u w:val="none"/>
        </w:rPr>
      </w:pPr>
      <w:r>
        <w:rPr>
          <w:rFonts w:hint="eastAsia" w:eastAsia="黑体"/>
          <w:b/>
          <w:bCs/>
          <w:color w:val="auto"/>
          <w:sz w:val="28"/>
          <w:highlight w:val="none"/>
          <w:u w:val="none"/>
        </w:rPr>
        <w:t>相关条款偏离表（含商务偏离及技术偏离）</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060"/>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序号</w:t>
            </w:r>
          </w:p>
        </w:tc>
        <w:tc>
          <w:tcPr>
            <w:tcW w:w="4140" w:type="dxa"/>
            <w:gridSpan w:val="2"/>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招标文件条款</w:t>
            </w:r>
          </w:p>
        </w:tc>
        <w:tc>
          <w:tcPr>
            <w:tcW w:w="3554" w:type="dxa"/>
            <w:vMerge w:val="restart"/>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108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条款号</w:t>
            </w:r>
          </w:p>
        </w:tc>
        <w:tc>
          <w:tcPr>
            <w:tcW w:w="306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条款要求</w:t>
            </w:r>
          </w:p>
        </w:tc>
        <w:tc>
          <w:tcPr>
            <w:tcW w:w="3554"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1</w:t>
            </w:r>
          </w:p>
        </w:tc>
        <w:tc>
          <w:tcPr>
            <w:tcW w:w="108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06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554"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2</w:t>
            </w:r>
          </w:p>
        </w:tc>
        <w:tc>
          <w:tcPr>
            <w:tcW w:w="108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06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554"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3</w:t>
            </w:r>
          </w:p>
        </w:tc>
        <w:tc>
          <w:tcPr>
            <w:tcW w:w="108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06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554"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4</w:t>
            </w:r>
          </w:p>
        </w:tc>
        <w:tc>
          <w:tcPr>
            <w:tcW w:w="108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06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554"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5</w:t>
            </w:r>
          </w:p>
        </w:tc>
        <w:tc>
          <w:tcPr>
            <w:tcW w:w="108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06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554"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6</w:t>
            </w:r>
          </w:p>
        </w:tc>
        <w:tc>
          <w:tcPr>
            <w:tcW w:w="108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06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554"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7</w:t>
            </w:r>
          </w:p>
        </w:tc>
        <w:tc>
          <w:tcPr>
            <w:tcW w:w="108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06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554"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8</w:t>
            </w:r>
          </w:p>
        </w:tc>
        <w:tc>
          <w:tcPr>
            <w:tcW w:w="108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06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554"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9</w:t>
            </w:r>
          </w:p>
        </w:tc>
        <w:tc>
          <w:tcPr>
            <w:tcW w:w="108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06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554"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10</w:t>
            </w:r>
          </w:p>
        </w:tc>
        <w:tc>
          <w:tcPr>
            <w:tcW w:w="108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06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554"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r>
    </w:tbl>
    <w:p>
      <w:pPr>
        <w:pageBreakBefore w:val="0"/>
        <w:kinsoku/>
        <w:wordWrap/>
        <w:overflowPunct/>
        <w:topLinePunct w:val="0"/>
        <w:bidi w:val="0"/>
        <w:spacing w:line="300" w:lineRule="auto"/>
        <w:rPr>
          <w:rFonts w:ascii="宋体" w:hAnsi="宋体"/>
          <w:color w:val="auto"/>
          <w:sz w:val="24"/>
          <w:highlight w:val="none"/>
          <w:u w:val="none"/>
        </w:rPr>
      </w:pPr>
    </w:p>
    <w:p>
      <w:pPr>
        <w:pageBreakBefore w:val="0"/>
        <w:kinsoku/>
        <w:wordWrap/>
        <w:overflowPunct/>
        <w:topLinePunct w:val="0"/>
        <w:bidi w:val="0"/>
        <w:spacing w:line="300" w:lineRule="auto"/>
        <w:rPr>
          <w:rFonts w:ascii="仿宋_GB2312" w:hAnsi="宋体" w:eastAsia="仿宋_GB2312"/>
          <w:color w:val="auto"/>
          <w:sz w:val="24"/>
          <w:highlight w:val="none"/>
          <w:u w:val="none"/>
        </w:rPr>
      </w:pPr>
      <w:r>
        <w:rPr>
          <w:rFonts w:hint="eastAsia" w:ascii="仿宋_GB2312" w:hAnsi="宋体" w:eastAsia="仿宋_GB2312"/>
          <w:color w:val="auto"/>
          <w:sz w:val="24"/>
          <w:highlight w:val="none"/>
          <w:u w:val="none"/>
        </w:rPr>
        <w:t>投标人名称（盖章）：              法定代表人或授权代表签字：</w:t>
      </w:r>
    </w:p>
    <w:p>
      <w:pPr>
        <w:pageBreakBefore w:val="0"/>
        <w:kinsoku/>
        <w:wordWrap/>
        <w:overflowPunct/>
        <w:topLinePunct w:val="0"/>
        <w:bidi w:val="0"/>
        <w:spacing w:line="300" w:lineRule="auto"/>
        <w:rPr>
          <w:rFonts w:ascii="宋体" w:hAnsi="宋体"/>
          <w:color w:val="auto"/>
          <w:sz w:val="24"/>
          <w:highlight w:val="none"/>
          <w:u w:val="none"/>
        </w:rPr>
      </w:pPr>
    </w:p>
    <w:p>
      <w:pPr>
        <w:pageBreakBefore w:val="0"/>
        <w:kinsoku/>
        <w:wordWrap/>
        <w:overflowPunct/>
        <w:topLinePunct w:val="0"/>
        <w:bidi w:val="0"/>
        <w:spacing w:line="300" w:lineRule="auto"/>
        <w:rPr>
          <w:rFonts w:ascii="宋体" w:hAnsi="宋体"/>
          <w:color w:val="auto"/>
          <w:sz w:val="24"/>
          <w:highlight w:val="none"/>
          <w:u w:val="none"/>
        </w:rPr>
      </w:pPr>
    </w:p>
    <w:p>
      <w:pPr>
        <w:pageBreakBefore w:val="0"/>
        <w:kinsoku/>
        <w:wordWrap/>
        <w:overflowPunct/>
        <w:topLinePunct w:val="0"/>
        <w:bidi w:val="0"/>
        <w:spacing w:line="300" w:lineRule="auto"/>
        <w:rPr>
          <w:rFonts w:ascii="宋体" w:hAnsi="宋体"/>
          <w:color w:val="auto"/>
          <w:sz w:val="24"/>
          <w:highlight w:val="none"/>
          <w:u w:val="none"/>
        </w:rPr>
      </w:pPr>
      <w:r>
        <w:rPr>
          <w:rFonts w:hint="eastAsia" w:ascii="宋体" w:hAnsi="宋体"/>
          <w:b/>
          <w:color w:val="auto"/>
          <w:sz w:val="24"/>
          <w:highlight w:val="none"/>
          <w:u w:val="none"/>
        </w:rPr>
        <w:t>注：</w:t>
      </w:r>
      <w:r>
        <w:rPr>
          <w:rFonts w:hint="eastAsia" w:ascii="宋体" w:hAnsi="宋体"/>
          <w:color w:val="auto"/>
          <w:sz w:val="24"/>
          <w:highlight w:val="none"/>
          <w:u w:val="none"/>
        </w:rPr>
        <w:t>为避免歧义，无偏离也应要提报该表，并注明“无”字。如无该表则即使在其它部分已反映，将也被视为“无偏离”。</w:t>
      </w:r>
    </w:p>
    <w:p>
      <w:pPr>
        <w:pageBreakBefore w:val="0"/>
        <w:kinsoku/>
        <w:wordWrap/>
        <w:overflowPunct/>
        <w:topLinePunct w:val="0"/>
        <w:bidi w:val="0"/>
        <w:spacing w:line="300" w:lineRule="auto"/>
        <w:rPr>
          <w:rFonts w:ascii="宋体" w:hAnsi="宋体"/>
          <w:color w:val="auto"/>
          <w:sz w:val="24"/>
          <w:highlight w:val="none"/>
          <w:u w:val="none"/>
        </w:rPr>
      </w:pPr>
    </w:p>
    <w:p>
      <w:pPr>
        <w:pStyle w:val="48"/>
        <w:pageBreakBefore w:val="0"/>
        <w:kinsoku/>
        <w:wordWrap/>
        <w:overflowPunct/>
        <w:topLinePunct w:val="0"/>
        <w:bidi w:val="0"/>
        <w:spacing w:line="300" w:lineRule="auto"/>
        <w:ind w:firstLine="0" w:firstLineChars="0"/>
        <w:rPr>
          <w:color w:val="auto"/>
          <w:highlight w:val="none"/>
          <w:u w:val="none"/>
        </w:rPr>
      </w:pPr>
    </w:p>
    <w:p>
      <w:pPr>
        <w:pStyle w:val="48"/>
        <w:pageBreakBefore w:val="0"/>
        <w:kinsoku/>
        <w:wordWrap/>
        <w:overflowPunct/>
        <w:topLinePunct w:val="0"/>
        <w:bidi w:val="0"/>
        <w:spacing w:line="300" w:lineRule="auto"/>
        <w:ind w:firstLine="0" w:firstLineChars="0"/>
        <w:rPr>
          <w:color w:val="auto"/>
          <w:highlight w:val="none"/>
          <w:u w:val="none"/>
        </w:rPr>
      </w:pPr>
    </w:p>
    <w:p>
      <w:pPr>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ageBreakBefore w:val="0"/>
        <w:kinsoku/>
        <w:wordWrap/>
        <w:overflowPunct/>
        <w:topLinePunct w:val="0"/>
        <w:bidi w:val="0"/>
        <w:spacing w:line="300" w:lineRule="auto"/>
        <w:rPr>
          <w:rFonts w:eastAsia="黑体"/>
          <w:b/>
          <w:bCs/>
          <w:color w:val="auto"/>
          <w:sz w:val="28"/>
          <w:highlight w:val="none"/>
          <w:u w:val="none"/>
        </w:rPr>
      </w:pPr>
      <w:r>
        <w:rPr>
          <w:rFonts w:hint="eastAsia" w:eastAsia="黑体"/>
          <w:b/>
          <w:bCs/>
          <w:color w:val="auto"/>
          <w:sz w:val="28"/>
          <w:highlight w:val="none"/>
          <w:u w:val="none"/>
        </w:rPr>
        <w:t xml:space="preserve">附件7 </w:t>
      </w:r>
    </w:p>
    <w:p>
      <w:pPr>
        <w:pageBreakBefore w:val="0"/>
        <w:kinsoku/>
        <w:wordWrap/>
        <w:overflowPunct/>
        <w:topLinePunct w:val="0"/>
        <w:bidi w:val="0"/>
        <w:spacing w:line="300" w:lineRule="auto"/>
        <w:jc w:val="center"/>
        <w:rPr>
          <w:rFonts w:eastAsia="黑体"/>
          <w:b/>
          <w:bCs/>
          <w:color w:val="auto"/>
          <w:sz w:val="28"/>
          <w:highlight w:val="none"/>
          <w:u w:val="none"/>
        </w:rPr>
      </w:pPr>
      <w:r>
        <w:rPr>
          <w:rFonts w:hint="eastAsia" w:eastAsia="黑体"/>
          <w:b/>
          <w:bCs/>
          <w:color w:val="auto"/>
          <w:sz w:val="28"/>
          <w:highlight w:val="none"/>
          <w:u w:val="none"/>
        </w:rPr>
        <w:t>经审计的近三年的财务报表</w:t>
      </w:r>
    </w:p>
    <w:p>
      <w:pPr>
        <w:pageBreakBefore w:val="0"/>
        <w:kinsoku/>
        <w:wordWrap/>
        <w:overflowPunct/>
        <w:topLinePunct w:val="0"/>
        <w:bidi w:val="0"/>
        <w:spacing w:line="300" w:lineRule="auto"/>
        <w:jc w:val="right"/>
        <w:rPr>
          <w:rFonts w:ascii="宋体"/>
          <w:bCs/>
          <w:color w:val="auto"/>
          <w:szCs w:val="21"/>
          <w:highlight w:val="none"/>
          <w:u w:val="none"/>
        </w:rPr>
      </w:pPr>
      <w:r>
        <w:rPr>
          <w:rFonts w:hint="eastAsia" w:ascii="宋体" w:hAnsi="宋体" w:cs="宋体"/>
          <w:color w:val="auto"/>
          <w:szCs w:val="21"/>
          <w:highlight w:val="none"/>
          <w:u w:val="none"/>
          <w:lang w:bidi="ar"/>
        </w:rPr>
        <w:t>单位：万元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346"/>
        <w:gridCol w:w="1715"/>
        <w:gridCol w:w="1715"/>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1"/>
                <w:highlight w:val="none"/>
                <w:u w:val="none"/>
              </w:rPr>
            </w:pPr>
            <w:r>
              <w:rPr>
                <w:rFonts w:hint="eastAsia"/>
                <w:color w:val="auto"/>
                <w:szCs w:val="21"/>
                <w:highlight w:val="none"/>
                <w:u w:val="none"/>
                <w:lang w:bidi="ar"/>
              </w:rPr>
              <w:t>序号</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1"/>
                <w:highlight w:val="none"/>
                <w:u w:val="none"/>
              </w:rPr>
            </w:pPr>
            <w:r>
              <w:rPr>
                <w:rFonts w:hint="eastAsia"/>
                <w:color w:val="auto"/>
                <w:szCs w:val="21"/>
                <w:highlight w:val="none"/>
                <w:u w:val="none"/>
                <w:lang w:bidi="ar"/>
              </w:rPr>
              <w:t>名称</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default"/>
                <w:color w:val="auto"/>
                <w:szCs w:val="21"/>
                <w:highlight w:val="none"/>
                <w:u w:val="none"/>
                <w:lang w:bidi="ar"/>
              </w:rPr>
              <w:t>1</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eastAsia"/>
                <w:color w:val="auto"/>
                <w:szCs w:val="21"/>
                <w:highlight w:val="none"/>
                <w:u w:val="none"/>
                <w:lang w:bidi="ar"/>
              </w:rPr>
              <w:t>注册资本</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default"/>
                <w:color w:val="auto"/>
                <w:szCs w:val="21"/>
                <w:highlight w:val="none"/>
                <w:u w:val="none"/>
                <w:lang w:bidi="ar"/>
              </w:rPr>
              <w:t>2</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eastAsia"/>
                <w:color w:val="auto"/>
                <w:szCs w:val="21"/>
                <w:highlight w:val="none"/>
                <w:u w:val="none"/>
                <w:lang w:bidi="ar"/>
              </w:rPr>
              <w:t>实收资本</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default"/>
                <w:color w:val="auto"/>
                <w:szCs w:val="21"/>
                <w:highlight w:val="none"/>
                <w:u w:val="none"/>
                <w:lang w:bidi="ar"/>
              </w:rPr>
              <w:t>3</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eastAsia"/>
                <w:color w:val="auto"/>
                <w:szCs w:val="21"/>
                <w:highlight w:val="none"/>
                <w:u w:val="none"/>
                <w:lang w:bidi="ar"/>
              </w:rPr>
              <w:t>全部资产总值</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default"/>
                <w:color w:val="auto"/>
                <w:szCs w:val="21"/>
                <w:highlight w:val="none"/>
                <w:u w:val="none"/>
                <w:lang w:bidi="ar"/>
              </w:rPr>
              <w:t>4</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eastAsia"/>
                <w:color w:val="auto"/>
                <w:szCs w:val="21"/>
                <w:highlight w:val="none"/>
                <w:u w:val="none"/>
                <w:lang w:bidi="ar"/>
              </w:rPr>
              <w:t>固定资产总值</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default"/>
                <w:color w:val="auto"/>
                <w:szCs w:val="21"/>
                <w:highlight w:val="none"/>
                <w:u w:val="none"/>
                <w:lang w:bidi="ar"/>
              </w:rPr>
              <w:t>5</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eastAsia"/>
                <w:color w:val="auto"/>
                <w:szCs w:val="21"/>
                <w:highlight w:val="none"/>
                <w:u w:val="none"/>
                <w:lang w:bidi="ar"/>
              </w:rPr>
              <w:t>流动资产</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default"/>
                <w:color w:val="auto"/>
                <w:szCs w:val="21"/>
                <w:highlight w:val="none"/>
                <w:u w:val="none"/>
                <w:lang w:bidi="ar"/>
              </w:rPr>
              <w:t>6</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eastAsia"/>
                <w:color w:val="auto"/>
                <w:szCs w:val="21"/>
                <w:highlight w:val="none"/>
                <w:u w:val="none"/>
                <w:lang w:bidi="ar"/>
              </w:rPr>
              <w:t>平均流动资产余额</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default"/>
                <w:color w:val="auto"/>
                <w:szCs w:val="21"/>
                <w:highlight w:val="none"/>
                <w:u w:val="none"/>
                <w:lang w:bidi="ar"/>
              </w:rPr>
              <w:t>7</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eastAsia"/>
                <w:color w:val="auto"/>
                <w:szCs w:val="21"/>
                <w:highlight w:val="none"/>
                <w:u w:val="none"/>
                <w:lang w:bidi="ar"/>
              </w:rPr>
              <w:t>速动资产</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default"/>
                <w:color w:val="auto"/>
                <w:szCs w:val="21"/>
                <w:highlight w:val="none"/>
                <w:u w:val="none"/>
                <w:lang w:bidi="ar"/>
              </w:rPr>
              <w:t>8</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eastAsia"/>
                <w:color w:val="auto"/>
                <w:szCs w:val="21"/>
                <w:highlight w:val="none"/>
                <w:u w:val="none"/>
                <w:lang w:bidi="ar"/>
              </w:rPr>
              <w:t>流动负债</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default"/>
                <w:color w:val="auto"/>
                <w:szCs w:val="21"/>
                <w:highlight w:val="none"/>
                <w:u w:val="none"/>
                <w:lang w:bidi="ar"/>
              </w:rPr>
              <w:t>9</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eastAsia"/>
                <w:color w:val="auto"/>
                <w:szCs w:val="21"/>
                <w:highlight w:val="none"/>
                <w:u w:val="none"/>
                <w:lang w:bidi="ar"/>
              </w:rPr>
              <w:t>年末所有者权益</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default"/>
                <w:color w:val="auto"/>
                <w:szCs w:val="21"/>
                <w:highlight w:val="none"/>
                <w:u w:val="none"/>
                <w:lang w:bidi="ar"/>
              </w:rPr>
              <w:t>10</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eastAsia"/>
                <w:color w:val="auto"/>
                <w:szCs w:val="21"/>
                <w:highlight w:val="none"/>
                <w:u w:val="none"/>
                <w:lang w:bidi="ar"/>
              </w:rPr>
              <w:t>营业收入</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default"/>
                <w:color w:val="auto"/>
                <w:szCs w:val="21"/>
                <w:highlight w:val="none"/>
                <w:u w:val="none"/>
                <w:lang w:bidi="ar"/>
              </w:rPr>
              <w:t>11</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eastAsia"/>
                <w:color w:val="auto"/>
                <w:szCs w:val="21"/>
                <w:highlight w:val="none"/>
                <w:u w:val="none"/>
                <w:lang w:bidi="ar"/>
              </w:rPr>
              <w:t>净利润</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default"/>
                <w:color w:val="auto"/>
                <w:szCs w:val="21"/>
                <w:highlight w:val="none"/>
                <w:u w:val="none"/>
                <w:lang w:bidi="ar"/>
              </w:rPr>
              <w:t>12</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eastAsia"/>
                <w:color w:val="auto"/>
                <w:szCs w:val="21"/>
                <w:highlight w:val="none"/>
                <w:u w:val="none"/>
                <w:lang w:bidi="ar"/>
              </w:rPr>
              <w:t>现金净流量</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default"/>
                <w:color w:val="auto"/>
                <w:szCs w:val="21"/>
                <w:highlight w:val="none"/>
                <w:u w:val="none"/>
                <w:lang w:bidi="ar"/>
              </w:rPr>
              <w:t>13</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eastAsia"/>
                <w:color w:val="auto"/>
                <w:szCs w:val="21"/>
                <w:highlight w:val="none"/>
                <w:u w:val="none"/>
                <w:lang w:bidi="ar"/>
              </w:rPr>
              <w:t>流动比率</w:t>
            </w:r>
            <w:r>
              <w:rPr>
                <w:rFonts w:hint="default"/>
                <w:color w:val="auto"/>
                <w:szCs w:val="21"/>
                <w:highlight w:val="none"/>
                <w:u w:val="none"/>
                <w:lang w:bidi="ar"/>
              </w:rPr>
              <w:t>%</w:t>
            </w:r>
          </w:p>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eastAsia"/>
                <w:color w:val="auto"/>
                <w:szCs w:val="21"/>
                <w:highlight w:val="none"/>
                <w:u w:val="none"/>
                <w:lang w:bidi="ar"/>
              </w:rPr>
              <w:t>（流动资产</w:t>
            </w:r>
            <w:r>
              <w:rPr>
                <w:rFonts w:hint="default"/>
                <w:color w:val="auto"/>
                <w:szCs w:val="21"/>
                <w:highlight w:val="none"/>
                <w:u w:val="none"/>
                <w:lang w:bidi="ar"/>
              </w:rPr>
              <w:t>/</w:t>
            </w:r>
            <w:r>
              <w:rPr>
                <w:rFonts w:hint="eastAsia" w:ascii="宋体" w:hAnsi="宋体" w:cs="宋体"/>
                <w:color w:val="auto"/>
                <w:szCs w:val="21"/>
                <w:highlight w:val="none"/>
                <w:u w:val="none"/>
                <w:lang w:bidi="ar"/>
              </w:rPr>
              <w:t>流动负债）</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default"/>
                <w:color w:val="auto"/>
                <w:szCs w:val="21"/>
                <w:highlight w:val="none"/>
                <w:u w:val="none"/>
                <w:lang w:bidi="ar"/>
              </w:rPr>
              <w:t>14</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eastAsia"/>
                <w:color w:val="auto"/>
                <w:szCs w:val="21"/>
                <w:highlight w:val="none"/>
                <w:u w:val="none"/>
                <w:lang w:bidi="ar"/>
              </w:rPr>
              <w:t>速动比率</w:t>
            </w:r>
            <w:r>
              <w:rPr>
                <w:rFonts w:hint="default"/>
                <w:color w:val="auto"/>
                <w:szCs w:val="21"/>
                <w:highlight w:val="none"/>
                <w:u w:val="none"/>
                <w:lang w:bidi="ar"/>
              </w:rPr>
              <w:t>%</w:t>
            </w:r>
          </w:p>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eastAsia"/>
                <w:color w:val="auto"/>
                <w:szCs w:val="21"/>
                <w:highlight w:val="none"/>
                <w:u w:val="none"/>
                <w:lang w:bidi="ar"/>
              </w:rPr>
              <w:t>（速动资产</w:t>
            </w:r>
            <w:r>
              <w:rPr>
                <w:rFonts w:hint="default"/>
                <w:color w:val="auto"/>
                <w:szCs w:val="21"/>
                <w:highlight w:val="none"/>
                <w:u w:val="none"/>
                <w:lang w:bidi="ar"/>
              </w:rPr>
              <w:t>/</w:t>
            </w:r>
            <w:r>
              <w:rPr>
                <w:rFonts w:hint="eastAsia" w:ascii="宋体" w:hAnsi="宋体" w:cs="宋体"/>
                <w:color w:val="auto"/>
                <w:szCs w:val="21"/>
                <w:highlight w:val="none"/>
                <w:u w:val="none"/>
                <w:lang w:bidi="ar"/>
              </w:rPr>
              <w:t>流动负债）</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default"/>
                <w:color w:val="auto"/>
                <w:szCs w:val="21"/>
                <w:highlight w:val="none"/>
                <w:u w:val="none"/>
                <w:lang w:bidi="ar"/>
              </w:rPr>
              <w:t>15</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eastAsia"/>
                <w:color w:val="auto"/>
                <w:szCs w:val="21"/>
                <w:highlight w:val="none"/>
                <w:u w:val="none"/>
                <w:lang w:bidi="ar"/>
              </w:rPr>
              <w:t>资产负债率</w:t>
            </w:r>
            <w:r>
              <w:rPr>
                <w:rFonts w:hint="default"/>
                <w:color w:val="auto"/>
                <w:szCs w:val="21"/>
                <w:highlight w:val="none"/>
                <w:u w:val="none"/>
                <w:lang w:bidi="ar"/>
              </w:rPr>
              <w:t>%</w:t>
            </w:r>
          </w:p>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eastAsia"/>
                <w:color w:val="auto"/>
                <w:szCs w:val="21"/>
                <w:highlight w:val="none"/>
                <w:u w:val="none"/>
                <w:lang w:bidi="ar"/>
              </w:rPr>
              <w:t>（总负债</w:t>
            </w:r>
            <w:r>
              <w:rPr>
                <w:rFonts w:hint="default"/>
                <w:color w:val="auto"/>
                <w:szCs w:val="21"/>
                <w:highlight w:val="none"/>
                <w:u w:val="none"/>
                <w:lang w:bidi="ar"/>
              </w:rPr>
              <w:t>/</w:t>
            </w:r>
            <w:r>
              <w:rPr>
                <w:rFonts w:hint="eastAsia" w:ascii="宋体" w:hAnsi="宋体" w:cs="宋体"/>
                <w:color w:val="auto"/>
                <w:szCs w:val="21"/>
                <w:highlight w:val="none"/>
                <w:u w:val="none"/>
                <w:lang w:bidi="ar"/>
              </w:rPr>
              <w:t>总资产）</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default"/>
                <w:color w:val="auto"/>
                <w:szCs w:val="21"/>
                <w:highlight w:val="none"/>
                <w:u w:val="none"/>
                <w:lang w:bidi="ar"/>
              </w:rPr>
              <w:t>16</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eastAsia"/>
                <w:color w:val="auto"/>
                <w:szCs w:val="21"/>
                <w:highlight w:val="none"/>
                <w:u w:val="none"/>
                <w:lang w:bidi="ar"/>
              </w:rPr>
              <w:t>应收账款周转率</w:t>
            </w:r>
            <w:r>
              <w:rPr>
                <w:rFonts w:hint="default"/>
                <w:color w:val="auto"/>
                <w:szCs w:val="21"/>
                <w:highlight w:val="none"/>
                <w:u w:val="none"/>
                <w:lang w:bidi="ar"/>
              </w:rPr>
              <w:t>%</w:t>
            </w:r>
          </w:p>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eastAsia"/>
                <w:color w:val="auto"/>
                <w:szCs w:val="21"/>
                <w:highlight w:val="none"/>
                <w:u w:val="none"/>
                <w:lang w:bidi="ar"/>
              </w:rPr>
              <w:t>（收入总额</w:t>
            </w:r>
            <w:r>
              <w:rPr>
                <w:rFonts w:hint="default"/>
                <w:color w:val="auto"/>
                <w:szCs w:val="21"/>
                <w:highlight w:val="none"/>
                <w:u w:val="none"/>
                <w:lang w:bidi="ar"/>
              </w:rPr>
              <w:t>/</w:t>
            </w:r>
            <w:r>
              <w:rPr>
                <w:rFonts w:hint="eastAsia" w:ascii="宋体" w:hAnsi="宋体" w:cs="宋体"/>
                <w:color w:val="auto"/>
                <w:szCs w:val="21"/>
                <w:highlight w:val="none"/>
                <w:u w:val="none"/>
                <w:lang w:bidi="ar"/>
              </w:rPr>
              <w:t>平均应收账款）</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default"/>
                <w:color w:val="auto"/>
                <w:szCs w:val="21"/>
                <w:highlight w:val="none"/>
                <w:u w:val="none"/>
                <w:lang w:bidi="ar"/>
              </w:rPr>
              <w:t>17</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eastAsia"/>
                <w:color w:val="auto"/>
                <w:szCs w:val="21"/>
                <w:highlight w:val="none"/>
                <w:u w:val="none"/>
                <w:lang w:bidi="ar"/>
              </w:rPr>
              <w:t>存货周转率</w:t>
            </w:r>
            <w:r>
              <w:rPr>
                <w:rFonts w:hint="default"/>
                <w:color w:val="auto"/>
                <w:szCs w:val="21"/>
                <w:highlight w:val="none"/>
                <w:u w:val="none"/>
                <w:lang w:bidi="ar"/>
              </w:rPr>
              <w:t>%</w:t>
            </w:r>
          </w:p>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eastAsia"/>
                <w:color w:val="auto"/>
                <w:szCs w:val="21"/>
                <w:highlight w:val="none"/>
                <w:u w:val="none"/>
                <w:lang w:bidi="ar"/>
              </w:rPr>
              <w:t>（销售成本</w:t>
            </w:r>
            <w:r>
              <w:rPr>
                <w:rFonts w:hint="default"/>
                <w:color w:val="auto"/>
                <w:szCs w:val="21"/>
                <w:highlight w:val="none"/>
                <w:u w:val="none"/>
                <w:lang w:bidi="ar"/>
              </w:rPr>
              <w:t>/</w:t>
            </w:r>
            <w:r>
              <w:rPr>
                <w:rFonts w:hint="eastAsia" w:ascii="宋体" w:hAnsi="宋体" w:cs="宋体"/>
                <w:color w:val="auto"/>
                <w:szCs w:val="21"/>
                <w:highlight w:val="none"/>
                <w:u w:val="none"/>
                <w:lang w:bidi="ar"/>
              </w:rPr>
              <w:t>平均存货）</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default"/>
                <w:color w:val="auto"/>
                <w:szCs w:val="21"/>
                <w:highlight w:val="none"/>
                <w:u w:val="none"/>
                <w:lang w:bidi="ar"/>
              </w:rPr>
              <w:t>18</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eastAsia"/>
                <w:color w:val="auto"/>
                <w:szCs w:val="21"/>
                <w:highlight w:val="none"/>
                <w:u w:val="none"/>
                <w:lang w:bidi="ar"/>
              </w:rPr>
              <w:t>资产报酬率</w:t>
            </w:r>
            <w:r>
              <w:rPr>
                <w:rFonts w:hint="default"/>
                <w:color w:val="auto"/>
                <w:szCs w:val="21"/>
                <w:highlight w:val="none"/>
                <w:u w:val="none"/>
                <w:lang w:bidi="ar"/>
              </w:rPr>
              <w:t>%</w:t>
            </w:r>
          </w:p>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eastAsia"/>
                <w:color w:val="auto"/>
                <w:szCs w:val="21"/>
                <w:highlight w:val="none"/>
                <w:u w:val="none"/>
                <w:lang w:bidi="ar"/>
              </w:rPr>
              <w:t>（收入</w:t>
            </w:r>
            <w:r>
              <w:rPr>
                <w:rFonts w:hint="default"/>
                <w:color w:val="auto"/>
                <w:szCs w:val="21"/>
                <w:highlight w:val="none"/>
                <w:u w:val="none"/>
                <w:lang w:bidi="ar"/>
              </w:rPr>
              <w:t>/</w:t>
            </w:r>
            <w:r>
              <w:rPr>
                <w:rFonts w:hint="eastAsia" w:ascii="宋体" w:hAnsi="宋体" w:cs="宋体"/>
                <w:color w:val="auto"/>
                <w:szCs w:val="21"/>
                <w:highlight w:val="none"/>
                <w:u w:val="none"/>
                <w:lang w:bidi="ar"/>
              </w:rPr>
              <w:t>资产）</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default"/>
                <w:color w:val="auto"/>
                <w:szCs w:val="21"/>
                <w:highlight w:val="none"/>
                <w:u w:val="none"/>
                <w:lang w:bidi="ar"/>
              </w:rPr>
              <w:t>19</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eastAsia"/>
                <w:color w:val="auto"/>
                <w:szCs w:val="21"/>
                <w:highlight w:val="none"/>
                <w:u w:val="none"/>
                <w:lang w:bidi="ar"/>
              </w:rPr>
              <w:t>净资产收益率</w:t>
            </w:r>
          </w:p>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r>
              <w:rPr>
                <w:rFonts w:hint="eastAsia"/>
                <w:color w:val="auto"/>
                <w:szCs w:val="21"/>
                <w:highlight w:val="none"/>
                <w:u w:val="none"/>
                <w:lang w:bidi="ar"/>
              </w:rPr>
              <w:t>（净利润</w:t>
            </w:r>
            <w:r>
              <w:rPr>
                <w:rFonts w:hint="default"/>
                <w:color w:val="auto"/>
                <w:szCs w:val="21"/>
                <w:highlight w:val="none"/>
                <w:u w:val="none"/>
                <w:lang w:bidi="ar"/>
              </w:rPr>
              <w:t>/</w:t>
            </w:r>
            <w:r>
              <w:rPr>
                <w:rFonts w:hint="eastAsia" w:ascii="宋体" w:hAnsi="宋体" w:cs="宋体"/>
                <w:color w:val="auto"/>
                <w:szCs w:val="21"/>
                <w:highlight w:val="none"/>
                <w:u w:val="none"/>
                <w:lang w:bidi="ar"/>
              </w:rPr>
              <w:t>平均净资产）</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1"/>
                <w:highlight w:val="none"/>
                <w:u w:val="none"/>
              </w:rPr>
            </w:pPr>
          </w:p>
        </w:tc>
      </w:tr>
    </w:tbl>
    <w:p>
      <w:pPr>
        <w:pageBreakBefore w:val="0"/>
        <w:kinsoku/>
        <w:wordWrap/>
        <w:overflowPunct/>
        <w:topLinePunct w:val="0"/>
        <w:autoSpaceDE w:val="0"/>
        <w:autoSpaceDN w:val="0"/>
        <w:bidi w:val="0"/>
        <w:spacing w:line="300" w:lineRule="auto"/>
        <w:ind w:right="-5"/>
        <w:textAlignment w:val="bottom"/>
        <w:rPr>
          <w:rFonts w:ascii="宋体"/>
          <w:color w:val="auto"/>
          <w:szCs w:val="21"/>
          <w:highlight w:val="none"/>
          <w:u w:val="none"/>
        </w:rPr>
      </w:pPr>
      <w:r>
        <w:rPr>
          <w:rFonts w:hint="eastAsia" w:ascii="宋体" w:hAnsi="宋体" w:cs="宋体"/>
          <w:color w:val="auto"/>
          <w:szCs w:val="21"/>
          <w:highlight w:val="none"/>
          <w:u w:val="none"/>
          <w:lang w:bidi="ar"/>
        </w:rPr>
        <w:t>注：投标人应同时提供近三年经审计的财务报表或近三年的财务资料</w:t>
      </w:r>
    </w:p>
    <w:p>
      <w:pPr>
        <w:pageBreakBefore w:val="0"/>
        <w:kinsoku/>
        <w:wordWrap/>
        <w:overflowPunct/>
        <w:topLinePunct w:val="0"/>
        <w:bidi w:val="0"/>
        <w:spacing w:line="300" w:lineRule="auto"/>
        <w:ind w:firstLine="3638" w:firstLineChars="1700"/>
        <w:rPr>
          <w:rFonts w:ascii="宋体" w:eastAsia="Times New Roman" w:cs="宋体"/>
          <w:b/>
          <w:color w:val="auto"/>
          <w:kern w:val="0"/>
          <w:sz w:val="24"/>
          <w:szCs w:val="24"/>
          <w:highlight w:val="none"/>
          <w:u w:val="none"/>
        </w:rPr>
      </w:pPr>
      <w:r>
        <w:rPr>
          <w:rFonts w:hint="eastAsia" w:ascii="宋体" w:hAnsi="宋体" w:cs="宋体"/>
          <w:color w:val="auto"/>
          <w:szCs w:val="21"/>
          <w:highlight w:val="none"/>
          <w:u w:val="none"/>
          <w:lang w:bidi="ar"/>
        </w:rPr>
        <w:t>投标人代表（签字）：</w:t>
      </w:r>
      <w:r>
        <w:rPr>
          <w:rFonts w:hint="eastAsia" w:ascii="宋体"/>
          <w:color w:val="auto"/>
          <w:szCs w:val="21"/>
          <w:highlight w:val="none"/>
          <w:u w:val="none"/>
          <w:lang w:bidi="ar"/>
        </w:rPr>
        <w:t xml:space="preserve">             </w:t>
      </w:r>
    </w:p>
    <w:p>
      <w:pPr>
        <w:pageBreakBefore w:val="0"/>
        <w:kinsoku/>
        <w:wordWrap/>
        <w:overflowPunct/>
        <w:topLinePunct w:val="0"/>
        <w:bidi w:val="0"/>
        <w:spacing w:line="300" w:lineRule="auto"/>
        <w:rPr>
          <w:rFonts w:hint="eastAsia" w:eastAsia="黑体"/>
          <w:b/>
          <w:bCs/>
          <w:color w:val="auto"/>
          <w:sz w:val="28"/>
          <w:highlight w:val="none"/>
          <w:u w:val="none"/>
        </w:rPr>
      </w:pPr>
      <w:r>
        <w:rPr>
          <w:rFonts w:hint="eastAsia" w:eastAsia="黑体"/>
          <w:b/>
          <w:bCs/>
          <w:color w:val="auto"/>
          <w:sz w:val="28"/>
          <w:highlight w:val="none"/>
          <w:u w:val="none"/>
        </w:rPr>
        <w:t xml:space="preserve">附件8 </w:t>
      </w:r>
    </w:p>
    <w:p>
      <w:pPr>
        <w:pageBreakBefore w:val="0"/>
        <w:kinsoku/>
        <w:wordWrap/>
        <w:overflowPunct/>
        <w:topLinePunct w:val="0"/>
        <w:bidi w:val="0"/>
        <w:spacing w:line="300" w:lineRule="auto"/>
        <w:jc w:val="center"/>
        <w:rPr>
          <w:color w:val="auto"/>
          <w:highlight w:val="none"/>
          <w:u w:val="none"/>
        </w:rPr>
      </w:pPr>
      <w:r>
        <w:rPr>
          <w:rFonts w:hint="eastAsia" w:eastAsia="黑体"/>
          <w:b/>
          <w:bCs/>
          <w:color w:val="auto"/>
          <w:sz w:val="28"/>
          <w:highlight w:val="none"/>
          <w:u w:val="none"/>
        </w:rPr>
        <w:t>业绩表</w:t>
      </w:r>
    </w:p>
    <w:p>
      <w:pPr>
        <w:pStyle w:val="8"/>
        <w:pageBreakBefore w:val="0"/>
        <w:widowControl/>
        <w:kinsoku/>
        <w:wordWrap/>
        <w:overflowPunct/>
        <w:topLinePunct w:val="0"/>
        <w:bidi w:val="0"/>
        <w:spacing w:before="100" w:beforeAutospacing="1" w:line="300" w:lineRule="auto"/>
        <w:rPr>
          <w:color w:val="auto"/>
          <w:sz w:val="24"/>
          <w:szCs w:val="24"/>
          <w:highlight w:val="none"/>
          <w:u w:val="none"/>
        </w:rPr>
      </w:pPr>
      <w:r>
        <w:rPr>
          <w:rFonts w:hint="eastAsia" w:ascii="宋体" w:hAnsi="宋体" w:cs="宋体"/>
          <w:color w:val="auto"/>
          <w:sz w:val="24"/>
          <w:szCs w:val="24"/>
          <w:highlight w:val="none"/>
          <w:u w:val="none"/>
        </w:rPr>
        <w:t>近三年承揽同类或相似项目和服务业绩，包括已收到中标通知但尚未签订合同的项目（提供相关合同的复印件）</w:t>
      </w:r>
    </w:p>
    <w:p>
      <w:pPr>
        <w:pageBreakBefore w:val="0"/>
        <w:kinsoku/>
        <w:wordWrap/>
        <w:overflowPunct/>
        <w:topLinePunct w:val="0"/>
        <w:bidi w:val="0"/>
        <w:spacing w:line="300" w:lineRule="auto"/>
        <w:jc w:val="center"/>
        <w:rPr>
          <w:rFonts w:ascii="宋体"/>
          <w:color w:val="auto"/>
          <w:sz w:val="28"/>
          <w:szCs w:val="28"/>
          <w:highlight w:val="none"/>
          <w:u w:val="none"/>
        </w:rPr>
      </w:pPr>
      <w:r>
        <w:rPr>
          <w:rFonts w:hint="eastAsia" w:ascii="宋体"/>
          <w:color w:val="auto"/>
          <w:sz w:val="28"/>
          <w:szCs w:val="28"/>
          <w:highlight w:val="none"/>
          <w:u w:val="none"/>
          <w:lang w:bidi="ar"/>
        </w:rPr>
        <w:t xml:space="preserve"> </w:t>
      </w:r>
    </w:p>
    <w:tbl>
      <w:tblPr>
        <w:tblStyle w:val="20"/>
        <w:tblW w:w="0" w:type="auto"/>
        <w:tblInd w:w="88" w:type="dxa"/>
        <w:tblLayout w:type="fixed"/>
        <w:tblCellMar>
          <w:top w:w="0" w:type="dxa"/>
          <w:left w:w="0" w:type="dxa"/>
          <w:bottom w:w="0" w:type="dxa"/>
          <w:right w:w="0" w:type="dxa"/>
        </w:tblCellMar>
      </w:tblPr>
      <w:tblGrid>
        <w:gridCol w:w="799"/>
        <w:gridCol w:w="1579"/>
        <w:gridCol w:w="1360"/>
        <w:gridCol w:w="2012"/>
        <w:gridCol w:w="1180"/>
        <w:gridCol w:w="1770"/>
      </w:tblGrid>
      <w:tr>
        <w:tblPrEx>
          <w:tblCellMar>
            <w:top w:w="0" w:type="dxa"/>
            <w:left w:w="0" w:type="dxa"/>
            <w:bottom w:w="0" w:type="dxa"/>
            <w:right w:w="0" w:type="dxa"/>
          </w:tblCellMar>
        </w:tblPrEx>
        <w:trPr>
          <w:trHeight w:val="1082" w:hRule="atLeast"/>
        </w:trPr>
        <w:tc>
          <w:tcPr>
            <w:tcW w:w="799" w:type="dxa"/>
            <w:tcBorders>
              <w:top w:val="single" w:color="auto" w:sz="4" w:space="0"/>
              <w:left w:val="single" w:color="auto" w:sz="4" w:space="0"/>
              <w:bottom w:val="single" w:color="auto" w:sz="4" w:space="0"/>
              <w:right w:val="single" w:color="auto" w:sz="4" w:space="0"/>
            </w:tcBorders>
            <w:tcMar>
              <w:top w:w="20" w:type="dxa"/>
              <w:left w:w="20" w:type="dxa"/>
              <w:right w:w="20" w:type="dxa"/>
            </w:tcMar>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序号</w:t>
            </w:r>
          </w:p>
        </w:tc>
        <w:tc>
          <w:tcPr>
            <w:tcW w:w="1579" w:type="dxa"/>
            <w:tcBorders>
              <w:top w:val="single" w:color="auto" w:sz="4" w:space="0"/>
              <w:left w:val="nil"/>
              <w:bottom w:val="single" w:color="auto" w:sz="4" w:space="0"/>
              <w:right w:val="single" w:color="auto" w:sz="4" w:space="0"/>
            </w:tcBorders>
            <w:tcMar>
              <w:top w:w="20" w:type="dxa"/>
              <w:left w:w="20" w:type="dxa"/>
              <w:right w:w="20" w:type="dxa"/>
            </w:tcMar>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项目名称</w:t>
            </w:r>
          </w:p>
        </w:tc>
        <w:tc>
          <w:tcPr>
            <w:tcW w:w="1360" w:type="dxa"/>
            <w:tcBorders>
              <w:top w:val="single" w:color="auto" w:sz="4" w:space="0"/>
              <w:left w:val="nil"/>
              <w:bottom w:val="single" w:color="auto" w:sz="4" w:space="0"/>
              <w:right w:val="single" w:color="auto" w:sz="4" w:space="0"/>
            </w:tcBorders>
            <w:tcMar>
              <w:top w:w="20" w:type="dxa"/>
              <w:left w:w="20" w:type="dxa"/>
              <w:right w:w="20" w:type="dxa"/>
            </w:tcMar>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Cs w:val="21"/>
                <w:highlight w:val="none"/>
                <w:u w:val="none"/>
              </w:rPr>
            </w:pPr>
            <w:r>
              <w:rPr>
                <w:rFonts w:hint="eastAsia" w:ascii="宋体" w:hAnsi="宋体"/>
                <w:color w:val="auto"/>
                <w:szCs w:val="21"/>
                <w:highlight w:val="none"/>
                <w:u w:val="none"/>
                <w:lang w:bidi="ar"/>
              </w:rPr>
              <w:t>签约</w:t>
            </w:r>
          </w:p>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日期</w:t>
            </w:r>
          </w:p>
        </w:tc>
        <w:tc>
          <w:tcPr>
            <w:tcW w:w="2012" w:type="dxa"/>
            <w:tcBorders>
              <w:top w:val="single" w:color="auto" w:sz="4" w:space="0"/>
              <w:left w:val="nil"/>
              <w:bottom w:val="single" w:color="auto" w:sz="4" w:space="0"/>
              <w:right w:val="single" w:color="auto" w:sz="4" w:space="0"/>
            </w:tcBorders>
            <w:tcMar>
              <w:top w:w="20" w:type="dxa"/>
              <w:left w:w="20" w:type="dxa"/>
              <w:right w:w="20" w:type="dxa"/>
            </w:tcMar>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Cs w:val="21"/>
                <w:highlight w:val="none"/>
                <w:u w:val="none"/>
              </w:rPr>
            </w:pPr>
            <w:r>
              <w:rPr>
                <w:rFonts w:hint="eastAsia" w:ascii="宋体" w:hAnsi="宋体"/>
                <w:color w:val="auto"/>
                <w:szCs w:val="21"/>
                <w:highlight w:val="none"/>
                <w:u w:val="none"/>
                <w:lang w:bidi="ar"/>
              </w:rPr>
              <w:t>同类或相似项目合同价</w:t>
            </w:r>
          </w:p>
        </w:tc>
        <w:tc>
          <w:tcPr>
            <w:tcW w:w="1180" w:type="dxa"/>
            <w:tcBorders>
              <w:top w:val="single" w:color="auto" w:sz="4" w:space="0"/>
              <w:left w:val="nil"/>
              <w:bottom w:val="single" w:color="auto" w:sz="4" w:space="0"/>
              <w:right w:val="single" w:color="auto" w:sz="4" w:space="0"/>
            </w:tcBorders>
            <w:tcMar>
              <w:top w:w="20" w:type="dxa"/>
              <w:left w:w="20" w:type="dxa"/>
              <w:right w:w="20" w:type="dxa"/>
            </w:tcMar>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Cs w:val="21"/>
                <w:highlight w:val="none"/>
                <w:u w:val="none"/>
              </w:rPr>
            </w:pPr>
            <w:r>
              <w:rPr>
                <w:rFonts w:hint="eastAsia" w:ascii="宋体" w:hAnsi="宋体"/>
                <w:color w:val="auto"/>
                <w:szCs w:val="21"/>
                <w:highlight w:val="none"/>
                <w:u w:val="none"/>
                <w:lang w:bidi="ar"/>
              </w:rPr>
              <w:t>业主 名称</w:t>
            </w:r>
          </w:p>
        </w:tc>
        <w:tc>
          <w:tcPr>
            <w:tcW w:w="1770" w:type="dxa"/>
            <w:tcBorders>
              <w:top w:val="single" w:color="auto" w:sz="4" w:space="0"/>
              <w:left w:val="nil"/>
              <w:bottom w:val="single" w:color="auto" w:sz="4" w:space="0"/>
              <w:right w:val="single" w:color="auto" w:sz="4" w:space="0"/>
            </w:tcBorders>
            <w:tcMar>
              <w:top w:w="20" w:type="dxa"/>
              <w:left w:w="20" w:type="dxa"/>
              <w:right w:w="20" w:type="dxa"/>
            </w:tcMar>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地址</w:t>
            </w:r>
            <w:r>
              <w:rPr>
                <w:rFonts w:hint="default"/>
                <w:color w:val="auto"/>
                <w:szCs w:val="21"/>
                <w:highlight w:val="none"/>
                <w:u w:val="none"/>
                <w:lang w:bidi="ar"/>
              </w:rPr>
              <w:t>/</w:t>
            </w:r>
            <w:r>
              <w:rPr>
                <w:rFonts w:hint="eastAsia" w:ascii="宋体" w:hAnsi="宋体"/>
                <w:color w:val="auto"/>
                <w:szCs w:val="21"/>
                <w:highlight w:val="none"/>
                <w:u w:val="none"/>
                <w:lang w:bidi="ar"/>
              </w:rPr>
              <w:t>电话</w:t>
            </w:r>
            <w:r>
              <w:rPr>
                <w:rFonts w:hint="default"/>
                <w:color w:val="auto"/>
                <w:szCs w:val="21"/>
                <w:highlight w:val="none"/>
                <w:u w:val="none"/>
                <w:lang w:bidi="ar"/>
              </w:rPr>
              <w:t>/</w:t>
            </w:r>
            <w:r>
              <w:rPr>
                <w:rFonts w:hint="eastAsia" w:ascii="宋体" w:hAnsi="宋体"/>
                <w:color w:val="auto"/>
                <w:szCs w:val="21"/>
                <w:highlight w:val="none"/>
                <w:u w:val="none"/>
                <w:lang w:bidi="ar"/>
              </w:rPr>
              <w:t>传真</w:t>
            </w:r>
          </w:p>
        </w:tc>
      </w:tr>
      <w:tr>
        <w:tblPrEx>
          <w:tblCellMar>
            <w:top w:w="0" w:type="dxa"/>
            <w:left w:w="0" w:type="dxa"/>
            <w:bottom w:w="0" w:type="dxa"/>
            <w:right w:w="0" w:type="dxa"/>
          </w:tblCellMar>
        </w:tblPrEx>
        <w:trPr>
          <w:trHeight w:val="643" w:hRule="atLeast"/>
        </w:trPr>
        <w:tc>
          <w:tcPr>
            <w:tcW w:w="799" w:type="dxa"/>
            <w:tcBorders>
              <w:top w:val="nil"/>
              <w:left w:val="single" w:color="auto" w:sz="4" w:space="0"/>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1</w:t>
            </w:r>
          </w:p>
        </w:tc>
        <w:tc>
          <w:tcPr>
            <w:tcW w:w="1579"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360"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2012"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180"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770"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r>
      <w:tr>
        <w:tblPrEx>
          <w:tblCellMar>
            <w:top w:w="0" w:type="dxa"/>
            <w:left w:w="0" w:type="dxa"/>
            <w:bottom w:w="0" w:type="dxa"/>
            <w:right w:w="0" w:type="dxa"/>
          </w:tblCellMar>
        </w:tblPrEx>
        <w:trPr>
          <w:trHeight w:val="643" w:hRule="atLeast"/>
        </w:trPr>
        <w:tc>
          <w:tcPr>
            <w:tcW w:w="799" w:type="dxa"/>
            <w:tcBorders>
              <w:top w:val="nil"/>
              <w:left w:val="single" w:color="auto" w:sz="4" w:space="0"/>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2</w:t>
            </w:r>
          </w:p>
        </w:tc>
        <w:tc>
          <w:tcPr>
            <w:tcW w:w="1579"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360"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2012"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180"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770"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r>
      <w:tr>
        <w:tblPrEx>
          <w:tblCellMar>
            <w:top w:w="0" w:type="dxa"/>
            <w:left w:w="0" w:type="dxa"/>
            <w:bottom w:w="0" w:type="dxa"/>
            <w:right w:w="0" w:type="dxa"/>
          </w:tblCellMar>
        </w:tblPrEx>
        <w:trPr>
          <w:trHeight w:val="643" w:hRule="atLeast"/>
        </w:trPr>
        <w:tc>
          <w:tcPr>
            <w:tcW w:w="799" w:type="dxa"/>
            <w:tcBorders>
              <w:top w:val="nil"/>
              <w:left w:val="single" w:color="auto" w:sz="4" w:space="0"/>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3</w:t>
            </w:r>
          </w:p>
        </w:tc>
        <w:tc>
          <w:tcPr>
            <w:tcW w:w="1579"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360"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2012"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180"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770"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r>
      <w:tr>
        <w:tblPrEx>
          <w:tblCellMar>
            <w:top w:w="0" w:type="dxa"/>
            <w:left w:w="0" w:type="dxa"/>
            <w:bottom w:w="0" w:type="dxa"/>
            <w:right w:w="0" w:type="dxa"/>
          </w:tblCellMar>
        </w:tblPrEx>
        <w:trPr>
          <w:trHeight w:val="643" w:hRule="atLeast"/>
        </w:trPr>
        <w:tc>
          <w:tcPr>
            <w:tcW w:w="799" w:type="dxa"/>
            <w:tcBorders>
              <w:top w:val="nil"/>
              <w:left w:val="single" w:color="auto" w:sz="4" w:space="0"/>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s="宋体"/>
                <w:color w:val="auto"/>
                <w:szCs w:val="21"/>
                <w:highlight w:val="none"/>
                <w:u w:val="none"/>
                <w:lang w:bidi="ar"/>
              </w:rPr>
              <w:t>……</w:t>
            </w:r>
          </w:p>
        </w:tc>
        <w:tc>
          <w:tcPr>
            <w:tcW w:w="1579"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360"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2012"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180"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770"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r>
    </w:tbl>
    <w:p>
      <w:pPr>
        <w:pStyle w:val="17"/>
        <w:pageBreakBefore w:val="0"/>
        <w:kinsoku/>
        <w:wordWrap/>
        <w:overflowPunct/>
        <w:topLinePunct w:val="0"/>
        <w:bidi w:val="0"/>
        <w:spacing w:before="0" w:beforeAutospacing="0" w:after="0" w:afterAutospacing="0" w:line="300" w:lineRule="auto"/>
        <w:jc w:val="both"/>
        <w:rPr>
          <w:rFonts w:ascii="黑体" w:eastAsia="黑体"/>
          <w:b/>
          <w:color w:val="auto"/>
          <w:kern w:val="2"/>
          <w:sz w:val="36"/>
          <w:szCs w:val="36"/>
          <w:highlight w:val="none"/>
          <w:u w:val="none"/>
        </w:rPr>
      </w:pPr>
    </w:p>
    <w:p>
      <w:pPr>
        <w:pStyle w:val="17"/>
        <w:pageBreakBefore w:val="0"/>
        <w:kinsoku/>
        <w:wordWrap/>
        <w:overflowPunct/>
        <w:topLinePunct w:val="0"/>
        <w:bidi w:val="0"/>
        <w:spacing w:before="0" w:beforeAutospacing="0" w:after="0" w:afterAutospacing="0" w:line="300" w:lineRule="auto"/>
        <w:jc w:val="both"/>
        <w:rPr>
          <w:rFonts w:ascii="黑体" w:eastAsia="黑体"/>
          <w:b/>
          <w:color w:val="auto"/>
          <w:kern w:val="2"/>
          <w:sz w:val="36"/>
          <w:szCs w:val="36"/>
          <w:highlight w:val="none"/>
          <w:u w:val="none"/>
        </w:rPr>
      </w:pPr>
    </w:p>
    <w:p>
      <w:pPr>
        <w:pStyle w:val="17"/>
        <w:pageBreakBefore w:val="0"/>
        <w:kinsoku/>
        <w:wordWrap/>
        <w:overflowPunct/>
        <w:topLinePunct w:val="0"/>
        <w:bidi w:val="0"/>
        <w:spacing w:before="0" w:beforeAutospacing="0" w:after="0" w:afterAutospacing="0" w:line="300" w:lineRule="auto"/>
        <w:jc w:val="both"/>
        <w:rPr>
          <w:rFonts w:ascii="黑体" w:eastAsia="黑体"/>
          <w:b/>
          <w:color w:val="auto"/>
          <w:kern w:val="2"/>
          <w:sz w:val="36"/>
          <w:szCs w:val="36"/>
          <w:highlight w:val="none"/>
          <w:u w:val="none"/>
        </w:rPr>
      </w:pPr>
    </w:p>
    <w:p>
      <w:pPr>
        <w:pStyle w:val="17"/>
        <w:pageBreakBefore w:val="0"/>
        <w:kinsoku/>
        <w:wordWrap/>
        <w:overflowPunct/>
        <w:topLinePunct w:val="0"/>
        <w:bidi w:val="0"/>
        <w:spacing w:before="0" w:beforeAutospacing="0" w:after="0" w:afterAutospacing="0" w:line="300" w:lineRule="auto"/>
        <w:jc w:val="both"/>
        <w:rPr>
          <w:rFonts w:ascii="黑体" w:eastAsia="黑体"/>
          <w:b/>
          <w:color w:val="auto"/>
          <w:kern w:val="2"/>
          <w:sz w:val="36"/>
          <w:szCs w:val="36"/>
          <w:highlight w:val="none"/>
          <w:u w:val="none"/>
        </w:rPr>
      </w:pPr>
    </w:p>
    <w:p>
      <w:pPr>
        <w:pStyle w:val="17"/>
        <w:pageBreakBefore w:val="0"/>
        <w:kinsoku/>
        <w:wordWrap/>
        <w:overflowPunct/>
        <w:topLinePunct w:val="0"/>
        <w:bidi w:val="0"/>
        <w:spacing w:before="0" w:beforeAutospacing="0" w:after="0" w:afterAutospacing="0" w:line="300" w:lineRule="auto"/>
        <w:jc w:val="both"/>
        <w:rPr>
          <w:rFonts w:ascii="黑体" w:eastAsia="黑体"/>
          <w:b/>
          <w:color w:val="auto"/>
          <w:kern w:val="2"/>
          <w:sz w:val="36"/>
          <w:szCs w:val="36"/>
          <w:highlight w:val="none"/>
          <w:u w:val="none"/>
        </w:rPr>
      </w:pPr>
    </w:p>
    <w:p>
      <w:pPr>
        <w:pStyle w:val="17"/>
        <w:pageBreakBefore w:val="0"/>
        <w:kinsoku/>
        <w:wordWrap/>
        <w:overflowPunct/>
        <w:topLinePunct w:val="0"/>
        <w:bidi w:val="0"/>
        <w:spacing w:before="0" w:beforeAutospacing="0" w:after="0" w:afterAutospacing="0" w:line="300" w:lineRule="auto"/>
        <w:jc w:val="both"/>
        <w:rPr>
          <w:rFonts w:ascii="黑体" w:eastAsia="黑体"/>
          <w:b/>
          <w:color w:val="auto"/>
          <w:kern w:val="2"/>
          <w:sz w:val="36"/>
          <w:szCs w:val="36"/>
          <w:highlight w:val="none"/>
          <w:u w:val="none"/>
        </w:rPr>
      </w:pPr>
    </w:p>
    <w:p>
      <w:pPr>
        <w:pStyle w:val="17"/>
        <w:pageBreakBefore w:val="0"/>
        <w:kinsoku/>
        <w:wordWrap/>
        <w:overflowPunct/>
        <w:topLinePunct w:val="0"/>
        <w:bidi w:val="0"/>
        <w:spacing w:before="0" w:beforeAutospacing="0" w:after="0" w:afterAutospacing="0" w:line="300" w:lineRule="auto"/>
        <w:jc w:val="both"/>
        <w:rPr>
          <w:rFonts w:ascii="黑体" w:eastAsia="黑体"/>
          <w:b/>
          <w:color w:val="auto"/>
          <w:kern w:val="2"/>
          <w:sz w:val="36"/>
          <w:szCs w:val="36"/>
          <w:highlight w:val="none"/>
          <w:u w:val="none"/>
        </w:rPr>
      </w:pPr>
    </w:p>
    <w:p>
      <w:pPr>
        <w:pStyle w:val="17"/>
        <w:pageBreakBefore w:val="0"/>
        <w:kinsoku/>
        <w:wordWrap/>
        <w:overflowPunct/>
        <w:topLinePunct w:val="0"/>
        <w:bidi w:val="0"/>
        <w:spacing w:before="0" w:beforeAutospacing="0" w:after="0" w:afterAutospacing="0" w:line="300" w:lineRule="auto"/>
        <w:jc w:val="both"/>
        <w:rPr>
          <w:rFonts w:ascii="黑体" w:eastAsia="黑体"/>
          <w:b/>
          <w:color w:val="auto"/>
          <w:kern w:val="2"/>
          <w:sz w:val="36"/>
          <w:szCs w:val="36"/>
          <w:highlight w:val="none"/>
          <w:u w:val="none"/>
        </w:rPr>
      </w:pPr>
    </w:p>
    <w:p>
      <w:pPr>
        <w:pStyle w:val="17"/>
        <w:pageBreakBefore w:val="0"/>
        <w:kinsoku/>
        <w:wordWrap/>
        <w:overflowPunct/>
        <w:topLinePunct w:val="0"/>
        <w:bidi w:val="0"/>
        <w:spacing w:before="0" w:beforeAutospacing="0" w:after="0" w:afterAutospacing="0" w:line="300" w:lineRule="auto"/>
        <w:jc w:val="both"/>
        <w:rPr>
          <w:rFonts w:ascii="黑体" w:eastAsia="黑体"/>
          <w:b/>
          <w:color w:val="auto"/>
          <w:kern w:val="2"/>
          <w:sz w:val="36"/>
          <w:szCs w:val="36"/>
          <w:highlight w:val="none"/>
          <w:u w:val="none"/>
        </w:rPr>
      </w:pPr>
    </w:p>
    <w:p>
      <w:pPr>
        <w:pageBreakBefore w:val="0"/>
        <w:kinsoku/>
        <w:wordWrap/>
        <w:overflowPunct/>
        <w:topLinePunct w:val="0"/>
        <w:bidi w:val="0"/>
        <w:spacing w:line="300" w:lineRule="auto"/>
        <w:rPr>
          <w:rFonts w:ascii="黑体" w:eastAsia="黑体"/>
          <w:b/>
          <w:color w:val="auto"/>
          <w:sz w:val="36"/>
          <w:szCs w:val="36"/>
          <w:highlight w:val="none"/>
          <w:u w:val="none"/>
        </w:rPr>
      </w:pPr>
    </w:p>
    <w:p>
      <w:pPr>
        <w:pageBreakBefore w:val="0"/>
        <w:kinsoku/>
        <w:wordWrap/>
        <w:overflowPunct/>
        <w:topLinePunct w:val="0"/>
        <w:bidi w:val="0"/>
        <w:spacing w:line="300" w:lineRule="auto"/>
        <w:rPr>
          <w:rFonts w:hint="eastAsia"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r>
        <w:rPr>
          <w:rFonts w:hint="eastAsia" w:eastAsia="黑体"/>
          <w:b/>
          <w:bCs/>
          <w:color w:val="auto"/>
          <w:sz w:val="28"/>
          <w:highlight w:val="none"/>
          <w:u w:val="none"/>
        </w:rPr>
        <w:t>附件9</w:t>
      </w:r>
    </w:p>
    <w:p>
      <w:pPr>
        <w:pageBreakBefore w:val="0"/>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 xml:space="preserve">项目名称：                   </w:t>
      </w:r>
    </w:p>
    <w:p>
      <w:pPr>
        <w:pStyle w:val="10"/>
        <w:pageBreakBefore w:val="0"/>
        <w:kinsoku/>
        <w:wordWrap/>
        <w:overflowPunct/>
        <w:topLinePunct w:val="0"/>
        <w:bidi w:val="0"/>
        <w:spacing w:line="300" w:lineRule="auto"/>
        <w:ind w:left="903" w:leftChars="-6" w:hanging="915" w:hangingChars="428"/>
        <w:rPr>
          <w:rFonts w:hAnsi="宋体"/>
          <w:color w:val="auto"/>
          <w:szCs w:val="21"/>
          <w:highlight w:val="none"/>
          <w:u w:val="none"/>
        </w:rPr>
      </w:pPr>
      <w:r>
        <w:rPr>
          <w:rFonts w:hint="eastAsia" w:hAnsi="宋体"/>
          <w:color w:val="auto"/>
          <w:szCs w:val="21"/>
          <w:highlight w:val="none"/>
          <w:u w:val="none"/>
        </w:rPr>
        <w:t>日期：  年   月   日</w:t>
      </w:r>
    </w:p>
    <w:p>
      <w:pPr>
        <w:pageBreakBefore w:val="0"/>
        <w:kinsoku/>
        <w:wordWrap/>
        <w:overflowPunct/>
        <w:topLinePunct w:val="0"/>
        <w:bidi w:val="0"/>
        <w:spacing w:line="300" w:lineRule="auto"/>
        <w:jc w:val="center"/>
        <w:rPr>
          <w:rFonts w:eastAsia="黑体"/>
          <w:b/>
          <w:bCs/>
          <w:color w:val="auto"/>
          <w:sz w:val="28"/>
          <w:highlight w:val="none"/>
          <w:u w:val="none"/>
        </w:rPr>
      </w:pPr>
      <w:r>
        <w:rPr>
          <w:rFonts w:hint="eastAsia" w:eastAsia="黑体"/>
          <w:b/>
          <w:bCs/>
          <w:color w:val="auto"/>
          <w:sz w:val="28"/>
          <w:highlight w:val="none"/>
          <w:u w:val="none"/>
        </w:rPr>
        <w:t>投标保证金退付表</w:t>
      </w:r>
    </w:p>
    <w:tbl>
      <w:tblPr>
        <w:tblStyle w:val="20"/>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0"/>
                <w:highlight w:val="none"/>
                <w:u w:val="none"/>
              </w:rPr>
            </w:pPr>
            <w:r>
              <w:rPr>
                <w:rFonts w:hint="eastAsia"/>
                <w:color w:val="auto"/>
                <w:szCs w:val="20"/>
                <w:highlight w:val="none"/>
                <w:u w:val="none"/>
              </w:rPr>
              <w:t>投标人单位名称：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0"/>
                <w:highlight w:val="none"/>
                <w:u w:val="none"/>
              </w:rPr>
            </w:pPr>
            <w:r>
              <w:rPr>
                <w:rFonts w:hint="eastAsia"/>
                <w:color w:val="auto"/>
                <w:szCs w:val="20"/>
                <w:highlight w:val="none"/>
                <w:u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0"/>
                <w:highlight w:val="none"/>
                <w:u w:val="none"/>
              </w:rPr>
            </w:pPr>
            <w:r>
              <w:rPr>
                <w:rFonts w:hint="eastAsia"/>
                <w:color w:val="auto"/>
                <w:szCs w:val="20"/>
                <w:highlight w:val="none"/>
                <w:u w:val="none"/>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0"/>
                <w:highlight w:val="none"/>
                <w:u w:val="none"/>
              </w:rPr>
            </w:pPr>
            <w:r>
              <w:rPr>
                <w:rFonts w:hint="eastAsia"/>
                <w:color w:val="auto"/>
                <w:szCs w:val="20"/>
                <w:highlight w:val="none"/>
                <w:u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0"/>
                <w:highlight w:val="none"/>
                <w:u w:val="none"/>
              </w:rPr>
            </w:pPr>
            <w:r>
              <w:rPr>
                <w:rFonts w:hint="eastAsia"/>
                <w:color w:val="auto"/>
                <w:szCs w:val="20"/>
                <w:highlight w:val="none"/>
                <w:u w:val="none"/>
              </w:rPr>
              <w:t>纳税人识别号：</w:t>
            </w:r>
          </w:p>
        </w:tc>
      </w:tr>
    </w:tbl>
    <w:p>
      <w:pPr>
        <w:pStyle w:val="10"/>
        <w:pageBreakBefore w:val="0"/>
        <w:kinsoku/>
        <w:wordWrap/>
        <w:overflowPunct/>
        <w:topLinePunct w:val="0"/>
        <w:bidi w:val="0"/>
        <w:spacing w:line="300" w:lineRule="auto"/>
        <w:ind w:firstLine="244" w:firstLineChars="100"/>
        <w:rPr>
          <w:rFonts w:ascii="仿宋_GB2312" w:hAnsi="宋体" w:eastAsia="仿宋_GB2312"/>
          <w:color w:val="auto"/>
          <w:sz w:val="24"/>
          <w:highlight w:val="none"/>
          <w:u w:val="none"/>
        </w:rPr>
      </w:pPr>
    </w:p>
    <w:p>
      <w:pPr>
        <w:pStyle w:val="10"/>
        <w:pageBreakBefore w:val="0"/>
        <w:kinsoku/>
        <w:wordWrap/>
        <w:overflowPunct/>
        <w:topLinePunct w:val="0"/>
        <w:bidi w:val="0"/>
        <w:spacing w:line="300" w:lineRule="auto"/>
        <w:ind w:firstLine="244" w:firstLineChars="100"/>
        <w:rPr>
          <w:rFonts w:hAnsi="宋体"/>
          <w:b/>
          <w:color w:val="auto"/>
          <w:sz w:val="24"/>
          <w:szCs w:val="24"/>
          <w:highlight w:val="none"/>
          <w:u w:val="none"/>
        </w:rPr>
      </w:pPr>
      <w:r>
        <w:rPr>
          <w:rFonts w:hint="eastAsia" w:ascii="仿宋_GB2312" w:hAnsi="宋体" w:eastAsia="仿宋_GB2312"/>
          <w:color w:val="auto"/>
          <w:sz w:val="24"/>
          <w:highlight w:val="none"/>
          <w:u w:val="none"/>
        </w:rPr>
        <w:t>投标人名称（盖章）：              法定代表人或授权代表签字：</w:t>
      </w:r>
    </w:p>
    <w:p>
      <w:pPr>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ageBreakBefore w:val="0"/>
        <w:kinsoku/>
        <w:wordWrap/>
        <w:overflowPunct/>
        <w:topLinePunct w:val="0"/>
        <w:bidi w:val="0"/>
        <w:spacing w:line="300" w:lineRule="auto"/>
        <w:jc w:val="center"/>
        <w:rPr>
          <w:rFonts w:ascii="宋体" w:hAnsi="宋体" w:eastAsia="黑体" w:cs="宋体"/>
          <w:color w:val="auto"/>
          <w:sz w:val="22"/>
          <w:szCs w:val="22"/>
          <w:highlight w:val="none"/>
          <w:u w:val="none"/>
        </w:rPr>
      </w:pPr>
      <w:r>
        <w:rPr>
          <w:rFonts w:hint="eastAsia" w:ascii="黑体" w:eastAsia="黑体"/>
          <w:b/>
          <w:bCs/>
          <w:color w:val="auto"/>
          <w:sz w:val="36"/>
          <w:szCs w:val="36"/>
          <w:highlight w:val="none"/>
          <w:u w:val="none"/>
        </w:rPr>
        <w:t>第三章 项目基本标准及基本要求</w:t>
      </w:r>
    </w:p>
    <w:p>
      <w:pPr>
        <w:pageBreakBefore w:val="0"/>
        <w:kinsoku/>
        <w:wordWrap/>
        <w:overflowPunct/>
        <w:topLinePunct w:val="0"/>
        <w:bidi w:val="0"/>
        <w:spacing w:line="300" w:lineRule="auto"/>
        <w:rPr>
          <w:rFonts w:ascii="黑体" w:hAnsi="宋体" w:eastAsia="黑体"/>
          <w:color w:val="auto"/>
          <w:highlight w:val="none"/>
          <w:u w:val="none"/>
        </w:rPr>
      </w:pPr>
    </w:p>
    <w:p>
      <w:pPr>
        <w:pageBreakBefore w:val="0"/>
        <w:kinsoku/>
        <w:wordWrap/>
        <w:overflowPunct/>
        <w:topLinePunct w:val="0"/>
        <w:bidi w:val="0"/>
        <w:adjustRightInd w:val="0"/>
        <w:snapToGrid w:val="0"/>
        <w:spacing w:line="300" w:lineRule="auto"/>
        <w:ind w:left="428" w:leftChars="200"/>
        <w:rPr>
          <w:rFonts w:asciiTheme="minorEastAsia" w:hAnsiTheme="minorEastAsia" w:eastAsiaTheme="minorEastAsia" w:cstheme="minorEastAsia"/>
          <w:b/>
          <w:bCs/>
          <w:color w:val="auto"/>
          <w:szCs w:val="21"/>
          <w:highlight w:val="none"/>
          <w:u w:val="none"/>
        </w:rPr>
      </w:pPr>
      <w:r>
        <w:rPr>
          <w:rFonts w:hint="eastAsia" w:asciiTheme="minorEastAsia" w:hAnsiTheme="minorEastAsia" w:eastAsiaTheme="minorEastAsia" w:cstheme="minorEastAsia"/>
          <w:b/>
          <w:bCs/>
          <w:color w:val="auto"/>
          <w:szCs w:val="21"/>
          <w:highlight w:val="none"/>
          <w:u w:val="none"/>
        </w:rPr>
        <w:t>一、总体要求</w:t>
      </w:r>
    </w:p>
    <w:p>
      <w:pPr>
        <w:pageBreakBefore w:val="0"/>
        <w:kinsoku/>
        <w:wordWrap/>
        <w:overflowPunct/>
        <w:topLinePunct w:val="0"/>
        <w:bidi w:val="0"/>
        <w:spacing w:line="300" w:lineRule="auto"/>
        <w:ind w:firstLine="428" w:firstLineChars="200"/>
        <w:rPr>
          <w:rFonts w:asciiTheme="majorEastAsia" w:hAnsiTheme="majorEastAsia" w:eastAsiaTheme="majorEastAsia"/>
          <w:color w:val="auto"/>
          <w:szCs w:val="21"/>
          <w:highlight w:val="none"/>
          <w:u w:val="none"/>
        </w:rPr>
      </w:pPr>
      <w:r>
        <w:rPr>
          <w:rFonts w:hint="eastAsia" w:asciiTheme="majorEastAsia" w:hAnsiTheme="majorEastAsia" w:eastAsiaTheme="majorEastAsia"/>
          <w:color w:val="auto"/>
          <w:szCs w:val="21"/>
          <w:highlight w:val="none"/>
          <w:u w:val="none"/>
        </w:rPr>
        <w:t>1.作业人员服从公司及生产线的指挥，接受公司的监督和管理，保守公司秘密，维护公司利益。</w:t>
      </w:r>
    </w:p>
    <w:p>
      <w:pPr>
        <w:pageBreakBefore w:val="0"/>
        <w:kinsoku/>
        <w:wordWrap/>
        <w:overflowPunct/>
        <w:topLinePunct w:val="0"/>
        <w:bidi w:val="0"/>
        <w:spacing w:line="300" w:lineRule="auto"/>
        <w:ind w:firstLine="428" w:firstLineChars="200"/>
        <w:rPr>
          <w:rFonts w:asciiTheme="majorEastAsia" w:hAnsiTheme="majorEastAsia" w:eastAsiaTheme="majorEastAsia"/>
          <w:color w:val="auto"/>
          <w:szCs w:val="21"/>
          <w:highlight w:val="none"/>
          <w:u w:val="none"/>
        </w:rPr>
      </w:pPr>
      <w:r>
        <w:rPr>
          <w:rFonts w:hint="eastAsia" w:asciiTheme="majorEastAsia" w:hAnsiTheme="majorEastAsia" w:eastAsiaTheme="majorEastAsia"/>
          <w:color w:val="auto"/>
          <w:szCs w:val="21"/>
          <w:highlight w:val="none"/>
          <w:u w:val="none"/>
        </w:rPr>
        <w:t>2.严格遵守公司及生产线的各项规章制度（如禁烟及防疫管理），如有违犯情况，依据公司管理规定进行处理。</w:t>
      </w:r>
    </w:p>
    <w:p>
      <w:pPr>
        <w:pageBreakBefore w:val="0"/>
        <w:kinsoku/>
        <w:wordWrap/>
        <w:overflowPunct/>
        <w:topLinePunct w:val="0"/>
        <w:bidi w:val="0"/>
        <w:spacing w:line="300" w:lineRule="auto"/>
        <w:ind w:firstLine="428" w:firstLineChars="200"/>
        <w:rPr>
          <w:rFonts w:asciiTheme="majorEastAsia" w:hAnsiTheme="majorEastAsia" w:eastAsiaTheme="majorEastAsia"/>
          <w:color w:val="auto"/>
          <w:szCs w:val="21"/>
          <w:highlight w:val="none"/>
          <w:u w:val="none"/>
        </w:rPr>
      </w:pPr>
      <w:r>
        <w:rPr>
          <w:rFonts w:hint="eastAsia" w:asciiTheme="majorEastAsia" w:hAnsiTheme="majorEastAsia" w:eastAsiaTheme="majorEastAsia"/>
          <w:color w:val="auto"/>
          <w:szCs w:val="21"/>
          <w:highlight w:val="none"/>
          <w:u w:val="none"/>
        </w:rPr>
        <w:t>3.班组建设</w:t>
      </w:r>
    </w:p>
    <w:p>
      <w:pPr>
        <w:pageBreakBefore w:val="0"/>
        <w:kinsoku/>
        <w:wordWrap/>
        <w:overflowPunct/>
        <w:topLinePunct w:val="0"/>
        <w:bidi w:val="0"/>
        <w:spacing w:line="300" w:lineRule="auto"/>
        <w:ind w:firstLine="428" w:firstLineChars="200"/>
        <w:rPr>
          <w:rFonts w:asciiTheme="majorEastAsia" w:hAnsiTheme="majorEastAsia" w:eastAsiaTheme="majorEastAsia"/>
          <w:color w:val="auto"/>
          <w:szCs w:val="21"/>
          <w:highlight w:val="none"/>
          <w:u w:val="none"/>
        </w:rPr>
      </w:pPr>
      <w:r>
        <w:rPr>
          <w:rFonts w:hint="eastAsia" w:asciiTheme="majorEastAsia" w:hAnsiTheme="majorEastAsia" w:eastAsiaTheme="majorEastAsia"/>
          <w:color w:val="auto"/>
          <w:szCs w:val="21"/>
          <w:highlight w:val="none"/>
          <w:u w:val="none"/>
        </w:rPr>
        <w:t>按照公司要求统一进行班组建设，每班至少由一个班长带班，负责班组全面事宜，所有班组基础资料必须具备；人员管理必须符合公司要求。人员的数量及分配由公司决定，所有人员上岗前必须得到公司同意认可。人员变更时，提前两天向公司报备，同意后方可变更。</w:t>
      </w:r>
    </w:p>
    <w:p>
      <w:pPr>
        <w:pageBreakBefore w:val="0"/>
        <w:kinsoku/>
        <w:wordWrap/>
        <w:overflowPunct/>
        <w:topLinePunct w:val="0"/>
        <w:bidi w:val="0"/>
        <w:spacing w:line="300" w:lineRule="auto"/>
        <w:ind w:firstLine="428" w:firstLineChars="200"/>
        <w:rPr>
          <w:rFonts w:asciiTheme="majorEastAsia" w:hAnsiTheme="majorEastAsia" w:eastAsiaTheme="majorEastAsia"/>
          <w:color w:val="auto"/>
          <w:szCs w:val="21"/>
          <w:highlight w:val="none"/>
          <w:u w:val="none"/>
        </w:rPr>
      </w:pPr>
      <w:r>
        <w:rPr>
          <w:rFonts w:hint="eastAsia" w:asciiTheme="majorEastAsia" w:hAnsiTheme="majorEastAsia" w:eastAsiaTheme="majorEastAsia"/>
          <w:color w:val="auto"/>
          <w:szCs w:val="21"/>
          <w:highlight w:val="none"/>
          <w:u w:val="none"/>
        </w:rPr>
        <w:t>操作人员负责现场区域及设备的卫生清洁工作，坚持“班前、班后、班中”清扫，确保现场整洁有序。</w:t>
      </w:r>
    </w:p>
    <w:p>
      <w:pPr>
        <w:pageBreakBefore w:val="0"/>
        <w:kinsoku/>
        <w:wordWrap/>
        <w:overflowPunct/>
        <w:topLinePunct w:val="0"/>
        <w:bidi w:val="0"/>
        <w:spacing w:line="300" w:lineRule="auto"/>
        <w:ind w:firstLine="428" w:firstLineChars="200"/>
        <w:rPr>
          <w:rFonts w:asciiTheme="majorEastAsia" w:hAnsiTheme="majorEastAsia" w:eastAsiaTheme="majorEastAsia"/>
          <w:color w:val="auto"/>
          <w:szCs w:val="21"/>
          <w:highlight w:val="none"/>
          <w:u w:val="none"/>
        </w:rPr>
      </w:pPr>
      <w:r>
        <w:rPr>
          <w:rFonts w:hint="eastAsia" w:asciiTheme="majorEastAsia" w:hAnsiTheme="majorEastAsia" w:eastAsiaTheme="majorEastAsia"/>
          <w:color w:val="auto"/>
          <w:szCs w:val="21"/>
          <w:highlight w:val="none"/>
          <w:u w:val="none"/>
        </w:rPr>
        <w:t>4消防安全</w:t>
      </w:r>
    </w:p>
    <w:p>
      <w:pPr>
        <w:pageBreakBefore w:val="0"/>
        <w:kinsoku/>
        <w:wordWrap/>
        <w:overflowPunct/>
        <w:topLinePunct w:val="0"/>
        <w:bidi w:val="0"/>
        <w:spacing w:line="300" w:lineRule="auto"/>
        <w:ind w:firstLine="428" w:firstLineChars="200"/>
        <w:rPr>
          <w:rFonts w:asciiTheme="majorEastAsia" w:hAnsiTheme="majorEastAsia" w:eastAsiaTheme="majorEastAsia"/>
          <w:color w:val="auto"/>
          <w:szCs w:val="21"/>
          <w:highlight w:val="none"/>
          <w:u w:val="none"/>
        </w:rPr>
      </w:pPr>
      <w:r>
        <w:rPr>
          <w:rFonts w:hint="eastAsia" w:asciiTheme="majorEastAsia" w:hAnsiTheme="majorEastAsia" w:eastAsiaTheme="majorEastAsia"/>
          <w:color w:val="auto"/>
          <w:szCs w:val="21"/>
          <w:highlight w:val="none"/>
          <w:u w:val="none"/>
        </w:rPr>
        <w:t>4.1遵守安全生产规定，人员必须按时参加安全培训，熟练掌握公司的安全政策及相关知识；熟记本岗位的安全操作规程，并在生产中遵守执行，若有违反，依规考核</w:t>
      </w:r>
      <w:bookmarkStart w:id="5" w:name="_Hlk109480177"/>
      <w:r>
        <w:rPr>
          <w:rFonts w:hint="eastAsia" w:asciiTheme="majorEastAsia" w:hAnsiTheme="majorEastAsia" w:eastAsiaTheme="majorEastAsia"/>
          <w:color w:val="auto"/>
          <w:szCs w:val="21"/>
          <w:highlight w:val="none"/>
          <w:u w:val="none"/>
        </w:rPr>
        <w:t>；若因违反安全操作规程造成工伤，一律由外包单位承担，</w:t>
      </w:r>
      <w:r>
        <w:rPr>
          <w:rFonts w:asciiTheme="majorEastAsia" w:hAnsiTheme="majorEastAsia" w:eastAsiaTheme="majorEastAsia"/>
          <w:color w:val="auto"/>
          <w:szCs w:val="21"/>
          <w:highlight w:val="none"/>
          <w:u w:val="none"/>
        </w:rPr>
        <w:t xml:space="preserve"> </w:t>
      </w:r>
    </w:p>
    <w:bookmarkEnd w:id="5"/>
    <w:p>
      <w:pPr>
        <w:pageBreakBefore w:val="0"/>
        <w:kinsoku/>
        <w:wordWrap/>
        <w:overflowPunct/>
        <w:topLinePunct w:val="0"/>
        <w:bidi w:val="0"/>
        <w:spacing w:line="300" w:lineRule="auto"/>
        <w:ind w:firstLine="428" w:firstLineChars="200"/>
        <w:rPr>
          <w:rFonts w:asciiTheme="majorEastAsia" w:hAnsiTheme="majorEastAsia" w:eastAsiaTheme="majorEastAsia"/>
          <w:color w:val="auto"/>
          <w:szCs w:val="21"/>
          <w:highlight w:val="none"/>
          <w:u w:val="none"/>
        </w:rPr>
      </w:pPr>
      <w:r>
        <w:rPr>
          <w:rFonts w:hint="eastAsia" w:asciiTheme="majorEastAsia" w:hAnsiTheme="majorEastAsia" w:eastAsiaTheme="majorEastAsia"/>
          <w:color w:val="auto"/>
          <w:szCs w:val="21"/>
          <w:highlight w:val="none"/>
          <w:u w:val="none"/>
        </w:rPr>
        <w:t>4.2外包单位必须设立安全负责人，每日对现场人员及相关设备进行巡视、点检，排除隐患风险。</w:t>
      </w:r>
    </w:p>
    <w:p>
      <w:pPr>
        <w:pageBreakBefore w:val="0"/>
        <w:kinsoku/>
        <w:wordWrap/>
        <w:overflowPunct/>
        <w:topLinePunct w:val="0"/>
        <w:bidi w:val="0"/>
        <w:spacing w:line="300" w:lineRule="auto"/>
        <w:ind w:firstLine="428" w:firstLineChars="200"/>
        <w:rPr>
          <w:rFonts w:asciiTheme="majorEastAsia" w:hAnsiTheme="majorEastAsia" w:eastAsiaTheme="majorEastAsia"/>
          <w:color w:val="auto"/>
          <w:szCs w:val="21"/>
          <w:highlight w:val="none"/>
          <w:u w:val="none"/>
        </w:rPr>
      </w:pPr>
      <w:r>
        <w:rPr>
          <w:rFonts w:hint="eastAsia" w:asciiTheme="majorEastAsia" w:hAnsiTheme="majorEastAsia" w:eastAsiaTheme="majorEastAsia"/>
          <w:color w:val="auto"/>
          <w:szCs w:val="21"/>
          <w:highlight w:val="none"/>
          <w:u w:val="none"/>
        </w:rPr>
        <w:t>4.3遵守消防安全规定，积极参加公司组织的消防培训和应急演练，人员必须熟知“四个消防能力”，具备单独使用消防器材的能力，同时负责本区域内消防设备的清洁维护。</w:t>
      </w:r>
    </w:p>
    <w:p>
      <w:pPr>
        <w:pageBreakBefore w:val="0"/>
        <w:kinsoku/>
        <w:wordWrap/>
        <w:overflowPunct/>
        <w:topLinePunct w:val="0"/>
        <w:bidi w:val="0"/>
        <w:spacing w:line="300" w:lineRule="auto"/>
        <w:ind w:firstLine="428" w:firstLineChars="200"/>
        <w:rPr>
          <w:rFonts w:hint="eastAsia" w:asciiTheme="majorEastAsia" w:hAnsiTheme="majorEastAsia" w:eastAsiaTheme="majorEastAsia"/>
          <w:color w:val="auto"/>
          <w:szCs w:val="21"/>
          <w:highlight w:val="none"/>
          <w:u w:val="none"/>
          <w:lang w:eastAsia="zh-CN"/>
        </w:rPr>
      </w:pPr>
      <w:r>
        <w:rPr>
          <w:color w:val="auto"/>
          <w:highlight w:val="none"/>
          <w:u w:val="none"/>
        </w:rPr>
        <w:t>4.4</w:t>
      </w:r>
      <w:r>
        <w:rPr>
          <w:rFonts w:hint="eastAsia"/>
          <w:color w:val="auto"/>
          <w:highlight w:val="none"/>
          <w:u w:val="none"/>
        </w:rPr>
        <w:t>外包单位必须做好职业危害防护，按照要求进行职业健康查体，做好日常劳保护品配备，作业人员正确穿戴劳保护品；</w:t>
      </w:r>
      <w:r>
        <w:rPr>
          <w:rFonts w:hint="eastAsia" w:asciiTheme="majorEastAsia" w:hAnsiTheme="majorEastAsia" w:eastAsiaTheme="majorEastAsia"/>
          <w:color w:val="auto"/>
          <w:szCs w:val="21"/>
          <w:highlight w:val="none"/>
          <w:u w:val="none"/>
        </w:rPr>
        <w:t>特殊工种作业必须持证上岗；若因违反上述要求造成伤害，一律由外包单位承担</w:t>
      </w:r>
      <w:r>
        <w:rPr>
          <w:rFonts w:hint="eastAsia" w:asciiTheme="majorEastAsia" w:hAnsiTheme="majorEastAsia" w:eastAsiaTheme="majorEastAsia"/>
          <w:color w:val="auto"/>
          <w:szCs w:val="21"/>
          <w:highlight w:val="none"/>
          <w:u w:val="none"/>
          <w:lang w:eastAsia="zh-CN"/>
        </w:rPr>
        <w:t>。</w:t>
      </w:r>
    </w:p>
    <w:p>
      <w:pPr>
        <w:pageBreakBefore w:val="0"/>
        <w:kinsoku/>
        <w:wordWrap/>
        <w:overflowPunct/>
        <w:topLinePunct w:val="0"/>
        <w:bidi w:val="0"/>
        <w:spacing w:line="300" w:lineRule="auto"/>
        <w:ind w:firstLine="428" w:firstLineChars="200"/>
        <w:rPr>
          <w:rFonts w:asciiTheme="majorEastAsia" w:hAnsiTheme="majorEastAsia" w:eastAsiaTheme="majorEastAsia"/>
          <w:color w:val="auto"/>
          <w:szCs w:val="21"/>
          <w:highlight w:val="none"/>
          <w:u w:val="none"/>
        </w:rPr>
      </w:pPr>
      <w:r>
        <w:rPr>
          <w:rFonts w:hint="eastAsia" w:asciiTheme="majorEastAsia" w:hAnsiTheme="majorEastAsia" w:eastAsiaTheme="majorEastAsia"/>
          <w:color w:val="auto"/>
          <w:szCs w:val="21"/>
          <w:highlight w:val="none"/>
          <w:u w:val="none"/>
        </w:rPr>
        <w:t>5设备维护及使用</w:t>
      </w:r>
    </w:p>
    <w:p>
      <w:pPr>
        <w:pageBreakBefore w:val="0"/>
        <w:kinsoku/>
        <w:wordWrap/>
        <w:overflowPunct/>
        <w:topLinePunct w:val="0"/>
        <w:bidi w:val="0"/>
        <w:spacing w:line="300" w:lineRule="auto"/>
        <w:ind w:firstLine="428" w:firstLineChars="200"/>
        <w:rPr>
          <w:rFonts w:asciiTheme="majorEastAsia" w:hAnsiTheme="majorEastAsia" w:eastAsiaTheme="majorEastAsia"/>
          <w:color w:val="auto"/>
          <w:szCs w:val="21"/>
          <w:highlight w:val="none"/>
          <w:u w:val="none"/>
        </w:rPr>
      </w:pPr>
      <w:r>
        <w:rPr>
          <w:rFonts w:hint="eastAsia" w:asciiTheme="majorEastAsia" w:hAnsiTheme="majorEastAsia" w:eastAsiaTheme="majorEastAsia"/>
          <w:color w:val="auto"/>
          <w:szCs w:val="21"/>
          <w:highlight w:val="none"/>
          <w:u w:val="none"/>
        </w:rPr>
        <w:t>严格遵守公司设备管理规定，操作者每日对所使用设备进行点检，并按要求进行日常保养、维护清理，保持设备良好的运行状态。</w:t>
      </w:r>
    </w:p>
    <w:p>
      <w:pPr>
        <w:pageBreakBefore w:val="0"/>
        <w:kinsoku/>
        <w:wordWrap/>
        <w:overflowPunct/>
        <w:topLinePunct w:val="0"/>
        <w:bidi w:val="0"/>
        <w:spacing w:line="300" w:lineRule="auto"/>
        <w:ind w:firstLine="428" w:firstLineChars="200"/>
        <w:rPr>
          <w:rFonts w:asciiTheme="majorEastAsia" w:hAnsiTheme="majorEastAsia" w:eastAsiaTheme="majorEastAsia"/>
          <w:color w:val="auto"/>
          <w:szCs w:val="21"/>
          <w:highlight w:val="none"/>
          <w:u w:val="none"/>
        </w:rPr>
      </w:pPr>
      <w:r>
        <w:rPr>
          <w:rFonts w:hint="eastAsia" w:asciiTheme="majorEastAsia" w:hAnsiTheme="majorEastAsia" w:eastAsiaTheme="majorEastAsia"/>
          <w:color w:val="auto"/>
          <w:szCs w:val="21"/>
          <w:highlight w:val="none"/>
          <w:u w:val="none"/>
        </w:rPr>
        <w:t>当设备出现故障停机时，协助专业维修人员进行故障排除排障，不得推脱。若因违章操作等原因造成设备损坏，由外包单位赔偿设备损失及耽误生产造成的损失。</w:t>
      </w:r>
    </w:p>
    <w:p>
      <w:pPr>
        <w:pageBreakBefore w:val="0"/>
        <w:kinsoku/>
        <w:wordWrap/>
        <w:overflowPunct/>
        <w:topLinePunct w:val="0"/>
        <w:bidi w:val="0"/>
        <w:spacing w:line="300" w:lineRule="auto"/>
        <w:ind w:firstLine="428" w:firstLineChars="200"/>
        <w:rPr>
          <w:rFonts w:asciiTheme="majorEastAsia" w:hAnsiTheme="majorEastAsia" w:eastAsiaTheme="majorEastAsia"/>
          <w:color w:val="auto"/>
          <w:szCs w:val="21"/>
          <w:highlight w:val="none"/>
          <w:u w:val="none"/>
        </w:rPr>
      </w:pPr>
      <w:r>
        <w:rPr>
          <w:rFonts w:hint="eastAsia" w:asciiTheme="majorEastAsia" w:hAnsiTheme="majorEastAsia" w:eastAsiaTheme="majorEastAsia"/>
          <w:color w:val="auto"/>
          <w:szCs w:val="21"/>
          <w:highlight w:val="none"/>
          <w:u w:val="none"/>
        </w:rPr>
        <w:t>6.生产组织</w:t>
      </w:r>
    </w:p>
    <w:p>
      <w:pPr>
        <w:pageBreakBefore w:val="0"/>
        <w:kinsoku/>
        <w:wordWrap/>
        <w:overflowPunct/>
        <w:topLinePunct w:val="0"/>
        <w:bidi w:val="0"/>
        <w:spacing w:line="300" w:lineRule="auto"/>
        <w:ind w:firstLine="560"/>
        <w:rPr>
          <w:color w:val="auto"/>
          <w:highlight w:val="none"/>
          <w:u w:val="none"/>
        </w:rPr>
      </w:pPr>
      <w:r>
        <w:rPr>
          <w:rFonts w:hint="eastAsia" w:asciiTheme="majorEastAsia" w:hAnsiTheme="majorEastAsia" w:eastAsiaTheme="majorEastAsia"/>
          <w:color w:val="auto"/>
          <w:szCs w:val="21"/>
          <w:highlight w:val="none"/>
          <w:u w:val="none"/>
        </w:rPr>
        <w:t>严格按照车间的生产安排进行生产，接受生产调度。根据生产线的安排需要开夜班的，外包方需在1周内将人员按照要求配备到位。晚一天将从保证金中扣除5000元。当设备发生故障时，按照车间临时要求组织下线，不能造成生产线堵线或停线，否则将视损失情况进行考核。所有下线产品要放到指定位置，并且按照HOS管理要求进行管理。</w:t>
      </w:r>
    </w:p>
    <w:p>
      <w:pPr>
        <w:pStyle w:val="9"/>
        <w:pageBreakBefore w:val="0"/>
        <w:numPr>
          <w:ilvl w:val="0"/>
          <w:numId w:val="5"/>
        </w:numPr>
        <w:kinsoku/>
        <w:wordWrap/>
        <w:overflowPunct/>
        <w:topLinePunct w:val="0"/>
        <w:bidi w:val="0"/>
        <w:spacing w:line="300" w:lineRule="auto"/>
        <w:ind w:firstLine="428" w:firstLineChars="200"/>
        <w:jc w:val="left"/>
        <w:rPr>
          <w:rFonts w:asciiTheme="minorEastAsia" w:hAnsiTheme="minorEastAsia" w:eastAsiaTheme="minorEastAsia"/>
          <w:b/>
          <w:color w:val="auto"/>
          <w:sz w:val="21"/>
          <w:szCs w:val="21"/>
          <w:highlight w:val="none"/>
          <w:u w:val="none"/>
        </w:rPr>
      </w:pPr>
      <w:r>
        <w:rPr>
          <w:rFonts w:hint="eastAsia" w:asciiTheme="minorEastAsia" w:hAnsiTheme="minorEastAsia" w:eastAsiaTheme="minorEastAsia"/>
          <w:b/>
          <w:color w:val="auto"/>
          <w:sz w:val="21"/>
          <w:szCs w:val="21"/>
          <w:highlight w:val="none"/>
          <w:u w:val="none"/>
        </w:rPr>
        <w:t>技术质量要求</w:t>
      </w:r>
    </w:p>
    <w:p>
      <w:pPr>
        <w:pageBreakBefore w:val="0"/>
        <w:kinsoku/>
        <w:wordWrap/>
        <w:overflowPunct/>
        <w:topLinePunct w:val="0"/>
        <w:bidi w:val="0"/>
        <w:adjustRightInd w:val="0"/>
        <w:snapToGrid w:val="0"/>
        <w:spacing w:line="300" w:lineRule="auto"/>
        <w:ind w:firstLine="428" w:firstLineChars="200"/>
        <w:rPr>
          <w:rFonts w:asciiTheme="minorEastAsia" w:hAnsiTheme="minorEastAsia" w:eastAsiaTheme="minorEastAsia"/>
          <w:color w:val="auto"/>
          <w:szCs w:val="21"/>
          <w:highlight w:val="none"/>
          <w:u w:val="none"/>
        </w:rPr>
      </w:pPr>
      <w:r>
        <w:rPr>
          <w:rFonts w:hint="eastAsia" w:asciiTheme="minorEastAsia" w:hAnsiTheme="minorEastAsia" w:eastAsiaTheme="minorEastAsia"/>
          <w:color w:val="auto"/>
          <w:szCs w:val="21"/>
          <w:highlight w:val="none"/>
          <w:u w:val="none"/>
        </w:rPr>
        <w:t>1.服从管理，按生产线工艺要求进行生产及检查工作，配合生产线工艺管理相关工作。</w:t>
      </w:r>
    </w:p>
    <w:p>
      <w:pPr>
        <w:pageBreakBefore w:val="0"/>
        <w:kinsoku/>
        <w:wordWrap/>
        <w:overflowPunct/>
        <w:topLinePunct w:val="0"/>
        <w:bidi w:val="0"/>
        <w:adjustRightInd w:val="0"/>
        <w:snapToGrid w:val="0"/>
        <w:spacing w:line="300" w:lineRule="auto"/>
        <w:ind w:firstLine="428" w:firstLineChars="200"/>
        <w:rPr>
          <w:rFonts w:asciiTheme="minorEastAsia" w:hAnsiTheme="minorEastAsia" w:eastAsiaTheme="minorEastAsia"/>
          <w:color w:val="auto"/>
          <w:szCs w:val="21"/>
          <w:highlight w:val="none"/>
          <w:u w:val="none"/>
        </w:rPr>
      </w:pPr>
      <w:r>
        <w:rPr>
          <w:rFonts w:hint="eastAsia" w:asciiTheme="minorEastAsia" w:hAnsiTheme="minorEastAsia" w:eastAsiaTheme="minorEastAsia"/>
          <w:color w:val="auto"/>
          <w:szCs w:val="21"/>
          <w:highlight w:val="none"/>
          <w:u w:val="none"/>
        </w:rPr>
        <w:t>2.各岗位生产人员应具备一定素质，能够区分产品类型，能够对合格品及不良品进行区分，能够理解工艺要求。</w:t>
      </w:r>
    </w:p>
    <w:p>
      <w:pPr>
        <w:pStyle w:val="9"/>
        <w:pageBreakBefore w:val="0"/>
        <w:kinsoku/>
        <w:wordWrap/>
        <w:overflowPunct/>
        <w:topLinePunct w:val="0"/>
        <w:bidi w:val="0"/>
        <w:spacing w:line="300" w:lineRule="auto"/>
        <w:rPr>
          <w:rFonts w:asciiTheme="minorEastAsia" w:hAnsiTheme="minorEastAsia" w:eastAsiaTheme="minorEastAsia"/>
          <w:color w:val="auto"/>
          <w:sz w:val="21"/>
          <w:szCs w:val="21"/>
          <w:highlight w:val="none"/>
          <w:u w:val="none"/>
        </w:rPr>
      </w:pPr>
      <w:r>
        <w:rPr>
          <w:rFonts w:hint="eastAsia"/>
          <w:color w:val="auto"/>
          <w:highlight w:val="none"/>
          <w:u w:val="none"/>
        </w:rPr>
        <w:t xml:space="preserve"> </w:t>
      </w:r>
      <w:r>
        <w:rPr>
          <w:color w:val="auto"/>
          <w:highlight w:val="none"/>
          <w:u w:val="none"/>
        </w:rPr>
        <w:t xml:space="preserve">  </w:t>
      </w:r>
      <w:r>
        <w:rPr>
          <w:rFonts w:asciiTheme="minorEastAsia" w:hAnsiTheme="minorEastAsia" w:eastAsiaTheme="minorEastAsia"/>
          <w:color w:val="auto"/>
          <w:sz w:val="21"/>
          <w:szCs w:val="21"/>
          <w:highlight w:val="none"/>
          <w:u w:val="none"/>
        </w:rPr>
        <w:t>3</w:t>
      </w:r>
      <w:r>
        <w:rPr>
          <w:rFonts w:hint="eastAsia" w:asciiTheme="minorEastAsia" w:hAnsiTheme="minorEastAsia" w:eastAsiaTheme="minorEastAsia"/>
          <w:color w:val="auto"/>
          <w:sz w:val="21"/>
          <w:szCs w:val="21"/>
          <w:highlight w:val="none"/>
          <w:u w:val="none"/>
          <w:lang w:val="en-US" w:eastAsia="zh-CN"/>
        </w:rPr>
        <w:t>.</w:t>
      </w:r>
      <w:r>
        <w:rPr>
          <w:rFonts w:hint="eastAsia" w:asciiTheme="minorEastAsia" w:hAnsiTheme="minorEastAsia" w:eastAsiaTheme="minorEastAsia"/>
          <w:color w:val="auto"/>
          <w:sz w:val="21"/>
          <w:szCs w:val="21"/>
          <w:highlight w:val="none"/>
          <w:u w:val="none"/>
        </w:rPr>
        <w:t>执行公司相关质量管理规定</w:t>
      </w:r>
    </w:p>
    <w:p>
      <w:pPr>
        <w:pStyle w:val="9"/>
        <w:pageBreakBefore w:val="0"/>
        <w:kinsoku/>
        <w:wordWrap/>
        <w:overflowPunct/>
        <w:topLinePunct w:val="0"/>
        <w:bidi w:val="0"/>
        <w:spacing w:line="300" w:lineRule="auto"/>
        <w:rPr>
          <w:rFonts w:ascii="黑体" w:eastAsia="黑体"/>
          <w:b/>
          <w:bCs/>
          <w:color w:val="auto"/>
          <w:sz w:val="36"/>
          <w:szCs w:val="36"/>
          <w:highlight w:val="none"/>
          <w:u w:val="none"/>
        </w:rPr>
      </w:pPr>
    </w:p>
    <w:p>
      <w:pPr>
        <w:pageBreakBefore w:val="0"/>
        <w:kinsoku/>
        <w:wordWrap/>
        <w:overflowPunct/>
        <w:topLinePunct w:val="0"/>
        <w:bidi w:val="0"/>
        <w:spacing w:line="300" w:lineRule="auto"/>
        <w:ind w:firstLine="728" w:firstLineChars="200"/>
        <w:jc w:val="center"/>
        <w:rPr>
          <w:rFonts w:ascii="黑体" w:eastAsia="黑体"/>
          <w:b/>
          <w:bCs/>
          <w:color w:val="auto"/>
          <w:sz w:val="36"/>
          <w:szCs w:val="36"/>
          <w:highlight w:val="none"/>
          <w:u w:val="none"/>
        </w:rPr>
      </w:pPr>
    </w:p>
    <w:p>
      <w:pPr>
        <w:pageBreakBefore w:val="0"/>
        <w:kinsoku/>
        <w:wordWrap/>
        <w:overflowPunct/>
        <w:topLinePunct w:val="0"/>
        <w:bidi w:val="0"/>
        <w:spacing w:line="300" w:lineRule="auto"/>
        <w:ind w:firstLine="728" w:firstLineChars="200"/>
        <w:jc w:val="center"/>
        <w:rPr>
          <w:rFonts w:ascii="黑体" w:eastAsia="黑体"/>
          <w:b/>
          <w:bCs/>
          <w:color w:val="auto"/>
          <w:sz w:val="36"/>
          <w:szCs w:val="36"/>
          <w:highlight w:val="none"/>
          <w:u w:val="none"/>
        </w:rPr>
      </w:pPr>
    </w:p>
    <w:p>
      <w:pPr>
        <w:pageBreakBefore w:val="0"/>
        <w:kinsoku/>
        <w:wordWrap/>
        <w:overflowPunct/>
        <w:topLinePunct w:val="0"/>
        <w:bidi w:val="0"/>
        <w:spacing w:line="300" w:lineRule="auto"/>
        <w:ind w:firstLine="728" w:firstLineChars="200"/>
        <w:jc w:val="center"/>
        <w:rPr>
          <w:rFonts w:ascii="黑体" w:eastAsia="黑体"/>
          <w:b/>
          <w:bCs/>
          <w:color w:val="auto"/>
          <w:sz w:val="36"/>
          <w:szCs w:val="36"/>
          <w:highlight w:val="none"/>
          <w:u w:val="none"/>
        </w:rPr>
      </w:pPr>
    </w:p>
    <w:p>
      <w:pPr>
        <w:pageBreakBefore w:val="0"/>
        <w:kinsoku/>
        <w:wordWrap/>
        <w:overflowPunct/>
        <w:topLinePunct w:val="0"/>
        <w:bidi w:val="0"/>
        <w:spacing w:line="300" w:lineRule="auto"/>
        <w:ind w:firstLine="728" w:firstLineChars="200"/>
        <w:jc w:val="center"/>
        <w:rPr>
          <w:rFonts w:ascii="黑体" w:eastAsia="黑体"/>
          <w:b/>
          <w:bCs/>
          <w:color w:val="auto"/>
          <w:sz w:val="36"/>
          <w:szCs w:val="36"/>
          <w:highlight w:val="none"/>
          <w:u w:val="none"/>
        </w:rPr>
      </w:pPr>
    </w:p>
    <w:p>
      <w:pPr>
        <w:pageBreakBefore w:val="0"/>
        <w:kinsoku/>
        <w:wordWrap/>
        <w:overflowPunct/>
        <w:topLinePunct w:val="0"/>
        <w:bidi w:val="0"/>
        <w:spacing w:line="300" w:lineRule="auto"/>
        <w:ind w:firstLine="728" w:firstLineChars="200"/>
        <w:jc w:val="center"/>
        <w:rPr>
          <w:rFonts w:ascii="黑体" w:eastAsia="黑体"/>
          <w:b/>
          <w:bCs/>
          <w:color w:val="auto"/>
          <w:sz w:val="36"/>
          <w:szCs w:val="36"/>
          <w:highlight w:val="none"/>
          <w:u w:val="none"/>
        </w:rPr>
      </w:pPr>
    </w:p>
    <w:p>
      <w:pPr>
        <w:pageBreakBefore w:val="0"/>
        <w:kinsoku/>
        <w:wordWrap/>
        <w:overflowPunct/>
        <w:topLinePunct w:val="0"/>
        <w:bidi w:val="0"/>
        <w:spacing w:line="300" w:lineRule="auto"/>
        <w:ind w:firstLine="728" w:firstLineChars="200"/>
        <w:jc w:val="center"/>
        <w:rPr>
          <w:rFonts w:ascii="黑体" w:eastAsia="黑体"/>
          <w:b/>
          <w:bCs/>
          <w:color w:val="auto"/>
          <w:sz w:val="36"/>
          <w:szCs w:val="36"/>
          <w:highlight w:val="none"/>
          <w:u w:val="none"/>
        </w:rPr>
      </w:pPr>
    </w:p>
    <w:p>
      <w:pPr>
        <w:pageBreakBefore w:val="0"/>
        <w:kinsoku/>
        <w:wordWrap/>
        <w:overflowPunct/>
        <w:topLinePunct w:val="0"/>
        <w:bidi w:val="0"/>
        <w:spacing w:line="300" w:lineRule="auto"/>
        <w:ind w:firstLine="728" w:firstLineChars="200"/>
        <w:jc w:val="center"/>
        <w:rPr>
          <w:rFonts w:ascii="黑体" w:eastAsia="黑体"/>
          <w:b/>
          <w:bCs/>
          <w:color w:val="auto"/>
          <w:sz w:val="36"/>
          <w:szCs w:val="36"/>
          <w:highlight w:val="none"/>
          <w:u w:val="none"/>
        </w:rPr>
      </w:pPr>
    </w:p>
    <w:p>
      <w:pPr>
        <w:pageBreakBefore w:val="0"/>
        <w:kinsoku/>
        <w:wordWrap/>
        <w:overflowPunct/>
        <w:topLinePunct w:val="0"/>
        <w:bidi w:val="0"/>
        <w:spacing w:line="300" w:lineRule="auto"/>
        <w:ind w:firstLine="728" w:firstLineChars="200"/>
        <w:jc w:val="center"/>
        <w:rPr>
          <w:rFonts w:ascii="黑体" w:eastAsia="黑体"/>
          <w:b/>
          <w:bCs/>
          <w:color w:val="auto"/>
          <w:sz w:val="36"/>
          <w:szCs w:val="36"/>
          <w:highlight w:val="none"/>
          <w:u w:val="none"/>
        </w:rPr>
      </w:pPr>
    </w:p>
    <w:p>
      <w:pPr>
        <w:pageBreakBefore w:val="0"/>
        <w:kinsoku/>
        <w:wordWrap/>
        <w:overflowPunct/>
        <w:topLinePunct w:val="0"/>
        <w:bidi w:val="0"/>
        <w:spacing w:line="300" w:lineRule="auto"/>
        <w:ind w:firstLine="728" w:firstLineChars="200"/>
        <w:jc w:val="center"/>
        <w:rPr>
          <w:rFonts w:ascii="黑体" w:eastAsia="黑体"/>
          <w:b/>
          <w:bCs/>
          <w:color w:val="auto"/>
          <w:sz w:val="36"/>
          <w:szCs w:val="36"/>
          <w:highlight w:val="none"/>
          <w:u w:val="none"/>
        </w:rPr>
      </w:pPr>
    </w:p>
    <w:p>
      <w:pPr>
        <w:pageBreakBefore w:val="0"/>
        <w:kinsoku/>
        <w:wordWrap/>
        <w:overflowPunct/>
        <w:topLinePunct w:val="0"/>
        <w:bidi w:val="0"/>
        <w:spacing w:line="300" w:lineRule="auto"/>
        <w:ind w:firstLine="728" w:firstLineChars="200"/>
        <w:jc w:val="center"/>
        <w:rPr>
          <w:rFonts w:ascii="黑体" w:eastAsia="黑体"/>
          <w:b/>
          <w:bCs/>
          <w:color w:val="auto"/>
          <w:sz w:val="36"/>
          <w:szCs w:val="36"/>
          <w:highlight w:val="none"/>
          <w:u w:val="none"/>
        </w:rPr>
      </w:pPr>
    </w:p>
    <w:p>
      <w:pPr>
        <w:pageBreakBefore w:val="0"/>
        <w:kinsoku/>
        <w:wordWrap/>
        <w:overflowPunct/>
        <w:topLinePunct w:val="0"/>
        <w:bidi w:val="0"/>
        <w:spacing w:line="300" w:lineRule="auto"/>
        <w:ind w:firstLine="728" w:firstLineChars="200"/>
        <w:jc w:val="center"/>
        <w:rPr>
          <w:rFonts w:ascii="黑体" w:eastAsia="黑体"/>
          <w:b/>
          <w:bCs/>
          <w:color w:val="auto"/>
          <w:sz w:val="36"/>
          <w:szCs w:val="36"/>
          <w:highlight w:val="none"/>
          <w:u w:val="none"/>
        </w:rPr>
      </w:pPr>
    </w:p>
    <w:p>
      <w:pPr>
        <w:pageBreakBefore w:val="0"/>
        <w:kinsoku/>
        <w:wordWrap/>
        <w:overflowPunct/>
        <w:topLinePunct w:val="0"/>
        <w:bidi w:val="0"/>
        <w:spacing w:line="300" w:lineRule="auto"/>
        <w:ind w:firstLine="728" w:firstLineChars="200"/>
        <w:jc w:val="center"/>
        <w:rPr>
          <w:rFonts w:ascii="黑体" w:eastAsia="黑体"/>
          <w:b/>
          <w:bCs/>
          <w:color w:val="auto"/>
          <w:sz w:val="36"/>
          <w:szCs w:val="36"/>
          <w:highlight w:val="none"/>
          <w:u w:val="none"/>
        </w:rPr>
      </w:pPr>
    </w:p>
    <w:p>
      <w:pPr>
        <w:pageBreakBefore w:val="0"/>
        <w:kinsoku/>
        <w:wordWrap/>
        <w:overflowPunct/>
        <w:topLinePunct w:val="0"/>
        <w:bidi w:val="0"/>
        <w:spacing w:line="300" w:lineRule="auto"/>
        <w:ind w:firstLine="3640" w:firstLineChars="1000"/>
        <w:rPr>
          <w:rFonts w:ascii="黑体" w:eastAsia="黑体"/>
          <w:b/>
          <w:bCs/>
          <w:color w:val="auto"/>
          <w:sz w:val="36"/>
          <w:szCs w:val="36"/>
          <w:highlight w:val="none"/>
          <w:u w:val="none"/>
        </w:rPr>
      </w:pPr>
    </w:p>
    <w:p>
      <w:pPr>
        <w:pageBreakBefore w:val="0"/>
        <w:kinsoku/>
        <w:wordWrap/>
        <w:overflowPunct/>
        <w:topLinePunct w:val="0"/>
        <w:bidi w:val="0"/>
        <w:spacing w:line="300" w:lineRule="auto"/>
        <w:ind w:firstLine="3640" w:firstLineChars="1000"/>
        <w:rPr>
          <w:rFonts w:ascii="黑体" w:eastAsia="黑体"/>
          <w:b/>
          <w:bCs/>
          <w:color w:val="auto"/>
          <w:sz w:val="36"/>
          <w:szCs w:val="36"/>
          <w:highlight w:val="none"/>
          <w:u w:val="none"/>
        </w:rPr>
      </w:pPr>
    </w:p>
    <w:p>
      <w:pPr>
        <w:pageBreakBefore w:val="0"/>
        <w:kinsoku/>
        <w:wordWrap/>
        <w:overflowPunct/>
        <w:topLinePunct w:val="0"/>
        <w:bidi w:val="0"/>
        <w:spacing w:line="300" w:lineRule="auto"/>
        <w:ind w:firstLine="3640" w:firstLineChars="1000"/>
        <w:rPr>
          <w:rFonts w:ascii="黑体" w:eastAsia="黑体"/>
          <w:b/>
          <w:bCs/>
          <w:color w:val="auto"/>
          <w:sz w:val="36"/>
          <w:szCs w:val="36"/>
          <w:highlight w:val="none"/>
          <w:u w:val="none"/>
        </w:rPr>
      </w:pPr>
    </w:p>
    <w:p>
      <w:pPr>
        <w:pageBreakBefore w:val="0"/>
        <w:kinsoku/>
        <w:wordWrap/>
        <w:overflowPunct/>
        <w:topLinePunct w:val="0"/>
        <w:bidi w:val="0"/>
        <w:spacing w:line="300" w:lineRule="auto"/>
        <w:ind w:firstLine="3640" w:firstLineChars="1000"/>
        <w:rPr>
          <w:rFonts w:ascii="黑体" w:eastAsia="黑体"/>
          <w:b/>
          <w:bCs/>
          <w:color w:val="auto"/>
          <w:sz w:val="36"/>
          <w:szCs w:val="36"/>
          <w:highlight w:val="none"/>
          <w:u w:val="none"/>
        </w:rPr>
      </w:pPr>
    </w:p>
    <w:p>
      <w:pPr>
        <w:pageBreakBefore w:val="0"/>
        <w:kinsoku/>
        <w:wordWrap/>
        <w:overflowPunct/>
        <w:topLinePunct w:val="0"/>
        <w:bidi w:val="0"/>
        <w:spacing w:line="300" w:lineRule="auto"/>
        <w:ind w:firstLine="3640" w:firstLineChars="1000"/>
        <w:rPr>
          <w:rFonts w:ascii="黑体" w:eastAsia="黑体"/>
          <w:b/>
          <w:bCs/>
          <w:color w:val="auto"/>
          <w:sz w:val="36"/>
          <w:szCs w:val="36"/>
          <w:highlight w:val="none"/>
          <w:u w:val="none"/>
        </w:rPr>
      </w:pPr>
    </w:p>
    <w:p>
      <w:pPr>
        <w:pageBreakBefore w:val="0"/>
        <w:kinsoku/>
        <w:wordWrap/>
        <w:overflowPunct/>
        <w:topLinePunct w:val="0"/>
        <w:bidi w:val="0"/>
        <w:spacing w:line="300" w:lineRule="auto"/>
        <w:ind w:firstLine="3640" w:firstLineChars="1000"/>
        <w:rPr>
          <w:rFonts w:ascii="黑体" w:eastAsia="黑体"/>
          <w:b/>
          <w:bCs/>
          <w:color w:val="auto"/>
          <w:sz w:val="36"/>
          <w:szCs w:val="36"/>
          <w:highlight w:val="none"/>
          <w:u w:val="none"/>
        </w:rPr>
      </w:pPr>
    </w:p>
    <w:p>
      <w:pPr>
        <w:pageBreakBefore w:val="0"/>
        <w:kinsoku/>
        <w:wordWrap/>
        <w:overflowPunct/>
        <w:topLinePunct w:val="0"/>
        <w:bidi w:val="0"/>
        <w:spacing w:line="300" w:lineRule="auto"/>
        <w:ind w:firstLine="3640" w:firstLineChars="1000"/>
        <w:rPr>
          <w:rFonts w:ascii="宋体" w:hAnsi="宋体" w:eastAsia="黑体" w:cs="宋体"/>
          <w:color w:val="auto"/>
          <w:sz w:val="22"/>
          <w:szCs w:val="22"/>
          <w:highlight w:val="none"/>
          <w:u w:val="none"/>
        </w:rPr>
      </w:pPr>
      <w:r>
        <w:rPr>
          <w:rFonts w:hint="eastAsia" w:ascii="黑体" w:eastAsia="黑体"/>
          <w:b/>
          <w:bCs/>
          <w:color w:val="auto"/>
          <w:sz w:val="36"/>
          <w:szCs w:val="36"/>
          <w:highlight w:val="none"/>
          <w:u w:val="none"/>
        </w:rPr>
        <w:t>第四章 项目合同</w:t>
      </w:r>
    </w:p>
    <w:p>
      <w:pPr>
        <w:pageBreakBefore w:val="0"/>
        <w:kinsoku/>
        <w:wordWrap/>
        <w:overflowPunct/>
        <w:topLinePunct w:val="0"/>
        <w:bidi w:val="0"/>
        <w:spacing w:line="300" w:lineRule="auto"/>
        <w:ind w:firstLine="428" w:firstLineChars="200"/>
        <w:jc w:val="center"/>
        <w:rPr>
          <w:rFonts w:ascii="宋体" w:hAnsi="宋体" w:cs="宋体"/>
          <w:bCs/>
          <w:color w:val="auto"/>
          <w:szCs w:val="21"/>
          <w:highlight w:val="none"/>
          <w:u w:val="none"/>
        </w:rPr>
      </w:pPr>
      <w:r>
        <w:rPr>
          <w:rFonts w:hint="eastAsia" w:ascii="宋体" w:hAnsi="宋体" w:cs="宋体"/>
          <w:bCs/>
          <w:color w:val="auto"/>
          <w:szCs w:val="21"/>
          <w:highlight w:val="none"/>
          <w:u w:val="none"/>
        </w:rPr>
        <w:t>以双方最终签署的版本为准</w:t>
      </w:r>
    </w:p>
    <w:p>
      <w:pPr>
        <w:pageBreakBefore w:val="0"/>
        <w:kinsoku/>
        <w:wordWrap/>
        <w:overflowPunct/>
        <w:topLinePunct w:val="0"/>
        <w:bidi w:val="0"/>
        <w:spacing w:line="300" w:lineRule="auto"/>
        <w:ind w:firstLine="448" w:firstLineChars="200"/>
        <w:rPr>
          <w:rFonts w:ascii="宋体" w:hAnsi="宋体" w:cs="宋体"/>
          <w:color w:val="auto"/>
          <w:sz w:val="22"/>
          <w:szCs w:val="22"/>
          <w:highlight w:val="none"/>
          <w:u w:val="none"/>
        </w:rPr>
      </w:pPr>
    </w:p>
    <w:p>
      <w:pPr>
        <w:pageBreakBefore w:val="0"/>
        <w:kinsoku/>
        <w:wordWrap/>
        <w:overflowPunct/>
        <w:topLinePunct w:val="0"/>
        <w:bidi w:val="0"/>
        <w:spacing w:line="300" w:lineRule="auto"/>
        <w:ind w:firstLine="448" w:firstLineChars="200"/>
        <w:rPr>
          <w:rFonts w:ascii="宋体" w:hAnsi="宋体" w:cs="宋体"/>
          <w:color w:val="auto"/>
          <w:sz w:val="22"/>
          <w:szCs w:val="22"/>
          <w:highlight w:val="none"/>
          <w:u w:val="none"/>
        </w:rPr>
      </w:pPr>
      <w:r>
        <w:rPr>
          <w:rFonts w:hint="eastAsia" w:ascii="宋体" w:hAnsi="宋体" w:cs="宋体"/>
          <w:color w:val="auto"/>
          <w:sz w:val="22"/>
          <w:szCs w:val="22"/>
          <w:highlight w:val="none"/>
          <w:u w:val="none"/>
        </w:rPr>
        <w:t>甲方：</w:t>
      </w:r>
    </w:p>
    <w:p>
      <w:pPr>
        <w:pageBreakBefore w:val="0"/>
        <w:kinsoku/>
        <w:wordWrap/>
        <w:overflowPunct/>
        <w:topLinePunct w:val="0"/>
        <w:bidi w:val="0"/>
        <w:spacing w:line="300" w:lineRule="auto"/>
        <w:ind w:firstLine="448" w:firstLineChars="200"/>
        <w:rPr>
          <w:rFonts w:ascii="宋体" w:hAnsi="宋体" w:cs="宋体"/>
          <w:color w:val="auto"/>
          <w:sz w:val="22"/>
          <w:szCs w:val="22"/>
          <w:highlight w:val="none"/>
          <w:u w:val="none"/>
        </w:rPr>
      </w:pPr>
      <w:r>
        <w:rPr>
          <w:rFonts w:hint="eastAsia" w:ascii="宋体" w:hAnsi="宋体" w:cs="宋体"/>
          <w:color w:val="auto"/>
          <w:sz w:val="22"/>
          <w:szCs w:val="22"/>
          <w:highlight w:val="none"/>
          <w:u w:val="none"/>
        </w:rPr>
        <w:t>乙方：</w:t>
      </w:r>
    </w:p>
    <w:p>
      <w:pPr>
        <w:pStyle w:val="2"/>
        <w:pageBreakBefore w:val="0"/>
        <w:kinsoku/>
        <w:wordWrap/>
        <w:overflowPunct/>
        <w:topLinePunct w:val="0"/>
        <w:bidi w:val="0"/>
        <w:spacing w:line="300" w:lineRule="auto"/>
        <w:ind w:left="428" w:firstLine="428"/>
        <w:rPr>
          <w:color w:val="auto"/>
          <w:highlight w:val="none"/>
          <w:u w:val="none"/>
        </w:rPr>
      </w:pPr>
    </w:p>
    <w:p>
      <w:pPr>
        <w:pageBreakBefore w:val="0"/>
        <w:kinsoku/>
        <w:wordWrap/>
        <w:overflowPunct/>
        <w:topLinePunct w:val="0"/>
        <w:bidi w:val="0"/>
        <w:spacing w:line="300" w:lineRule="auto"/>
        <w:ind w:firstLine="448" w:firstLineChars="200"/>
        <w:rPr>
          <w:rFonts w:ascii="宋体" w:hAnsi="宋体" w:cs="宋体"/>
          <w:color w:val="auto"/>
          <w:sz w:val="22"/>
          <w:szCs w:val="22"/>
          <w:highlight w:val="none"/>
          <w:u w:val="none"/>
        </w:rPr>
      </w:pPr>
      <w:r>
        <w:rPr>
          <w:rFonts w:hint="eastAsia" w:ascii="宋体" w:hAnsi="宋体" w:cs="宋体"/>
          <w:color w:val="auto"/>
          <w:sz w:val="22"/>
          <w:szCs w:val="22"/>
          <w:highlight w:val="none"/>
          <w:u w:val="none"/>
        </w:rPr>
        <w:t>根据中华人民共和国相关法律、法规的规定，甲、乙双方在平等、自愿、互利的基础上经协商一致，就乙方负责承包甲方            业务(以下简称   业务)事宜，商定如下条款：</w:t>
      </w:r>
    </w:p>
    <w:p>
      <w:pPr>
        <w:pageBreakBefore w:val="0"/>
        <w:kinsoku/>
        <w:wordWrap/>
        <w:overflowPunct/>
        <w:topLinePunct w:val="0"/>
        <w:bidi w:val="0"/>
        <w:spacing w:line="300" w:lineRule="auto"/>
        <w:ind w:firstLine="426" w:firstLineChars="209"/>
        <w:rPr>
          <w:rFonts w:ascii="宋体" w:hAnsi="宋体" w:cs="宋体"/>
          <w:b/>
          <w:color w:val="auto"/>
          <w:sz w:val="20"/>
          <w:highlight w:val="none"/>
          <w:u w:val="none"/>
        </w:rPr>
      </w:pPr>
      <w:r>
        <w:rPr>
          <w:rFonts w:hint="eastAsia" w:ascii="宋体" w:hAnsi="宋体" w:cs="宋体"/>
          <w:b/>
          <w:color w:val="auto"/>
          <w:sz w:val="20"/>
          <w:highlight w:val="none"/>
          <w:u w:val="none"/>
        </w:rPr>
        <w:t>第一条：合同期限</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1、承包日期从2</w:t>
      </w:r>
      <w:r>
        <w:rPr>
          <w:rFonts w:ascii="宋体" w:hAnsi="宋体" w:cs="宋体"/>
          <w:color w:val="auto"/>
          <w:sz w:val="20"/>
          <w:highlight w:val="none"/>
          <w:u w:val="none"/>
        </w:rPr>
        <w:t>02</w:t>
      </w:r>
      <w:r>
        <w:rPr>
          <w:rFonts w:hint="eastAsia" w:ascii="宋体" w:hAnsi="宋体" w:cs="宋体"/>
          <w:color w:val="auto"/>
          <w:sz w:val="20"/>
          <w:highlight w:val="none"/>
          <w:u w:val="none"/>
          <w:lang w:val="en-US" w:eastAsia="zh-CN"/>
        </w:rPr>
        <w:t>3</w:t>
      </w:r>
      <w:r>
        <w:rPr>
          <w:rFonts w:hint="eastAsia" w:ascii="宋体" w:hAnsi="宋体" w:cs="宋体"/>
          <w:color w:val="auto"/>
          <w:sz w:val="20"/>
          <w:highlight w:val="none"/>
          <w:u w:val="none"/>
        </w:rPr>
        <w:t>年1月1日至2</w:t>
      </w:r>
      <w:r>
        <w:rPr>
          <w:rFonts w:ascii="宋体" w:hAnsi="宋体" w:cs="宋体"/>
          <w:color w:val="auto"/>
          <w:sz w:val="20"/>
          <w:highlight w:val="none"/>
          <w:u w:val="none"/>
        </w:rPr>
        <w:t>02</w:t>
      </w:r>
      <w:r>
        <w:rPr>
          <w:rFonts w:hint="eastAsia" w:ascii="宋体" w:hAnsi="宋体" w:cs="宋体"/>
          <w:color w:val="auto"/>
          <w:sz w:val="20"/>
          <w:highlight w:val="none"/>
          <w:u w:val="none"/>
          <w:lang w:val="en-US" w:eastAsia="zh-CN"/>
        </w:rPr>
        <w:t>3</w:t>
      </w:r>
      <w:r>
        <w:rPr>
          <w:rFonts w:hint="eastAsia" w:ascii="宋体" w:hAnsi="宋体" w:cs="宋体"/>
          <w:color w:val="auto"/>
          <w:sz w:val="20"/>
          <w:highlight w:val="none"/>
          <w:u w:val="none"/>
        </w:rPr>
        <w:t>年1</w:t>
      </w:r>
      <w:r>
        <w:rPr>
          <w:rFonts w:ascii="宋体" w:hAnsi="宋体" w:cs="宋体"/>
          <w:color w:val="auto"/>
          <w:sz w:val="20"/>
          <w:highlight w:val="none"/>
          <w:u w:val="none"/>
        </w:rPr>
        <w:t>2</w:t>
      </w:r>
      <w:r>
        <w:rPr>
          <w:rFonts w:hint="eastAsia" w:ascii="宋体" w:hAnsi="宋体" w:cs="宋体"/>
          <w:color w:val="auto"/>
          <w:sz w:val="20"/>
          <w:highlight w:val="none"/>
          <w:u w:val="none"/>
        </w:rPr>
        <w:t>月3</w:t>
      </w:r>
      <w:r>
        <w:rPr>
          <w:rFonts w:ascii="宋体" w:hAnsi="宋体" w:cs="宋体"/>
          <w:color w:val="auto"/>
          <w:sz w:val="20"/>
          <w:highlight w:val="none"/>
          <w:u w:val="none"/>
        </w:rPr>
        <w:t>1</w:t>
      </w:r>
      <w:r>
        <w:rPr>
          <w:rFonts w:hint="eastAsia" w:ascii="宋体" w:hAnsi="宋体"/>
          <w:color w:val="auto"/>
          <w:sz w:val="20"/>
          <w:highlight w:val="none"/>
          <w:u w:val="none"/>
        </w:rPr>
        <w:t>日。</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2、合同期满前一个月，甲方应评估是否决定继续进行业务外包。如甲方决定不再进行业务外包，通知乙方后，乙方应做好撤离准备，双方结清所有费用，确保合同承包到期时撤离。</w:t>
      </w:r>
    </w:p>
    <w:p>
      <w:pPr>
        <w:pageBreakBefore w:val="0"/>
        <w:kinsoku/>
        <w:wordWrap/>
        <w:overflowPunct/>
        <w:topLinePunct w:val="0"/>
        <w:bidi w:val="0"/>
        <w:spacing w:line="300" w:lineRule="auto"/>
        <w:ind w:firstLine="426" w:firstLineChars="209"/>
        <w:rPr>
          <w:rFonts w:ascii="宋体" w:hAnsi="宋体" w:cs="宋体"/>
          <w:b/>
          <w:color w:val="auto"/>
          <w:sz w:val="20"/>
          <w:highlight w:val="none"/>
          <w:u w:val="none"/>
        </w:rPr>
      </w:pPr>
      <w:r>
        <w:rPr>
          <w:rFonts w:hint="eastAsia" w:ascii="宋体" w:hAnsi="宋体" w:cs="宋体"/>
          <w:b/>
          <w:color w:val="auto"/>
          <w:sz w:val="20"/>
          <w:highlight w:val="none"/>
          <w:u w:val="none"/>
        </w:rPr>
        <w:t>第二条：外包内容</w:t>
      </w:r>
    </w:p>
    <w:p>
      <w:pPr>
        <w:pageBreakBefore w:val="0"/>
        <w:numPr>
          <w:ilvl w:val="0"/>
          <w:numId w:val="6"/>
        </w:numPr>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乙方承包的甲方区域为：</w:t>
      </w:r>
    </w:p>
    <w:p>
      <w:pPr>
        <w:pageBreakBefore w:val="0"/>
        <w:kinsoku/>
        <w:wordWrap/>
        <w:overflowPunct/>
        <w:topLinePunct w:val="0"/>
        <w:bidi w:val="0"/>
        <w:spacing w:line="300" w:lineRule="auto"/>
        <w:ind w:firstLine="408" w:firstLineChars="200"/>
        <w:rPr>
          <w:rFonts w:ascii="宋体" w:hAnsi="宋体" w:cs="宋体"/>
          <w:color w:val="auto"/>
          <w:sz w:val="20"/>
          <w:highlight w:val="none"/>
          <w:u w:val="none"/>
        </w:rPr>
      </w:pPr>
      <w:r>
        <w:rPr>
          <w:rFonts w:hint="eastAsia" w:ascii="宋体" w:hAnsi="宋体" w:cs="宋体"/>
          <w:color w:val="auto"/>
          <w:sz w:val="20"/>
          <w:highlight w:val="none"/>
          <w:u w:val="none"/>
        </w:rPr>
        <w:t>2、乙方承包的内容为：</w:t>
      </w:r>
    </w:p>
    <w:p>
      <w:pPr>
        <w:pageBreakBefore w:val="0"/>
        <w:kinsoku/>
        <w:wordWrap/>
        <w:overflowPunct/>
        <w:topLinePunct w:val="0"/>
        <w:bidi w:val="0"/>
        <w:spacing w:line="300" w:lineRule="auto"/>
        <w:ind w:firstLine="426" w:firstLineChars="209"/>
        <w:rPr>
          <w:rFonts w:ascii="宋体" w:hAnsi="宋体" w:cs="宋体"/>
          <w:b/>
          <w:color w:val="auto"/>
          <w:sz w:val="20"/>
          <w:highlight w:val="none"/>
          <w:u w:val="none"/>
        </w:rPr>
      </w:pPr>
      <w:r>
        <w:rPr>
          <w:rFonts w:hint="eastAsia" w:ascii="宋体" w:hAnsi="宋体" w:cs="宋体"/>
          <w:b/>
          <w:color w:val="auto"/>
          <w:sz w:val="20"/>
          <w:highlight w:val="none"/>
          <w:u w:val="none"/>
        </w:rPr>
        <w:t>第三条：外包形式</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1、人员</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1.1甲方将上述业务外包给乙方后，乙方自行组织业务开展，乙方确保已与其派出至甲方的人员签署正式劳动合同,该等人员的资质、技能等素质应满足外包业务的工作要求，乙方负责对所用人员的管理(包括签署劳动合同,支付报酬,交纳保险等)。</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1.2甲方指定固定的工作人员作为甲方与乙方的接口及协调人员，负责协调甲方与乙方的相关事宜。</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1.3乙方指定专人    (身份证号码：           ）负责乙方日常管理（安全、物流、质量、设备以及基础管理等），负责与甲方接口、协调相关事宜。</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2、生产作业计划：</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2.1编制：甲方负责生产计划的编制,制定生产作业计划。</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2.2下达：甲方将生产作业计划提前一天传递给乙方，乙方根据甲方的生产作业计划组织业务开展。</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2.3调整：紧急情况下，甲方因特殊原因，需要紧急调整生产作业计划时，须及时通知乙方，并提供相关支持，乙方必须全力配合以便保证生产供应；乙方因特殊原因，需要调整生产计划时，必须经甲方书面同意后方可实施，以便保证生产供应。</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3、物资管理：</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3.1记录：乙方建立甲方仓储物资的台账，指定固定人员管理，并保管好相关单据。保证现场实物、台账、单据与物资管理系统信息一致。</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3.2盘点：乙方应按照甲方要求进行盘点，并形成相关记录，盘点范围包含乙方现场管理区域内所有产品。乙方对盘点结果数据准确性负全部责任。</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3.3甲方有权对乙方的记录、盘点工作进行监督、核对，并有权对乙方的工作失误予以考核。</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4、生产管理：</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4.1设备操作：乙方设备操作人员必须经过专门培训，并经甲方考评合格后，持证上岗；无证人员不得操作设备。乙方设备操作人员的培训由乙方负责。</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4.2产品摆放：乙方同意按要求执行甲方工艺文件，使用规定的工位器具，并按规定的数量和方式摆放整齐，不准出现超高、杂乱、混放等现象；乙方必须保证产品标示规范，且标示卡与实物数量一致。</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4.3因乙方人员的设备操作及产品摆放不符合上述约定，导致产生安全生产事故，由乙方自行承担所有损失，如因此给甲方或第三方造成任何损失，乙方承担全部赔偿责任</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5、质量控制</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5.1乙方要提供质量管理体系认证证明，并提供相一致实施记录。</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5.2乙方要提供经甲方书面认可的承包生产过程的质量控制计划，计划要包含：操作岗位要求，操作者的工作技能、工作经历、受教育情况、上岗培训；相关生产设备、工装器具的维护保养等；承包方要制定与生产过程相关的检测标准及作业指导书，并贯彻实施；承包方要确保生产、仓储、转序的环境满足产品质量的要求。</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5.3乙方确保交付的产品经甲方检验人员的检验认可，符合甲方的质量标准要求。</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6、其他约定</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6.1业务开展使用的辅料由甲方提供。</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6.2天然气、压缩空气、水、电等能源费用由甲方承担。</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6.3甲方提供给乙方的行车、车辆等设备由乙方负责日常维护保养。</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6.</w:t>
      </w:r>
      <w:r>
        <w:rPr>
          <w:rFonts w:ascii="宋体" w:hAnsi="宋体" w:cs="宋体"/>
          <w:color w:val="auto"/>
          <w:sz w:val="20"/>
          <w:highlight w:val="none"/>
          <w:u w:val="none"/>
        </w:rPr>
        <w:t>4</w:t>
      </w:r>
      <w:r>
        <w:rPr>
          <w:rFonts w:hint="eastAsia" w:ascii="宋体" w:hAnsi="宋体" w:cs="宋体"/>
          <w:color w:val="auto"/>
          <w:sz w:val="20"/>
          <w:highlight w:val="none"/>
          <w:u w:val="none"/>
        </w:rPr>
        <w:t>乙方员工的乘用车由乙方自行解决。</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6.</w:t>
      </w:r>
      <w:r>
        <w:rPr>
          <w:rFonts w:ascii="宋体" w:hAnsi="宋体" w:cs="宋体"/>
          <w:color w:val="auto"/>
          <w:sz w:val="20"/>
          <w:highlight w:val="none"/>
          <w:u w:val="none"/>
        </w:rPr>
        <w:t>5</w:t>
      </w:r>
      <w:r>
        <w:rPr>
          <w:rFonts w:hint="eastAsia" w:ascii="宋体" w:hAnsi="宋体" w:cs="宋体"/>
          <w:color w:val="auto"/>
          <w:sz w:val="20"/>
          <w:highlight w:val="none"/>
          <w:u w:val="none"/>
        </w:rPr>
        <w:t>乙方员工使用的工作服、手套、劳保鞋、防毒口罩等劳保用品由</w:t>
      </w:r>
      <w:bookmarkStart w:id="6" w:name="OLE_LINK4"/>
      <w:bookmarkStart w:id="7" w:name="OLE_LINK3"/>
      <w:r>
        <w:rPr>
          <w:rFonts w:hint="eastAsia" w:ascii="宋体" w:hAnsi="宋体" w:cs="宋体"/>
          <w:color w:val="auto"/>
          <w:sz w:val="20"/>
          <w:highlight w:val="none"/>
          <w:u w:val="none"/>
        </w:rPr>
        <w:t>乙方</w:t>
      </w:r>
      <w:bookmarkEnd w:id="6"/>
      <w:bookmarkEnd w:id="7"/>
      <w:r>
        <w:rPr>
          <w:rFonts w:hint="eastAsia" w:ascii="宋体" w:hAnsi="宋体" w:cs="宋体"/>
          <w:color w:val="auto"/>
          <w:sz w:val="20"/>
          <w:highlight w:val="none"/>
          <w:u w:val="none"/>
        </w:rPr>
        <w:t>自行解决，乙方应确保相关劳保用品的合格性和适用性。</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6.</w:t>
      </w:r>
      <w:r>
        <w:rPr>
          <w:rFonts w:ascii="宋体" w:hAnsi="宋体" w:cs="宋体"/>
          <w:color w:val="auto"/>
          <w:sz w:val="20"/>
          <w:highlight w:val="none"/>
          <w:u w:val="none"/>
        </w:rPr>
        <w:t>6</w:t>
      </w:r>
      <w:r>
        <w:rPr>
          <w:rFonts w:hint="eastAsia" w:ascii="宋体" w:hAnsi="宋体" w:cs="宋体"/>
          <w:color w:val="auto"/>
          <w:sz w:val="20"/>
          <w:highlight w:val="none"/>
          <w:u w:val="none"/>
        </w:rPr>
        <w:t>除第二条第一款内容之外的电话、电脑、打印机等办公设备由乙方自行购买，确保满足甲方的生产需求。</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b/>
          <w:color w:val="auto"/>
          <w:sz w:val="20"/>
          <w:highlight w:val="none"/>
          <w:u w:val="none"/>
        </w:rPr>
        <w:t>第四条：费用结算</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1、本合同价款以实际履行金额为准，结算价格为不含税价格。结算方式为</w:t>
      </w:r>
      <w:r>
        <w:rPr>
          <w:rFonts w:hint="eastAsia" w:ascii="宋体" w:hAnsi="宋体" w:cs="宋体"/>
          <w:color w:val="auto"/>
          <w:sz w:val="20"/>
          <w:highlight w:val="none"/>
          <w:u w:val="none"/>
          <w:lang w:val="en-US" w:eastAsia="zh-CN"/>
        </w:rPr>
        <w:t>半年期商业汇票</w:t>
      </w:r>
      <w:r>
        <w:rPr>
          <w:rFonts w:hint="eastAsia" w:ascii="宋体" w:hAnsi="宋体" w:cs="宋体"/>
          <w:color w:val="auto"/>
          <w:sz w:val="20"/>
          <w:highlight w:val="none"/>
          <w:u w:val="none"/>
        </w:rPr>
        <w:t>，结算期限为乙方开具发票挂账后，甲方</w:t>
      </w:r>
      <w:r>
        <w:rPr>
          <w:rFonts w:ascii="宋体" w:hAnsi="宋体" w:cs="宋体"/>
          <w:color w:val="auto"/>
          <w:sz w:val="20"/>
          <w:highlight w:val="none"/>
          <w:u w:val="none"/>
        </w:rPr>
        <w:t>30</w:t>
      </w:r>
      <w:r>
        <w:rPr>
          <w:rFonts w:hint="eastAsia" w:ascii="宋体" w:hAnsi="宋体" w:cs="宋体"/>
          <w:color w:val="auto"/>
          <w:sz w:val="20"/>
          <w:highlight w:val="none"/>
          <w:u w:val="none"/>
        </w:rPr>
        <w:t>天后付款。如国家出台新政策对增值税率进行了调整，则不含税价款不变，本合同含税总价在不含税价基础上根据国家最新税法进行相应的调整。</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本合同价款指甲方支付给乙方提供加工、服务的款项，除此之外，甲方不承担任何费用。因本合同的履行，甲方承担了本合同价款以外的任何款项、费用等，甲方均有权从乙方保证金、对乙方应付款项中予以扣除。</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ascii="宋体" w:hAnsi="宋体" w:cs="宋体"/>
          <w:color w:val="auto"/>
          <w:sz w:val="20"/>
          <w:highlight w:val="none"/>
          <w:u w:val="none"/>
        </w:rPr>
        <w:t>2</w:t>
      </w:r>
      <w:r>
        <w:rPr>
          <w:rFonts w:hint="eastAsia" w:ascii="宋体" w:hAnsi="宋体" w:cs="宋体"/>
          <w:color w:val="auto"/>
          <w:sz w:val="20"/>
          <w:highlight w:val="none"/>
          <w:u w:val="none"/>
        </w:rPr>
        <w:t>、甲方年实际产量超过价格谈判时设定的基准产量10﹪以上时，甲方有权降低乙方的外包价格，双方可另行签订补充协议。</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b/>
          <w:color w:val="auto"/>
          <w:sz w:val="20"/>
          <w:highlight w:val="none"/>
          <w:u w:val="none"/>
        </w:rPr>
        <w:t>第五条：外包区域甲方资产的使用</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1、乙方负责甲方设备资产的完好性，乙方要甲方规定的时间内对设备进行周期性的保养维护；因乙方原因造成的设备损坏，乙方要负责修复，其采购的设备配件必须满足甲方的相关标准要求，并承担其在生产过程中的保养、维护费用；设备正常磨损、老化造成的设备备件更换维修，由甲方负责，乙方协助维修。</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2、厂房、设备在外包期间的所有权属于甲方。乙方应对外包区域甲方资产合理使用与妥善维护、保管。合同终止时，双方要检查验收，如因保管、使用、维护不善造成外包区域甲方资产损毁、丢失或其他不适当减值时，乙方应按资产原值向甲方支付赔偿金。</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3、乙方外包使用的甲方的机器设备不得带离原场地，必须就地存放、使用。</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4、乙方对外包区域内甲方资产负有妥善使用及维护之责任，对各种可能出现的故障和危险应及时消除，以避免一切可能发生的隐患。乙方应爱护甲方资产，因乙方保管不善或使用不当造成甲方资产损坏，乙方应负责维修，费用由乙方承担。</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 xml:space="preserve">5、乙方在承包期间须严格遵守《中华人民共和国消防条例》以及山东省、济南市的相关法律法规及有关制度，积极配合甲方做好消防工作，否则，由此产生的一切责任及损失由乙方承担。乙方应在外包区域内按有关规定配置灭火器，严禁将楼宇内消防设施用作其它用途。 </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 xml:space="preserve">6、乙方在承包期间在外包区域确因维修等事务需进行一级临时动火作业时（含电焊、风焊等明火作业），须按法律规定并经甲方书面审批。 </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7、乙方必须按照甲方要求搞好外包区域现场的整理、整顿、清扫、清洁、素养工作，达到5S管理标准。 甲方有权对乙方的现场管理工作做出评价，并给出相应的考核。</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 xml:space="preserve">8、乙方如需对外包的甲方厂房进行装修、改建，须事先向甲方提交装修、改建设计方案，并经甲方书面同意后方可进行。改建、装修费用由乙方承担。 </w:t>
      </w:r>
    </w:p>
    <w:p>
      <w:pPr>
        <w:pageBreakBefore w:val="0"/>
        <w:kinsoku/>
        <w:wordWrap/>
        <w:overflowPunct/>
        <w:topLinePunct w:val="0"/>
        <w:bidi w:val="0"/>
        <w:spacing w:line="300" w:lineRule="auto"/>
        <w:ind w:firstLine="426" w:firstLineChars="209"/>
        <w:rPr>
          <w:rFonts w:ascii="宋体" w:hAnsi="宋体" w:cs="宋体"/>
          <w:b/>
          <w:color w:val="auto"/>
          <w:sz w:val="20"/>
          <w:highlight w:val="none"/>
          <w:u w:val="none"/>
        </w:rPr>
      </w:pPr>
      <w:r>
        <w:rPr>
          <w:rFonts w:hint="eastAsia" w:ascii="宋体" w:hAnsi="宋体" w:cs="宋体"/>
          <w:b/>
          <w:color w:val="auto"/>
          <w:sz w:val="20"/>
          <w:highlight w:val="none"/>
          <w:u w:val="none"/>
        </w:rPr>
        <w:t>第六条：甲乙双方权利义务</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1、乙方自愿承包，保质、保量完成甲方外包的业务，负责承包业务范围的安全生产、环境保护、职业健康等所有管理事务，并接受甲方的监督管理。</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2、乙方严格按照甲方的生产作业计划组织发交，确保发交的准确性、及时性；确保产品的外观质量达到甲方质量要求，否则，由此产生的一切责任及损失由乙方承担。</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3、乙方承包业务范围内的员工由乙方自管理，工资待遇由乙方和员工自行商定，但不得低于当地最低工资标准，社保福利全部按国家规定执行。乙方自行发放员工工资，不得无故拖欠员工工资。乙方进入外包范围内的员工必须做好入厂登记及相关知识的培训。乙方不得聘用被甲方辞退或处理的人员。</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4、乙方在合同期间内，严格按照安全操作规程作业。乙方人员工伤、环境保护、职业健康等一切事故及劳资纠纷均由乙方自行解决，与甲方无关。乙方人员在其工作期间患病或受到人身伤害，由乙方自行解决（包括承担民事赔偿责任），与甲方无关。</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乙方有义务采取措施确保安全作业，乙方在生产作业过程中所发生的人身事故、责任与费用均由乙方承担。</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5、乙方员工在甲方厂区工作期间，需奉公守法，如有违反甲方管理规定或触犯国家法律法规的，乙方应当予以辞退。</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6、甲方有权对乙方的生产环境、劳动保护等相关管理情况进行监督，甲方发现乙方有违规行为，有权终止合同或给予经济处罚。</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7、甲方对乙方进行监督检查，如乙方达不到甲方的管理要求，有权责令乙方进行整改，若乙方不及时整改或经两次口头警告通知后仍未达到标准，可以书面通知乙方并视情况扣除乙方当月外包费的0.5％－1％，直至终止合同。</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8、甲方供乙方使用的行车、叉车等特殊设备要确保符合年审要求，因乙方维护不当造成年审不通过，所发生的二次年审费用由乙方承担。</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9、乙方确保产生的危险废物规范处置。</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10、在甲方客户参观、职能部门入厂检查等需要乙方配合的活动时，乙方应无条件配合甲方的安排。</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11、乙方不得改变外包范围内的厂房和设备设施的性能和用途，确因生产需要改变的应以书面形式报甲方同意后方可改造，费用协商处理。</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12、承包期满，厂房和设备设施必须保持原状，损失或遗失的按交接时的实际价值由乙方全额赔偿。乙方对甲方的仓库、行车等资产负有妥善保管责任；由于乙方管理不善造成甲方设备设施损坏、丢失的，乙方应承担赔偿责任。由于乙方责任造成甲方财产损失由乙方承担。</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13、乙方必须接受甲方的监督，严格遵守甲方的各项规章制度，接受甲方每周设备保养维护和安全生产检查。</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14、因乙方外包业务出现问题，造成甲方生产停线，视原因不同由乙方承担不同程度的违约责任，具体如下：</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⑴、因乙方产品质量问题造成停线，乙方支付当月外包费的5％－10％作为违约金，直至终止合同；</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⑵、因乙方不能按时完成生产任务造成停线，乙方支付当月外包费的5％－10％作为违约金，直至终止合同；</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⑶、因乙方出现小范围群体摩擦任务造成停线，乙方支付当月外包费的10％－30％作为违约金，直至终止合同。</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15、乙方在外包范围内生产经营与本外包业务无关的业务，乙方承担经营无关业务总价值三倍的违约责任。</w:t>
      </w:r>
    </w:p>
    <w:p>
      <w:pPr>
        <w:pageBreakBefore w:val="0"/>
        <w:kinsoku/>
        <w:wordWrap/>
        <w:overflowPunct/>
        <w:topLinePunct w:val="0"/>
        <w:bidi w:val="0"/>
        <w:spacing w:line="300" w:lineRule="auto"/>
        <w:ind w:firstLine="426" w:firstLineChars="209"/>
        <w:rPr>
          <w:rFonts w:ascii="宋体" w:hAnsi="宋体" w:cs="宋体"/>
          <w:b/>
          <w:color w:val="auto"/>
          <w:sz w:val="20"/>
          <w:highlight w:val="none"/>
          <w:u w:val="none"/>
        </w:rPr>
      </w:pPr>
      <w:r>
        <w:rPr>
          <w:rFonts w:hint="eastAsia" w:ascii="宋体" w:hAnsi="宋体" w:cs="宋体"/>
          <w:b/>
          <w:color w:val="auto"/>
          <w:sz w:val="20"/>
          <w:highlight w:val="none"/>
          <w:u w:val="none"/>
        </w:rPr>
        <w:t>第七条：合同解除终止的条件</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1、甲方下达的生产任务乙方3次以上非因甲方原因不能按时完成生产任务、发生3次以上质量问题的、发生一次重大批量性事故的或出现一次影响甲方公司形象的重大事件的，甲方有权单方终止本合同；</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2、乙方无故拖欠员工工资一个月以上的或乙方员工出现一次群体性事件的；</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3、甲方或乙方解除合同需提前30日以上书面通知对方，经甲乙双方友好协商一致同意解除合同的。</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4、乙方在外包范围内生产经营与本外包业务无关的业务。</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5、承包合同签订后前三个月为试用期，试用期满考核合格后继续执行本合同，如考核不合格，甲方有权单方解除合同。</w:t>
      </w:r>
    </w:p>
    <w:p>
      <w:pPr>
        <w:pageBreakBefore w:val="0"/>
        <w:kinsoku/>
        <w:wordWrap/>
        <w:overflowPunct/>
        <w:topLinePunct w:val="0"/>
        <w:bidi w:val="0"/>
        <w:spacing w:line="300" w:lineRule="auto"/>
        <w:ind w:firstLine="426" w:firstLineChars="209"/>
        <w:rPr>
          <w:rFonts w:ascii="宋体" w:hAnsi="宋体" w:cs="宋体"/>
          <w:b/>
          <w:color w:val="auto"/>
          <w:sz w:val="20"/>
          <w:highlight w:val="none"/>
          <w:u w:val="none"/>
        </w:rPr>
      </w:pPr>
      <w:r>
        <w:rPr>
          <w:rFonts w:hint="eastAsia" w:ascii="宋体" w:hAnsi="宋体" w:cs="宋体"/>
          <w:b/>
          <w:color w:val="auto"/>
          <w:sz w:val="20"/>
          <w:highlight w:val="none"/>
          <w:u w:val="none"/>
        </w:rPr>
        <w:t>第八条：其他</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1、除合同中另有规定外或经双方协商同意外，本合同所规定双方的任何权利和义务，任何一方在未经征得另一方书面同意之前，不得转让给第三者。任何转让，未经另一方书面明确同意，均属无效。</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2、合同有效期内，双方可就相关条款提出修改意见，经协商一致后达成书面补充协议。书面补充协议作为本合同的补充部分，与本合同具备同等效力。</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3、合同双方同意在本合同执行期间及终止后三年内，将最严密地保存因与对方的关系而掌握的与对方的业务、产品、程序、研究或发展有关的一切数据、工艺、配方、图纸、商业秘密（包括但不限于市场信息及客户名单）（以下统称“保密资料”），上述保密资料均归发包方所有，未经发包方的事先书面授权，承包方不得把保密资料泄漏或转让、转许可给任何个人、单位或团体；承包方不得将上述图纸、工艺或技术等申报专利。</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4、本合同期满或因其他原因终止，承包方应将上述保密资料的原件及所有复制件全部归还发包方，不能归还的，应在双方代表在场情况下予以销毁，并在双方销毁记录上签字。如因承包方未将上述资料返还或按约定销毁,承包方应承担已发生的平均每月外包费的5-10倍作为违约金,并赔偿甲方因此受到的损失。</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5、乙方确认其在本合同的单位地址为可以接收到函件的有效送达地址，如有变更应在变更后3日内以书面形式通知甲方，否则，甲方依本合同中的乙方地址寄发函件即视为送达。</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6、本合同在履行中发生争议产生纠纷时，双方协调解决，协商不成的由甲方所在地法院诉讼解决。</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7、本合同依法订立，双方代表人签字并盖章后即具有法律效力，双方必须严格履行。</w:t>
      </w:r>
    </w:p>
    <w:p>
      <w:pPr>
        <w:pageBreakBefore w:val="0"/>
        <w:kinsoku/>
        <w:wordWrap/>
        <w:overflowPunct/>
        <w:topLinePunct w:val="0"/>
        <w:bidi w:val="0"/>
        <w:spacing w:line="300" w:lineRule="auto"/>
        <w:ind w:firstLine="426" w:firstLineChars="209"/>
        <w:rPr>
          <w:rFonts w:ascii="宋体" w:hAnsi="宋体" w:cs="宋体"/>
          <w:color w:val="auto"/>
          <w:sz w:val="20"/>
          <w:highlight w:val="none"/>
          <w:u w:val="none"/>
        </w:rPr>
      </w:pPr>
      <w:r>
        <w:rPr>
          <w:rFonts w:hint="eastAsia" w:ascii="宋体" w:hAnsi="宋体" w:cs="宋体"/>
          <w:color w:val="auto"/>
          <w:sz w:val="20"/>
          <w:highlight w:val="none"/>
          <w:u w:val="none"/>
        </w:rPr>
        <w:t>8、本合同一式六份，甲方四份，乙方两份。</w:t>
      </w:r>
    </w:p>
    <w:p>
      <w:pPr>
        <w:pageBreakBefore w:val="0"/>
        <w:kinsoku/>
        <w:wordWrap/>
        <w:overflowPunct/>
        <w:topLinePunct w:val="0"/>
        <w:bidi w:val="0"/>
        <w:spacing w:line="300" w:lineRule="auto"/>
        <w:ind w:firstLine="408" w:firstLineChars="200"/>
        <w:rPr>
          <w:rFonts w:ascii="宋体" w:hAnsi="宋体" w:cs="宋体"/>
          <w:color w:val="auto"/>
          <w:sz w:val="20"/>
          <w:highlight w:val="none"/>
          <w:u w:val="none"/>
        </w:rPr>
      </w:pPr>
    </w:p>
    <w:p>
      <w:pPr>
        <w:pStyle w:val="2"/>
        <w:pageBreakBefore w:val="0"/>
        <w:kinsoku/>
        <w:wordWrap/>
        <w:overflowPunct/>
        <w:topLinePunct w:val="0"/>
        <w:bidi w:val="0"/>
        <w:spacing w:line="300" w:lineRule="auto"/>
        <w:ind w:left="428" w:firstLine="408"/>
        <w:rPr>
          <w:rFonts w:ascii="宋体" w:hAnsi="宋体" w:cs="宋体"/>
          <w:color w:val="auto"/>
          <w:sz w:val="20"/>
          <w:highlight w:val="none"/>
          <w:u w:val="none"/>
        </w:rPr>
      </w:pPr>
    </w:p>
    <w:p>
      <w:pPr>
        <w:pStyle w:val="2"/>
        <w:pageBreakBefore w:val="0"/>
        <w:kinsoku/>
        <w:wordWrap/>
        <w:overflowPunct/>
        <w:topLinePunct w:val="0"/>
        <w:bidi w:val="0"/>
        <w:spacing w:line="300" w:lineRule="auto"/>
        <w:ind w:left="428" w:firstLine="408"/>
        <w:rPr>
          <w:rFonts w:ascii="宋体" w:hAnsi="宋体" w:cs="宋体"/>
          <w:color w:val="auto"/>
          <w:sz w:val="20"/>
          <w:highlight w:val="none"/>
          <w:u w:val="none"/>
        </w:rPr>
      </w:pPr>
    </w:p>
    <w:p>
      <w:pPr>
        <w:pStyle w:val="2"/>
        <w:pageBreakBefore w:val="0"/>
        <w:kinsoku/>
        <w:wordWrap/>
        <w:overflowPunct/>
        <w:topLinePunct w:val="0"/>
        <w:bidi w:val="0"/>
        <w:spacing w:line="300" w:lineRule="auto"/>
        <w:ind w:left="428" w:firstLine="408"/>
        <w:rPr>
          <w:rFonts w:ascii="宋体" w:hAnsi="宋体" w:cs="宋体"/>
          <w:color w:val="auto"/>
          <w:sz w:val="20"/>
          <w:highlight w:val="none"/>
          <w:u w:val="none"/>
        </w:rPr>
      </w:pPr>
    </w:p>
    <w:p>
      <w:pPr>
        <w:pStyle w:val="2"/>
        <w:pageBreakBefore w:val="0"/>
        <w:kinsoku/>
        <w:wordWrap/>
        <w:overflowPunct/>
        <w:topLinePunct w:val="0"/>
        <w:bidi w:val="0"/>
        <w:spacing w:line="300" w:lineRule="auto"/>
        <w:ind w:left="428" w:firstLine="408"/>
        <w:rPr>
          <w:rFonts w:ascii="宋体" w:hAnsi="宋体" w:cs="宋体"/>
          <w:color w:val="auto"/>
          <w:sz w:val="20"/>
          <w:highlight w:val="none"/>
          <w:u w:val="none"/>
        </w:rPr>
      </w:pPr>
    </w:p>
    <w:p>
      <w:pPr>
        <w:pageBreakBefore w:val="0"/>
        <w:kinsoku/>
        <w:wordWrap/>
        <w:overflowPunct/>
        <w:topLinePunct w:val="0"/>
        <w:bidi w:val="0"/>
        <w:spacing w:line="300" w:lineRule="auto"/>
        <w:rPr>
          <w:rFonts w:ascii="宋体" w:hAnsi="宋体"/>
          <w:color w:val="auto"/>
          <w:sz w:val="20"/>
          <w:highlight w:val="none"/>
          <w:u w:val="none"/>
        </w:rPr>
      </w:pPr>
    </w:p>
    <w:p>
      <w:pPr>
        <w:pStyle w:val="2"/>
        <w:pageBreakBefore w:val="0"/>
        <w:kinsoku/>
        <w:wordWrap/>
        <w:overflowPunct/>
        <w:topLinePunct w:val="0"/>
        <w:bidi w:val="0"/>
        <w:spacing w:line="300" w:lineRule="auto"/>
        <w:ind w:left="428" w:firstLine="408"/>
        <w:rPr>
          <w:rFonts w:ascii="宋体" w:hAnsi="宋体"/>
          <w:color w:val="auto"/>
          <w:sz w:val="20"/>
          <w:highlight w:val="none"/>
          <w:u w:val="none"/>
        </w:rPr>
      </w:pPr>
    </w:p>
    <w:p>
      <w:pPr>
        <w:pStyle w:val="2"/>
        <w:pageBreakBefore w:val="0"/>
        <w:kinsoku/>
        <w:wordWrap/>
        <w:overflowPunct/>
        <w:topLinePunct w:val="0"/>
        <w:bidi w:val="0"/>
        <w:spacing w:line="300" w:lineRule="auto"/>
        <w:ind w:left="428" w:firstLine="408"/>
        <w:rPr>
          <w:rFonts w:ascii="宋体" w:hAnsi="宋体"/>
          <w:color w:val="auto"/>
          <w:sz w:val="20"/>
          <w:highlight w:val="none"/>
          <w:u w:val="none"/>
        </w:rPr>
      </w:pPr>
    </w:p>
    <w:p>
      <w:pPr>
        <w:pStyle w:val="2"/>
        <w:pageBreakBefore w:val="0"/>
        <w:kinsoku/>
        <w:wordWrap/>
        <w:overflowPunct/>
        <w:topLinePunct w:val="0"/>
        <w:bidi w:val="0"/>
        <w:spacing w:line="300" w:lineRule="auto"/>
        <w:ind w:left="428" w:firstLine="408"/>
        <w:rPr>
          <w:rFonts w:ascii="宋体" w:hAnsi="宋体"/>
          <w:color w:val="auto"/>
          <w:sz w:val="20"/>
          <w:highlight w:val="none"/>
          <w:u w:val="none"/>
        </w:rPr>
      </w:pPr>
    </w:p>
    <w:p>
      <w:pPr>
        <w:pageBreakBefore w:val="0"/>
        <w:widowControl/>
        <w:kinsoku/>
        <w:wordWrap/>
        <w:overflowPunct/>
        <w:topLinePunct w:val="0"/>
        <w:bidi w:val="0"/>
        <w:adjustRightInd w:val="0"/>
        <w:snapToGrid w:val="0"/>
        <w:spacing w:line="300" w:lineRule="auto"/>
        <w:ind w:firstLine="426" w:firstLineChars="209"/>
        <w:jc w:val="left"/>
        <w:rPr>
          <w:rFonts w:ascii="宋体" w:hAnsi="宋体"/>
          <w:snapToGrid w:val="0"/>
          <w:color w:val="auto"/>
          <w:kern w:val="0"/>
          <w:sz w:val="20"/>
          <w:highlight w:val="none"/>
          <w:u w:val="none"/>
          <w:lang w:eastAsia="zh-Hans"/>
        </w:rPr>
      </w:pPr>
      <w:r>
        <w:rPr>
          <w:rFonts w:hint="eastAsia" w:ascii="宋体" w:hAnsi="宋体"/>
          <w:snapToGrid w:val="0"/>
          <w:color w:val="auto"/>
          <w:kern w:val="0"/>
          <w:sz w:val="20"/>
          <w:highlight w:val="none"/>
          <w:u w:val="none"/>
          <w:lang w:eastAsia="zh-Hans"/>
        </w:rPr>
        <w:t>甲方</w:t>
      </w:r>
      <w:r>
        <w:rPr>
          <w:rFonts w:hint="eastAsia" w:ascii="宋体" w:hAnsi="宋体"/>
          <w:snapToGrid w:val="0"/>
          <w:color w:val="auto"/>
          <w:kern w:val="0"/>
          <w:sz w:val="20"/>
          <w:highlight w:val="none"/>
          <w:u w:val="none"/>
        </w:rPr>
        <w:t>（盖章）</w:t>
      </w:r>
      <w:r>
        <w:rPr>
          <w:rFonts w:hint="eastAsia" w:ascii="宋体" w:hAnsi="宋体"/>
          <w:snapToGrid w:val="0"/>
          <w:color w:val="auto"/>
          <w:kern w:val="0"/>
          <w:sz w:val="20"/>
          <w:highlight w:val="none"/>
          <w:u w:val="none"/>
          <w:lang w:eastAsia="zh-Hans"/>
        </w:rPr>
        <w:t>：</w:t>
      </w:r>
      <w:r>
        <w:rPr>
          <w:rFonts w:hint="eastAsia" w:ascii="宋体" w:hAnsi="宋体"/>
          <w:snapToGrid w:val="0"/>
          <w:color w:val="auto"/>
          <w:kern w:val="0"/>
          <w:sz w:val="20"/>
          <w:highlight w:val="none"/>
          <w:u w:val="none"/>
        </w:rPr>
        <w:t xml:space="preserve">                          </w:t>
      </w:r>
      <w:r>
        <w:rPr>
          <w:rFonts w:hint="eastAsia" w:ascii="宋体" w:hAnsi="宋体"/>
          <w:snapToGrid w:val="0"/>
          <w:color w:val="auto"/>
          <w:kern w:val="0"/>
          <w:sz w:val="20"/>
          <w:highlight w:val="none"/>
          <w:u w:val="none"/>
          <w:lang w:eastAsia="zh-Hans"/>
        </w:rPr>
        <w:t xml:space="preserve">     乙方</w:t>
      </w:r>
      <w:r>
        <w:rPr>
          <w:rFonts w:hint="eastAsia" w:ascii="宋体" w:hAnsi="宋体"/>
          <w:snapToGrid w:val="0"/>
          <w:color w:val="auto"/>
          <w:kern w:val="0"/>
          <w:sz w:val="20"/>
          <w:highlight w:val="none"/>
          <w:u w:val="none"/>
        </w:rPr>
        <w:t>（盖章）</w:t>
      </w:r>
      <w:r>
        <w:rPr>
          <w:rFonts w:hint="eastAsia" w:ascii="宋体" w:hAnsi="宋体"/>
          <w:snapToGrid w:val="0"/>
          <w:color w:val="auto"/>
          <w:kern w:val="0"/>
          <w:sz w:val="20"/>
          <w:highlight w:val="none"/>
          <w:u w:val="none"/>
          <w:lang w:eastAsia="zh-Hans"/>
        </w:rPr>
        <w:t>：</w:t>
      </w:r>
    </w:p>
    <w:p>
      <w:pPr>
        <w:pageBreakBefore w:val="0"/>
        <w:widowControl/>
        <w:kinsoku/>
        <w:wordWrap/>
        <w:overflowPunct/>
        <w:topLinePunct w:val="0"/>
        <w:bidi w:val="0"/>
        <w:adjustRightInd w:val="0"/>
        <w:snapToGrid w:val="0"/>
        <w:spacing w:line="300" w:lineRule="auto"/>
        <w:ind w:firstLine="426" w:firstLineChars="209"/>
        <w:jc w:val="left"/>
        <w:rPr>
          <w:rFonts w:ascii="宋体" w:hAnsi="宋体"/>
          <w:snapToGrid w:val="0"/>
          <w:color w:val="auto"/>
          <w:kern w:val="0"/>
          <w:sz w:val="20"/>
          <w:highlight w:val="none"/>
          <w:u w:val="none"/>
          <w:lang w:eastAsia="zh-Hans"/>
        </w:rPr>
      </w:pPr>
      <w:r>
        <w:rPr>
          <w:rFonts w:ascii="宋体" w:hAnsi="宋体"/>
          <w:snapToGrid w:val="0"/>
          <w:color w:val="auto"/>
          <w:kern w:val="0"/>
          <w:sz w:val="20"/>
          <w:highlight w:val="none"/>
          <w:u w:val="none"/>
          <w:lang w:eastAsia="zh-Hans"/>
        </w:rPr>
        <w:t>法定代表人或代理人（签字）：                 法定代表人或代理人（签字）：</w:t>
      </w:r>
    </w:p>
    <w:p>
      <w:pPr>
        <w:pageBreakBefore w:val="0"/>
        <w:widowControl/>
        <w:kinsoku/>
        <w:wordWrap/>
        <w:overflowPunct/>
        <w:topLinePunct w:val="0"/>
        <w:bidi w:val="0"/>
        <w:adjustRightInd w:val="0"/>
        <w:snapToGrid w:val="0"/>
        <w:spacing w:line="300" w:lineRule="auto"/>
        <w:ind w:firstLine="408" w:firstLineChars="200"/>
        <w:jc w:val="left"/>
        <w:rPr>
          <w:rFonts w:ascii="宋体" w:hAnsi="宋体"/>
          <w:snapToGrid w:val="0"/>
          <w:color w:val="auto"/>
          <w:kern w:val="0"/>
          <w:sz w:val="20"/>
          <w:highlight w:val="none"/>
          <w:u w:val="none"/>
        </w:rPr>
      </w:pPr>
      <w:r>
        <w:rPr>
          <w:rFonts w:ascii="宋体" w:hAnsi="宋体"/>
          <w:snapToGrid w:val="0"/>
          <w:color w:val="auto"/>
          <w:kern w:val="0"/>
          <w:sz w:val="20"/>
          <w:highlight w:val="none"/>
          <w:u w:val="none"/>
          <w:lang w:eastAsia="zh-Hans"/>
        </w:rPr>
        <w:t>地  址：</w:t>
      </w:r>
      <w:r>
        <w:rPr>
          <w:rFonts w:hint="eastAsia" w:ascii="宋体" w:hAnsi="宋体"/>
          <w:snapToGrid w:val="0"/>
          <w:color w:val="auto"/>
          <w:kern w:val="0"/>
          <w:sz w:val="20"/>
          <w:highlight w:val="none"/>
          <w:u w:val="none"/>
        </w:rPr>
        <w:t xml:space="preserve">                                     </w:t>
      </w:r>
      <w:r>
        <w:rPr>
          <w:rFonts w:ascii="宋体" w:hAnsi="宋体"/>
          <w:snapToGrid w:val="0"/>
          <w:color w:val="auto"/>
          <w:kern w:val="0"/>
          <w:sz w:val="20"/>
          <w:highlight w:val="none"/>
          <w:u w:val="none"/>
          <w:lang w:eastAsia="zh-Hans"/>
        </w:rPr>
        <w:t>地  址：</w:t>
      </w:r>
    </w:p>
    <w:p>
      <w:pPr>
        <w:pageBreakBefore w:val="0"/>
        <w:widowControl/>
        <w:kinsoku/>
        <w:wordWrap/>
        <w:overflowPunct/>
        <w:topLinePunct w:val="0"/>
        <w:bidi w:val="0"/>
        <w:adjustRightInd w:val="0"/>
        <w:snapToGrid w:val="0"/>
        <w:spacing w:line="300" w:lineRule="auto"/>
        <w:ind w:firstLine="426" w:firstLineChars="209"/>
        <w:jc w:val="left"/>
        <w:rPr>
          <w:rFonts w:ascii="宋体" w:hAnsi="宋体"/>
          <w:snapToGrid w:val="0"/>
          <w:color w:val="auto"/>
          <w:kern w:val="0"/>
          <w:sz w:val="20"/>
          <w:highlight w:val="none"/>
          <w:u w:val="none"/>
        </w:rPr>
      </w:pPr>
      <w:r>
        <w:rPr>
          <w:rFonts w:ascii="宋体" w:hAnsi="宋体"/>
          <w:snapToGrid w:val="0"/>
          <w:color w:val="auto"/>
          <w:kern w:val="0"/>
          <w:sz w:val="20"/>
          <w:highlight w:val="none"/>
          <w:u w:val="none"/>
          <w:lang w:eastAsia="zh-Hans"/>
        </w:rPr>
        <w:t>电话：</w:t>
      </w:r>
      <w:r>
        <w:rPr>
          <w:rFonts w:hint="eastAsia" w:ascii="宋体" w:hAnsi="宋体"/>
          <w:snapToGrid w:val="0"/>
          <w:color w:val="auto"/>
          <w:kern w:val="0"/>
          <w:sz w:val="20"/>
          <w:highlight w:val="none"/>
          <w:u w:val="none"/>
        </w:rPr>
        <w:t xml:space="preserve">              </w:t>
      </w:r>
      <w:r>
        <w:rPr>
          <w:rFonts w:ascii="宋体" w:hAnsi="宋体"/>
          <w:snapToGrid w:val="0"/>
          <w:color w:val="auto"/>
          <w:kern w:val="0"/>
          <w:sz w:val="20"/>
          <w:highlight w:val="none"/>
          <w:u w:val="none"/>
          <w:lang w:eastAsia="zh-Hans"/>
        </w:rPr>
        <w:t xml:space="preserve">                      </w:t>
      </w:r>
      <w:r>
        <w:rPr>
          <w:rFonts w:hint="eastAsia" w:ascii="宋体" w:hAnsi="宋体"/>
          <w:snapToGrid w:val="0"/>
          <w:color w:val="auto"/>
          <w:kern w:val="0"/>
          <w:sz w:val="20"/>
          <w:highlight w:val="none"/>
          <w:u w:val="none"/>
        </w:rPr>
        <w:t xml:space="preserve">   </w:t>
      </w:r>
      <w:r>
        <w:rPr>
          <w:rFonts w:ascii="宋体" w:hAnsi="宋体"/>
          <w:snapToGrid w:val="0"/>
          <w:color w:val="auto"/>
          <w:kern w:val="0"/>
          <w:sz w:val="20"/>
          <w:highlight w:val="none"/>
          <w:u w:val="none"/>
          <w:lang w:eastAsia="zh-Hans"/>
        </w:rPr>
        <w:t xml:space="preserve">电话： </w:t>
      </w:r>
    </w:p>
    <w:p>
      <w:pPr>
        <w:pageBreakBefore w:val="0"/>
        <w:widowControl/>
        <w:kinsoku/>
        <w:wordWrap/>
        <w:overflowPunct/>
        <w:topLinePunct w:val="0"/>
        <w:bidi w:val="0"/>
        <w:adjustRightInd w:val="0"/>
        <w:snapToGrid w:val="0"/>
        <w:spacing w:line="300" w:lineRule="auto"/>
        <w:ind w:firstLine="426" w:firstLineChars="209"/>
        <w:jc w:val="left"/>
        <w:rPr>
          <w:rFonts w:ascii="宋体" w:hAnsi="宋体"/>
          <w:snapToGrid w:val="0"/>
          <w:color w:val="auto"/>
          <w:kern w:val="0"/>
          <w:sz w:val="20"/>
          <w:highlight w:val="none"/>
          <w:u w:val="none"/>
          <w:lang w:eastAsia="zh-Hans"/>
        </w:rPr>
      </w:pPr>
      <w:r>
        <w:rPr>
          <w:rFonts w:ascii="宋体" w:hAnsi="宋体"/>
          <w:snapToGrid w:val="0"/>
          <w:color w:val="auto"/>
          <w:kern w:val="0"/>
          <w:sz w:val="20"/>
          <w:highlight w:val="none"/>
          <w:u w:val="none"/>
          <w:lang w:eastAsia="zh-Hans"/>
        </w:rPr>
        <w:t>传真：</w:t>
      </w:r>
      <w:r>
        <w:rPr>
          <w:rFonts w:hint="eastAsia" w:ascii="宋体" w:hAnsi="宋体"/>
          <w:snapToGrid w:val="0"/>
          <w:color w:val="auto"/>
          <w:kern w:val="0"/>
          <w:sz w:val="20"/>
          <w:highlight w:val="none"/>
          <w:u w:val="none"/>
        </w:rPr>
        <w:t xml:space="preserve">             </w:t>
      </w:r>
      <w:r>
        <w:rPr>
          <w:rFonts w:ascii="宋体" w:hAnsi="宋体"/>
          <w:snapToGrid w:val="0"/>
          <w:color w:val="auto"/>
          <w:kern w:val="0"/>
          <w:sz w:val="20"/>
          <w:highlight w:val="none"/>
          <w:u w:val="none"/>
          <w:lang w:eastAsia="zh-Hans"/>
        </w:rPr>
        <w:t xml:space="preserve">                          传真：</w:t>
      </w:r>
    </w:p>
    <w:p>
      <w:pPr>
        <w:pageBreakBefore w:val="0"/>
        <w:widowControl/>
        <w:kinsoku/>
        <w:wordWrap/>
        <w:overflowPunct/>
        <w:topLinePunct w:val="0"/>
        <w:bidi w:val="0"/>
        <w:adjustRightInd w:val="0"/>
        <w:snapToGrid w:val="0"/>
        <w:spacing w:line="300" w:lineRule="auto"/>
        <w:ind w:firstLine="426" w:firstLineChars="209"/>
        <w:jc w:val="left"/>
        <w:rPr>
          <w:rFonts w:ascii="宋体" w:hAnsi="宋体"/>
          <w:snapToGrid w:val="0"/>
          <w:color w:val="auto"/>
          <w:kern w:val="0"/>
          <w:sz w:val="20"/>
          <w:highlight w:val="none"/>
          <w:u w:val="none"/>
          <w:lang w:eastAsia="zh-Hans"/>
        </w:rPr>
      </w:pPr>
      <w:r>
        <w:rPr>
          <w:rFonts w:ascii="宋体" w:hAnsi="宋体"/>
          <w:snapToGrid w:val="0"/>
          <w:color w:val="auto"/>
          <w:kern w:val="0"/>
          <w:sz w:val="20"/>
          <w:highlight w:val="none"/>
          <w:u w:val="none"/>
          <w:lang w:eastAsia="zh-Hans"/>
        </w:rPr>
        <w:t>开户银行：</w:t>
      </w:r>
      <w:r>
        <w:rPr>
          <w:rFonts w:hint="eastAsia" w:ascii="宋体" w:hAnsi="宋体"/>
          <w:snapToGrid w:val="0"/>
          <w:color w:val="auto"/>
          <w:kern w:val="0"/>
          <w:sz w:val="20"/>
          <w:highlight w:val="none"/>
          <w:u w:val="none"/>
        </w:rPr>
        <w:t xml:space="preserve">                            </w:t>
      </w:r>
      <w:r>
        <w:rPr>
          <w:rFonts w:ascii="宋体" w:hAnsi="宋体"/>
          <w:snapToGrid w:val="0"/>
          <w:color w:val="auto"/>
          <w:kern w:val="0"/>
          <w:sz w:val="20"/>
          <w:highlight w:val="none"/>
          <w:u w:val="none"/>
          <w:lang w:eastAsia="zh-Hans"/>
        </w:rPr>
        <w:t xml:space="preserve">       开户银行：</w:t>
      </w:r>
    </w:p>
    <w:p>
      <w:pPr>
        <w:pageBreakBefore w:val="0"/>
        <w:widowControl/>
        <w:kinsoku/>
        <w:wordWrap/>
        <w:overflowPunct/>
        <w:topLinePunct w:val="0"/>
        <w:bidi w:val="0"/>
        <w:adjustRightInd w:val="0"/>
        <w:snapToGrid w:val="0"/>
        <w:spacing w:line="300" w:lineRule="auto"/>
        <w:ind w:firstLine="408" w:firstLineChars="200"/>
        <w:jc w:val="left"/>
        <w:rPr>
          <w:rFonts w:ascii="宋体" w:hAnsi="宋体"/>
          <w:snapToGrid w:val="0"/>
          <w:color w:val="auto"/>
          <w:kern w:val="0"/>
          <w:sz w:val="20"/>
          <w:highlight w:val="none"/>
          <w:u w:val="none"/>
        </w:rPr>
      </w:pPr>
      <w:r>
        <w:rPr>
          <w:rFonts w:ascii="宋体" w:hAnsi="宋体"/>
          <w:snapToGrid w:val="0"/>
          <w:color w:val="auto"/>
          <w:kern w:val="0"/>
          <w:sz w:val="20"/>
          <w:highlight w:val="none"/>
          <w:u w:val="none"/>
          <w:lang w:eastAsia="zh-Hans"/>
        </w:rPr>
        <w:t>账  号：</w:t>
      </w:r>
      <w:r>
        <w:rPr>
          <w:rFonts w:hint="eastAsia" w:ascii="宋体" w:hAnsi="宋体"/>
          <w:snapToGrid w:val="0"/>
          <w:color w:val="auto"/>
          <w:kern w:val="0"/>
          <w:sz w:val="20"/>
          <w:highlight w:val="none"/>
          <w:u w:val="none"/>
        </w:rPr>
        <w:t xml:space="preserve">                       </w:t>
      </w:r>
      <w:r>
        <w:rPr>
          <w:rFonts w:ascii="宋体" w:hAnsi="宋体"/>
          <w:snapToGrid w:val="0"/>
          <w:color w:val="auto"/>
          <w:kern w:val="0"/>
          <w:sz w:val="20"/>
          <w:highlight w:val="none"/>
          <w:u w:val="none"/>
          <w:lang w:eastAsia="zh-Hans"/>
        </w:rPr>
        <w:t xml:space="preserve">      </w:t>
      </w:r>
      <w:r>
        <w:rPr>
          <w:rFonts w:ascii="宋体" w:hAnsi="宋体"/>
          <w:color w:val="auto"/>
          <w:kern w:val="0"/>
          <w:sz w:val="20"/>
          <w:highlight w:val="none"/>
          <w:u w:val="none"/>
        </w:rPr>
        <w:t xml:space="preserve"> </w:t>
      </w:r>
      <w:r>
        <w:rPr>
          <w:rFonts w:ascii="宋体" w:hAnsi="宋体"/>
          <w:snapToGrid w:val="0"/>
          <w:color w:val="auto"/>
          <w:kern w:val="0"/>
          <w:sz w:val="20"/>
          <w:highlight w:val="none"/>
          <w:u w:val="none"/>
          <w:lang w:eastAsia="zh-Hans"/>
        </w:rPr>
        <w:t xml:space="preserve"> </w:t>
      </w:r>
      <w:r>
        <w:rPr>
          <w:rFonts w:hint="eastAsia" w:ascii="宋体" w:hAnsi="宋体"/>
          <w:snapToGrid w:val="0"/>
          <w:color w:val="auto"/>
          <w:kern w:val="0"/>
          <w:sz w:val="20"/>
          <w:highlight w:val="none"/>
          <w:u w:val="none"/>
        </w:rPr>
        <w:t xml:space="preserve">      </w:t>
      </w:r>
      <w:r>
        <w:rPr>
          <w:rFonts w:ascii="宋体" w:hAnsi="宋体"/>
          <w:snapToGrid w:val="0"/>
          <w:color w:val="auto"/>
          <w:kern w:val="0"/>
          <w:sz w:val="20"/>
          <w:highlight w:val="none"/>
          <w:u w:val="none"/>
          <w:lang w:eastAsia="zh-Hans"/>
        </w:rPr>
        <w:t>账 号：</w:t>
      </w:r>
    </w:p>
    <w:p>
      <w:pPr>
        <w:pStyle w:val="10"/>
        <w:pageBreakBefore w:val="0"/>
        <w:kinsoku/>
        <w:wordWrap/>
        <w:overflowPunct/>
        <w:topLinePunct w:val="0"/>
        <w:bidi w:val="0"/>
        <w:spacing w:line="300" w:lineRule="auto"/>
        <w:rPr>
          <w:rFonts w:ascii="黑体" w:eastAsia="黑体"/>
          <w:b/>
          <w:bCs/>
          <w:color w:val="auto"/>
          <w:sz w:val="28"/>
          <w:szCs w:val="22"/>
          <w:highlight w:val="none"/>
          <w:u w:val="none"/>
        </w:rPr>
      </w:pPr>
    </w:p>
    <w:p>
      <w:pPr>
        <w:pageBreakBefore w:val="0"/>
        <w:kinsoku/>
        <w:wordWrap/>
        <w:overflowPunct/>
        <w:topLinePunct w:val="0"/>
        <w:bidi w:val="0"/>
        <w:spacing w:line="300" w:lineRule="auto"/>
        <w:jc w:val="center"/>
        <w:rPr>
          <w:rFonts w:eastAsia="仿宋_GB2312"/>
          <w:b/>
          <w:color w:val="auto"/>
          <w:sz w:val="24"/>
          <w:szCs w:val="24"/>
          <w:highlight w:val="none"/>
          <w:u w:val="none"/>
        </w:rPr>
      </w:pPr>
    </w:p>
    <w:p>
      <w:pPr>
        <w:pageBreakBefore w:val="0"/>
        <w:kinsoku/>
        <w:wordWrap/>
        <w:overflowPunct/>
        <w:topLinePunct w:val="0"/>
        <w:bidi w:val="0"/>
        <w:spacing w:line="300" w:lineRule="auto"/>
        <w:jc w:val="center"/>
        <w:rPr>
          <w:rFonts w:eastAsia="仿宋_GB2312"/>
          <w:b/>
          <w:color w:val="auto"/>
          <w:sz w:val="24"/>
          <w:szCs w:val="24"/>
          <w:highlight w:val="none"/>
          <w:u w:val="none"/>
        </w:rPr>
      </w:pPr>
    </w:p>
    <w:p>
      <w:pPr>
        <w:pageBreakBefore w:val="0"/>
        <w:kinsoku/>
        <w:wordWrap/>
        <w:overflowPunct/>
        <w:topLinePunct w:val="0"/>
        <w:bidi w:val="0"/>
        <w:spacing w:line="300" w:lineRule="auto"/>
        <w:jc w:val="center"/>
        <w:rPr>
          <w:rFonts w:eastAsia="仿宋_GB2312"/>
          <w:b/>
          <w:color w:val="auto"/>
          <w:sz w:val="24"/>
          <w:szCs w:val="24"/>
          <w:highlight w:val="none"/>
          <w:u w:val="none"/>
        </w:rPr>
      </w:pPr>
    </w:p>
    <w:p>
      <w:pPr>
        <w:pageBreakBefore w:val="0"/>
        <w:kinsoku/>
        <w:wordWrap/>
        <w:overflowPunct/>
        <w:topLinePunct w:val="0"/>
        <w:bidi w:val="0"/>
        <w:spacing w:line="300" w:lineRule="auto"/>
        <w:jc w:val="center"/>
        <w:rPr>
          <w:rFonts w:eastAsia="仿宋_GB2312"/>
          <w:b/>
          <w:color w:val="auto"/>
          <w:sz w:val="24"/>
          <w:szCs w:val="24"/>
          <w:highlight w:val="none"/>
          <w:u w:val="none"/>
        </w:rPr>
      </w:pPr>
    </w:p>
    <w:p>
      <w:pPr>
        <w:pageBreakBefore w:val="0"/>
        <w:kinsoku/>
        <w:wordWrap/>
        <w:overflowPunct/>
        <w:topLinePunct w:val="0"/>
        <w:bidi w:val="0"/>
        <w:spacing w:line="300" w:lineRule="auto"/>
        <w:rPr>
          <w:rFonts w:eastAsia="仿宋_GB2312"/>
          <w:b/>
          <w:color w:val="auto"/>
          <w:sz w:val="24"/>
          <w:szCs w:val="24"/>
          <w:highlight w:val="none"/>
          <w:u w:val="none"/>
        </w:rPr>
      </w:pPr>
    </w:p>
    <w:p>
      <w:pPr>
        <w:pageBreakBefore w:val="0"/>
        <w:kinsoku/>
        <w:wordWrap/>
        <w:overflowPunct/>
        <w:topLinePunct w:val="0"/>
        <w:bidi w:val="0"/>
        <w:spacing w:line="300" w:lineRule="auto"/>
        <w:rPr>
          <w:rFonts w:eastAsia="仿宋_GB2312"/>
          <w:b/>
          <w:color w:val="auto"/>
          <w:sz w:val="24"/>
          <w:szCs w:val="24"/>
          <w:highlight w:val="none"/>
          <w:u w:val="none"/>
        </w:rPr>
      </w:pPr>
    </w:p>
    <w:p>
      <w:pPr>
        <w:pStyle w:val="2"/>
        <w:pageBreakBefore w:val="0"/>
        <w:kinsoku/>
        <w:wordWrap/>
        <w:overflowPunct/>
        <w:topLinePunct w:val="0"/>
        <w:bidi w:val="0"/>
        <w:spacing w:line="300" w:lineRule="auto"/>
        <w:ind w:left="428" w:firstLine="488"/>
        <w:rPr>
          <w:rFonts w:eastAsia="仿宋_GB2312"/>
          <w:b/>
          <w:color w:val="auto"/>
          <w:sz w:val="24"/>
          <w:szCs w:val="24"/>
          <w:highlight w:val="none"/>
          <w:u w:val="none"/>
        </w:rPr>
      </w:pPr>
    </w:p>
    <w:p>
      <w:pPr>
        <w:pStyle w:val="2"/>
        <w:pageBreakBefore w:val="0"/>
        <w:kinsoku/>
        <w:wordWrap/>
        <w:overflowPunct/>
        <w:topLinePunct w:val="0"/>
        <w:bidi w:val="0"/>
        <w:spacing w:line="300" w:lineRule="auto"/>
        <w:ind w:left="0" w:leftChars="0" w:firstLine="0" w:firstLineChars="0"/>
        <w:rPr>
          <w:rFonts w:eastAsia="仿宋_GB2312"/>
          <w:b/>
          <w:color w:val="auto"/>
          <w:sz w:val="24"/>
          <w:szCs w:val="24"/>
          <w:highlight w:val="none"/>
          <w:u w:val="none"/>
        </w:rPr>
      </w:pPr>
    </w:p>
    <w:p>
      <w:pPr>
        <w:pageBreakBefore w:val="0"/>
        <w:kinsoku/>
        <w:wordWrap/>
        <w:overflowPunct/>
        <w:topLinePunct w:val="0"/>
        <w:bidi w:val="0"/>
        <w:spacing w:line="300" w:lineRule="auto"/>
        <w:rPr>
          <w:rFonts w:eastAsia="仿宋_GB2312"/>
          <w:b/>
          <w:color w:val="auto"/>
          <w:sz w:val="24"/>
          <w:szCs w:val="24"/>
          <w:highlight w:val="none"/>
          <w:u w:val="none"/>
        </w:rPr>
      </w:pPr>
    </w:p>
    <w:p>
      <w:pPr>
        <w:pageBreakBefore w:val="0"/>
        <w:kinsoku/>
        <w:wordWrap/>
        <w:overflowPunct/>
        <w:topLinePunct w:val="0"/>
        <w:bidi w:val="0"/>
        <w:spacing w:line="300" w:lineRule="auto"/>
        <w:rPr>
          <w:rFonts w:eastAsia="仿宋_GB2312"/>
          <w:b/>
          <w:color w:val="auto"/>
          <w:sz w:val="24"/>
          <w:szCs w:val="24"/>
          <w:highlight w:val="none"/>
          <w:u w:val="none"/>
        </w:rPr>
      </w:pPr>
    </w:p>
    <w:p>
      <w:pPr>
        <w:pStyle w:val="2"/>
        <w:pageBreakBefore w:val="0"/>
        <w:kinsoku/>
        <w:wordWrap/>
        <w:overflowPunct/>
        <w:topLinePunct w:val="0"/>
        <w:bidi w:val="0"/>
        <w:spacing w:line="300" w:lineRule="auto"/>
        <w:ind w:left="428" w:firstLine="428"/>
        <w:rPr>
          <w:color w:val="auto"/>
          <w:highlight w:val="none"/>
          <w:u w:val="none"/>
        </w:rPr>
      </w:pPr>
    </w:p>
    <w:p>
      <w:pPr>
        <w:pStyle w:val="2"/>
        <w:pageBreakBefore w:val="0"/>
        <w:kinsoku/>
        <w:wordWrap/>
        <w:overflowPunct/>
        <w:topLinePunct w:val="0"/>
        <w:bidi w:val="0"/>
        <w:spacing w:line="300" w:lineRule="auto"/>
        <w:ind w:left="428" w:firstLine="428"/>
        <w:rPr>
          <w:color w:val="auto"/>
          <w:highlight w:val="none"/>
          <w:u w:val="none"/>
        </w:rPr>
      </w:pPr>
    </w:p>
    <w:p>
      <w:pPr>
        <w:pStyle w:val="2"/>
        <w:pageBreakBefore w:val="0"/>
        <w:kinsoku/>
        <w:wordWrap/>
        <w:overflowPunct/>
        <w:topLinePunct w:val="0"/>
        <w:bidi w:val="0"/>
        <w:spacing w:line="300" w:lineRule="auto"/>
        <w:ind w:left="428" w:firstLine="428"/>
        <w:rPr>
          <w:color w:val="auto"/>
          <w:highlight w:val="none"/>
          <w:u w:val="none"/>
        </w:rPr>
      </w:pPr>
    </w:p>
    <w:p>
      <w:pPr>
        <w:pStyle w:val="2"/>
        <w:pageBreakBefore w:val="0"/>
        <w:kinsoku/>
        <w:wordWrap/>
        <w:overflowPunct/>
        <w:topLinePunct w:val="0"/>
        <w:bidi w:val="0"/>
        <w:spacing w:line="300" w:lineRule="auto"/>
        <w:ind w:left="428" w:firstLine="428"/>
        <w:rPr>
          <w:color w:val="auto"/>
          <w:highlight w:val="none"/>
          <w:u w:val="none"/>
        </w:rPr>
      </w:pPr>
    </w:p>
    <w:p>
      <w:pPr>
        <w:pageBreakBefore w:val="0"/>
        <w:kinsoku/>
        <w:wordWrap/>
        <w:overflowPunct/>
        <w:topLinePunct w:val="0"/>
        <w:bidi w:val="0"/>
        <w:spacing w:line="300" w:lineRule="auto"/>
        <w:rPr>
          <w:rFonts w:eastAsia="仿宋_GB2312"/>
          <w:b/>
          <w:color w:val="auto"/>
          <w:sz w:val="24"/>
          <w:szCs w:val="24"/>
          <w:highlight w:val="none"/>
          <w:u w:val="none"/>
        </w:rPr>
      </w:pPr>
    </w:p>
    <w:bookmarkEnd w:id="8"/>
    <w:sectPr>
      <w:footerReference r:id="rId7" w:type="default"/>
      <w:pgSz w:w="11906" w:h="16838"/>
      <w:pgMar w:top="1587" w:right="1134" w:bottom="1134" w:left="1134" w:header="851" w:footer="850" w:gutter="0"/>
      <w:pgNumType w:fmt="decimal"/>
      <w:cols w:space="720" w:num="1"/>
      <w:docGrid w:type="linesAndChars" w:linePitch="328"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single" w:color="4F81BD" w:sz="18" w:space="0"/>
      </w:tblBorders>
      <w:tblLayout w:type="fixed"/>
      <w:tblCellMar>
        <w:top w:w="58" w:type="dxa"/>
        <w:left w:w="115" w:type="dxa"/>
        <w:bottom w:w="58" w:type="dxa"/>
        <w:right w:w="115" w:type="dxa"/>
      </w:tblCellMar>
    </w:tblPr>
    <w:tblGrid>
      <w:gridCol w:w="9045"/>
    </w:tblGrid>
    <w:tr>
      <w:tblPrEx>
        <w:tblBorders>
          <w:top w:val="none" w:color="auto" w:sz="0" w:space="0"/>
          <w:left w:val="none" w:color="auto" w:sz="0" w:space="0"/>
          <w:bottom w:val="none" w:color="auto" w:sz="0" w:space="0"/>
          <w:right w:val="none" w:color="auto" w:sz="0" w:space="0"/>
          <w:insideH w:val="none" w:color="auto" w:sz="0" w:space="0"/>
          <w:insideV w:val="single" w:color="4F81BD" w:sz="18" w:space="0"/>
        </w:tblBorders>
        <w:tblCellMar>
          <w:top w:w="58" w:type="dxa"/>
          <w:left w:w="115" w:type="dxa"/>
          <w:bottom w:w="58" w:type="dxa"/>
          <w:right w:w="115" w:type="dxa"/>
        </w:tblCellMar>
      </w:tblPrEx>
      <w:tc>
        <w:tcPr>
          <w:tcW w:w="9045" w:type="dxa"/>
        </w:tcPr>
        <w:p>
          <w:pPr>
            <w:pStyle w:val="12"/>
            <w:keepNext w:val="0"/>
            <w:keepLines w:val="0"/>
            <w:suppressLineNumbers w:val="0"/>
            <w:spacing w:before="0" w:beforeAutospacing="0" w:after="0" w:afterAutospacing="0"/>
            <w:ind w:left="0" w:right="720"/>
            <w:jc w:val="center"/>
            <w:rPr>
              <w:rFonts w:hint="default"/>
              <w:color w:val="4F81BD"/>
            </w:rPr>
          </w:pPr>
          <w:r>
            <w:rPr>
              <w:rFonts w:hint="default"/>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14</w:t>
                          </w:r>
                          <w:r>
                            <w:fldChar w:fldCharType="end"/>
                          </w:r>
                        </w:p>
                      </w:txbxContent>
                    </v:textbox>
                  </v:shape>
                </w:pict>
              </mc:Fallback>
            </mc:AlternateContent>
          </w:r>
        </w:p>
      </w:tc>
    </w:tr>
  </w:tbl>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楷体_GB2312" w:eastAsia="楷体_GB2312"/>
        <w:sz w:val="28"/>
        <w:szCs w:val="28"/>
      </w:rPr>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7620" b="1333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257300" cy="398145"/>
                  </a:xfrm>
                  <a:prstGeom prst="rect">
                    <a:avLst/>
                  </a:prstGeom>
                  <a:solidFill>
                    <a:srgbClr val="FFCC99"/>
                  </a:solidFill>
                  <a:ln>
                    <a:noFill/>
                  </a:ln>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xml:space="preserve">　 </w:t>
    </w:r>
  </w:p>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A0B85"/>
    <w:multiLevelType w:val="singleLevel"/>
    <w:tmpl w:val="9B0A0B85"/>
    <w:lvl w:ilvl="0" w:tentative="0">
      <w:start w:val="7"/>
      <w:numFmt w:val="chineseCounting"/>
      <w:suff w:val="nothing"/>
      <w:lvlText w:val="%1、"/>
      <w:lvlJc w:val="left"/>
      <w:rPr>
        <w:rFonts w:hint="eastAsia"/>
      </w:rPr>
    </w:lvl>
  </w:abstractNum>
  <w:abstractNum w:abstractNumId="1">
    <w:nsid w:val="A418A221"/>
    <w:multiLevelType w:val="singleLevel"/>
    <w:tmpl w:val="A418A221"/>
    <w:lvl w:ilvl="0" w:tentative="0">
      <w:start w:val="2"/>
      <w:numFmt w:val="chineseCounting"/>
      <w:suff w:val="space"/>
      <w:lvlText w:val="%1、"/>
      <w:lvlJc w:val="left"/>
      <w:rPr>
        <w:rFonts w:hint="eastAsia"/>
      </w:rPr>
    </w:lvl>
  </w:abstractNum>
  <w:abstractNum w:abstractNumId="2">
    <w:nsid w:val="D2095254"/>
    <w:multiLevelType w:val="singleLevel"/>
    <w:tmpl w:val="D2095254"/>
    <w:lvl w:ilvl="0" w:tentative="0">
      <w:start w:val="5"/>
      <w:numFmt w:val="decimal"/>
      <w:lvlText w:val="%1."/>
      <w:lvlJc w:val="left"/>
      <w:pPr>
        <w:tabs>
          <w:tab w:val="left" w:pos="312"/>
        </w:tabs>
      </w:pPr>
    </w:lvl>
  </w:abstractNum>
  <w:abstractNum w:abstractNumId="3">
    <w:nsid w:val="F4A4F711"/>
    <w:multiLevelType w:val="singleLevel"/>
    <w:tmpl w:val="F4A4F711"/>
    <w:lvl w:ilvl="0" w:tentative="0">
      <w:start w:val="1"/>
      <w:numFmt w:val="decimal"/>
      <w:suff w:val="nothing"/>
      <w:lvlText w:val="%1、"/>
      <w:lvlJc w:val="left"/>
    </w:lvl>
  </w:abstractNum>
  <w:abstractNum w:abstractNumId="4">
    <w:nsid w:val="00000003"/>
    <w:multiLevelType w:val="multilevel"/>
    <w:tmpl w:val="00000003"/>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5">
    <w:nsid w:val="15AD181D"/>
    <w:multiLevelType w:val="singleLevel"/>
    <w:tmpl w:val="15AD181D"/>
    <w:lvl w:ilvl="0" w:tentative="0">
      <w:start w:val="2"/>
      <w:numFmt w:val="decimal"/>
      <w:suff w:val="nothing"/>
      <w:lvlText w:val="%1、"/>
      <w:lvlJc w:val="left"/>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7"/>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ZjMwODJkNGM2ODczMzk3ZGNmOWExMjg4YzlmYmEifQ=="/>
  </w:docVars>
  <w:rsids>
    <w:rsidRoot w:val="003447BF"/>
    <w:rsid w:val="000014D3"/>
    <w:rsid w:val="00001DCB"/>
    <w:rsid w:val="00002057"/>
    <w:rsid w:val="000048FC"/>
    <w:rsid w:val="00004C57"/>
    <w:rsid w:val="000056AD"/>
    <w:rsid w:val="00005AF4"/>
    <w:rsid w:val="00006391"/>
    <w:rsid w:val="00007986"/>
    <w:rsid w:val="00010983"/>
    <w:rsid w:val="00010BB4"/>
    <w:rsid w:val="000117DF"/>
    <w:rsid w:val="00011B11"/>
    <w:rsid w:val="000126A7"/>
    <w:rsid w:val="000133F8"/>
    <w:rsid w:val="00013B94"/>
    <w:rsid w:val="000140D2"/>
    <w:rsid w:val="000142C2"/>
    <w:rsid w:val="000154D0"/>
    <w:rsid w:val="00016CB2"/>
    <w:rsid w:val="00022BFC"/>
    <w:rsid w:val="00023513"/>
    <w:rsid w:val="00024102"/>
    <w:rsid w:val="00025E3D"/>
    <w:rsid w:val="00025E68"/>
    <w:rsid w:val="00027BFD"/>
    <w:rsid w:val="000304EA"/>
    <w:rsid w:val="00031471"/>
    <w:rsid w:val="00032F3A"/>
    <w:rsid w:val="00033243"/>
    <w:rsid w:val="0003453C"/>
    <w:rsid w:val="00035188"/>
    <w:rsid w:val="00035800"/>
    <w:rsid w:val="000370BC"/>
    <w:rsid w:val="000426B5"/>
    <w:rsid w:val="0004339D"/>
    <w:rsid w:val="00043761"/>
    <w:rsid w:val="000437B4"/>
    <w:rsid w:val="00043B31"/>
    <w:rsid w:val="00043E7D"/>
    <w:rsid w:val="00045E36"/>
    <w:rsid w:val="00046238"/>
    <w:rsid w:val="0005018E"/>
    <w:rsid w:val="00051852"/>
    <w:rsid w:val="0005298D"/>
    <w:rsid w:val="000547D0"/>
    <w:rsid w:val="00060239"/>
    <w:rsid w:val="0006053F"/>
    <w:rsid w:val="000606FE"/>
    <w:rsid w:val="0006084C"/>
    <w:rsid w:val="00060FC1"/>
    <w:rsid w:val="000626B3"/>
    <w:rsid w:val="00066685"/>
    <w:rsid w:val="00067867"/>
    <w:rsid w:val="0007042D"/>
    <w:rsid w:val="00070A2E"/>
    <w:rsid w:val="00071741"/>
    <w:rsid w:val="00071B86"/>
    <w:rsid w:val="000722DE"/>
    <w:rsid w:val="00073983"/>
    <w:rsid w:val="00074924"/>
    <w:rsid w:val="00074AC3"/>
    <w:rsid w:val="0007541F"/>
    <w:rsid w:val="00076122"/>
    <w:rsid w:val="00077B24"/>
    <w:rsid w:val="00080316"/>
    <w:rsid w:val="0008080E"/>
    <w:rsid w:val="00082151"/>
    <w:rsid w:val="000825CD"/>
    <w:rsid w:val="00083710"/>
    <w:rsid w:val="00083C90"/>
    <w:rsid w:val="0008454C"/>
    <w:rsid w:val="00086313"/>
    <w:rsid w:val="000940E3"/>
    <w:rsid w:val="00094EC9"/>
    <w:rsid w:val="000A0C6B"/>
    <w:rsid w:val="000A0EDD"/>
    <w:rsid w:val="000A202D"/>
    <w:rsid w:val="000A2679"/>
    <w:rsid w:val="000A2BA0"/>
    <w:rsid w:val="000A5072"/>
    <w:rsid w:val="000A54C5"/>
    <w:rsid w:val="000A78C4"/>
    <w:rsid w:val="000B0B79"/>
    <w:rsid w:val="000B1727"/>
    <w:rsid w:val="000B193E"/>
    <w:rsid w:val="000B1F25"/>
    <w:rsid w:val="000B44D3"/>
    <w:rsid w:val="000B4C5C"/>
    <w:rsid w:val="000B5234"/>
    <w:rsid w:val="000B527D"/>
    <w:rsid w:val="000B6DD8"/>
    <w:rsid w:val="000B705B"/>
    <w:rsid w:val="000C16A3"/>
    <w:rsid w:val="000C1BB6"/>
    <w:rsid w:val="000D0F55"/>
    <w:rsid w:val="000D14A9"/>
    <w:rsid w:val="000D3325"/>
    <w:rsid w:val="000D486E"/>
    <w:rsid w:val="000D4D7C"/>
    <w:rsid w:val="000D4EA2"/>
    <w:rsid w:val="000D5ACE"/>
    <w:rsid w:val="000D6C0C"/>
    <w:rsid w:val="000D7A5B"/>
    <w:rsid w:val="000E141B"/>
    <w:rsid w:val="000E329A"/>
    <w:rsid w:val="000E356E"/>
    <w:rsid w:val="000E3714"/>
    <w:rsid w:val="000E70CB"/>
    <w:rsid w:val="000F02A3"/>
    <w:rsid w:val="000F3A83"/>
    <w:rsid w:val="000F4027"/>
    <w:rsid w:val="000F42C8"/>
    <w:rsid w:val="000F456F"/>
    <w:rsid w:val="000F5488"/>
    <w:rsid w:val="00100754"/>
    <w:rsid w:val="00101577"/>
    <w:rsid w:val="00102A52"/>
    <w:rsid w:val="00106078"/>
    <w:rsid w:val="00112A18"/>
    <w:rsid w:val="0011354F"/>
    <w:rsid w:val="00114375"/>
    <w:rsid w:val="00114A6A"/>
    <w:rsid w:val="001160D8"/>
    <w:rsid w:val="0012053A"/>
    <w:rsid w:val="00120F1C"/>
    <w:rsid w:val="001228DF"/>
    <w:rsid w:val="00124DC8"/>
    <w:rsid w:val="001258FA"/>
    <w:rsid w:val="00126ED2"/>
    <w:rsid w:val="001302DE"/>
    <w:rsid w:val="00131694"/>
    <w:rsid w:val="00131E0F"/>
    <w:rsid w:val="00134429"/>
    <w:rsid w:val="0013630E"/>
    <w:rsid w:val="00136356"/>
    <w:rsid w:val="00136933"/>
    <w:rsid w:val="001369FF"/>
    <w:rsid w:val="00140381"/>
    <w:rsid w:val="0014056C"/>
    <w:rsid w:val="00140736"/>
    <w:rsid w:val="00141AF1"/>
    <w:rsid w:val="001458B6"/>
    <w:rsid w:val="00147091"/>
    <w:rsid w:val="001471D4"/>
    <w:rsid w:val="0015024C"/>
    <w:rsid w:val="00152193"/>
    <w:rsid w:val="00152259"/>
    <w:rsid w:val="001531DD"/>
    <w:rsid w:val="001533AA"/>
    <w:rsid w:val="00153684"/>
    <w:rsid w:val="001545AF"/>
    <w:rsid w:val="0015618A"/>
    <w:rsid w:val="00156266"/>
    <w:rsid w:val="00156A1E"/>
    <w:rsid w:val="00157B9E"/>
    <w:rsid w:val="001609DF"/>
    <w:rsid w:val="00161531"/>
    <w:rsid w:val="001619A4"/>
    <w:rsid w:val="00162435"/>
    <w:rsid w:val="00162592"/>
    <w:rsid w:val="00162999"/>
    <w:rsid w:val="001649C3"/>
    <w:rsid w:val="0016501A"/>
    <w:rsid w:val="001652C8"/>
    <w:rsid w:val="001656BB"/>
    <w:rsid w:val="00167F32"/>
    <w:rsid w:val="001706CF"/>
    <w:rsid w:val="001708B6"/>
    <w:rsid w:val="00172ADC"/>
    <w:rsid w:val="001749E7"/>
    <w:rsid w:val="00174A06"/>
    <w:rsid w:val="0017622A"/>
    <w:rsid w:val="00176B3A"/>
    <w:rsid w:val="00177FA7"/>
    <w:rsid w:val="00180DE7"/>
    <w:rsid w:val="0018208D"/>
    <w:rsid w:val="00186A61"/>
    <w:rsid w:val="00187848"/>
    <w:rsid w:val="0019057F"/>
    <w:rsid w:val="001909B6"/>
    <w:rsid w:val="00191E43"/>
    <w:rsid w:val="00192C7C"/>
    <w:rsid w:val="001935A3"/>
    <w:rsid w:val="001953D9"/>
    <w:rsid w:val="001A0476"/>
    <w:rsid w:val="001A0538"/>
    <w:rsid w:val="001A1880"/>
    <w:rsid w:val="001A7750"/>
    <w:rsid w:val="001B00E7"/>
    <w:rsid w:val="001B109B"/>
    <w:rsid w:val="001B13F5"/>
    <w:rsid w:val="001B1B87"/>
    <w:rsid w:val="001B1F29"/>
    <w:rsid w:val="001B48B7"/>
    <w:rsid w:val="001B644A"/>
    <w:rsid w:val="001B6A93"/>
    <w:rsid w:val="001C04E2"/>
    <w:rsid w:val="001C0D7A"/>
    <w:rsid w:val="001C109C"/>
    <w:rsid w:val="001C20B6"/>
    <w:rsid w:val="001C3215"/>
    <w:rsid w:val="001C3E67"/>
    <w:rsid w:val="001C5908"/>
    <w:rsid w:val="001C5E27"/>
    <w:rsid w:val="001C70F9"/>
    <w:rsid w:val="001D0558"/>
    <w:rsid w:val="001D12D4"/>
    <w:rsid w:val="001D1AB3"/>
    <w:rsid w:val="001D1DF0"/>
    <w:rsid w:val="001D6A5D"/>
    <w:rsid w:val="001E0B6D"/>
    <w:rsid w:val="001E1AA5"/>
    <w:rsid w:val="001E1FE5"/>
    <w:rsid w:val="001E2AFF"/>
    <w:rsid w:val="001E397B"/>
    <w:rsid w:val="001E39F6"/>
    <w:rsid w:val="001E4691"/>
    <w:rsid w:val="001E63F0"/>
    <w:rsid w:val="001F2129"/>
    <w:rsid w:val="001F226A"/>
    <w:rsid w:val="001F25F8"/>
    <w:rsid w:val="001F2F10"/>
    <w:rsid w:val="001F337F"/>
    <w:rsid w:val="001F46E7"/>
    <w:rsid w:val="001F73CB"/>
    <w:rsid w:val="00201687"/>
    <w:rsid w:val="00201D34"/>
    <w:rsid w:val="0020244E"/>
    <w:rsid w:val="002033F6"/>
    <w:rsid w:val="0020353D"/>
    <w:rsid w:val="00203CED"/>
    <w:rsid w:val="00203CF7"/>
    <w:rsid w:val="002047D2"/>
    <w:rsid w:val="00205586"/>
    <w:rsid w:val="00206B5F"/>
    <w:rsid w:val="00206D6F"/>
    <w:rsid w:val="002075B3"/>
    <w:rsid w:val="00211C25"/>
    <w:rsid w:val="00215597"/>
    <w:rsid w:val="002157D9"/>
    <w:rsid w:val="0021644E"/>
    <w:rsid w:val="00216AA3"/>
    <w:rsid w:val="002178FD"/>
    <w:rsid w:val="00223BB6"/>
    <w:rsid w:val="00223FED"/>
    <w:rsid w:val="00225D72"/>
    <w:rsid w:val="002272FC"/>
    <w:rsid w:val="0023452A"/>
    <w:rsid w:val="00234B42"/>
    <w:rsid w:val="0023641F"/>
    <w:rsid w:val="0023657F"/>
    <w:rsid w:val="00236CD7"/>
    <w:rsid w:val="00236F49"/>
    <w:rsid w:val="002401A4"/>
    <w:rsid w:val="00240742"/>
    <w:rsid w:val="00240890"/>
    <w:rsid w:val="00243948"/>
    <w:rsid w:val="002444B8"/>
    <w:rsid w:val="00245CCD"/>
    <w:rsid w:val="002510B3"/>
    <w:rsid w:val="0025110B"/>
    <w:rsid w:val="002516D9"/>
    <w:rsid w:val="0025278D"/>
    <w:rsid w:val="00253E44"/>
    <w:rsid w:val="00254642"/>
    <w:rsid w:val="0025474D"/>
    <w:rsid w:val="00255AC4"/>
    <w:rsid w:val="00256680"/>
    <w:rsid w:val="00257024"/>
    <w:rsid w:val="002571AA"/>
    <w:rsid w:val="002575B7"/>
    <w:rsid w:val="00261779"/>
    <w:rsid w:val="00264203"/>
    <w:rsid w:val="0026442A"/>
    <w:rsid w:val="002650E7"/>
    <w:rsid w:val="00265C5C"/>
    <w:rsid w:val="002714D2"/>
    <w:rsid w:val="00271A2C"/>
    <w:rsid w:val="00271F2B"/>
    <w:rsid w:val="00272D15"/>
    <w:rsid w:val="0027316E"/>
    <w:rsid w:val="00273D07"/>
    <w:rsid w:val="00273F35"/>
    <w:rsid w:val="00274153"/>
    <w:rsid w:val="00274683"/>
    <w:rsid w:val="0027584C"/>
    <w:rsid w:val="0028000E"/>
    <w:rsid w:val="002806B7"/>
    <w:rsid w:val="00281539"/>
    <w:rsid w:val="00285573"/>
    <w:rsid w:val="00285D9D"/>
    <w:rsid w:val="002868E1"/>
    <w:rsid w:val="002908CC"/>
    <w:rsid w:val="00294E9C"/>
    <w:rsid w:val="00297CE2"/>
    <w:rsid w:val="00297E7F"/>
    <w:rsid w:val="002A008C"/>
    <w:rsid w:val="002A00F9"/>
    <w:rsid w:val="002A2AAF"/>
    <w:rsid w:val="002A5F2A"/>
    <w:rsid w:val="002B032B"/>
    <w:rsid w:val="002B12F1"/>
    <w:rsid w:val="002B1789"/>
    <w:rsid w:val="002B2899"/>
    <w:rsid w:val="002B4519"/>
    <w:rsid w:val="002B5016"/>
    <w:rsid w:val="002B510D"/>
    <w:rsid w:val="002B5135"/>
    <w:rsid w:val="002B5881"/>
    <w:rsid w:val="002B5BE4"/>
    <w:rsid w:val="002B6573"/>
    <w:rsid w:val="002B6E49"/>
    <w:rsid w:val="002C0185"/>
    <w:rsid w:val="002C44D2"/>
    <w:rsid w:val="002C4A24"/>
    <w:rsid w:val="002C662D"/>
    <w:rsid w:val="002D037B"/>
    <w:rsid w:val="002D046C"/>
    <w:rsid w:val="002D1F57"/>
    <w:rsid w:val="002D3628"/>
    <w:rsid w:val="002D478F"/>
    <w:rsid w:val="002D50D1"/>
    <w:rsid w:val="002D700F"/>
    <w:rsid w:val="002D742C"/>
    <w:rsid w:val="002D79E9"/>
    <w:rsid w:val="002E08D2"/>
    <w:rsid w:val="002E0BDC"/>
    <w:rsid w:val="002E28E9"/>
    <w:rsid w:val="002E3F33"/>
    <w:rsid w:val="002E556A"/>
    <w:rsid w:val="002E7558"/>
    <w:rsid w:val="002F0674"/>
    <w:rsid w:val="002F2D1C"/>
    <w:rsid w:val="002F4F8D"/>
    <w:rsid w:val="002F4F93"/>
    <w:rsid w:val="002F5F84"/>
    <w:rsid w:val="002F6777"/>
    <w:rsid w:val="002F73C1"/>
    <w:rsid w:val="0030183C"/>
    <w:rsid w:val="00302A83"/>
    <w:rsid w:val="00303AD0"/>
    <w:rsid w:val="00304431"/>
    <w:rsid w:val="003046ED"/>
    <w:rsid w:val="00304E5C"/>
    <w:rsid w:val="003058C6"/>
    <w:rsid w:val="003058F1"/>
    <w:rsid w:val="0031082A"/>
    <w:rsid w:val="00312AD3"/>
    <w:rsid w:val="00312CEE"/>
    <w:rsid w:val="0031577A"/>
    <w:rsid w:val="00316501"/>
    <w:rsid w:val="0031690F"/>
    <w:rsid w:val="003222CF"/>
    <w:rsid w:val="0032300C"/>
    <w:rsid w:val="00323B1A"/>
    <w:rsid w:val="00323D93"/>
    <w:rsid w:val="00324A3B"/>
    <w:rsid w:val="00326B4B"/>
    <w:rsid w:val="003275AC"/>
    <w:rsid w:val="00331BD6"/>
    <w:rsid w:val="00334FCD"/>
    <w:rsid w:val="00335566"/>
    <w:rsid w:val="00336641"/>
    <w:rsid w:val="00337328"/>
    <w:rsid w:val="00337877"/>
    <w:rsid w:val="00340A81"/>
    <w:rsid w:val="003447BF"/>
    <w:rsid w:val="00344B0C"/>
    <w:rsid w:val="003450FE"/>
    <w:rsid w:val="0034529E"/>
    <w:rsid w:val="003453B7"/>
    <w:rsid w:val="00345834"/>
    <w:rsid w:val="00345A9C"/>
    <w:rsid w:val="00347301"/>
    <w:rsid w:val="0034785B"/>
    <w:rsid w:val="0035039C"/>
    <w:rsid w:val="0035093C"/>
    <w:rsid w:val="00351892"/>
    <w:rsid w:val="00351D47"/>
    <w:rsid w:val="0035253E"/>
    <w:rsid w:val="00355883"/>
    <w:rsid w:val="00355F34"/>
    <w:rsid w:val="0035636F"/>
    <w:rsid w:val="00360B4A"/>
    <w:rsid w:val="003635F7"/>
    <w:rsid w:val="0036526F"/>
    <w:rsid w:val="00367A62"/>
    <w:rsid w:val="00367B96"/>
    <w:rsid w:val="003729C5"/>
    <w:rsid w:val="00372F98"/>
    <w:rsid w:val="00376454"/>
    <w:rsid w:val="0038469B"/>
    <w:rsid w:val="003854C5"/>
    <w:rsid w:val="0038576A"/>
    <w:rsid w:val="00386E3B"/>
    <w:rsid w:val="00390585"/>
    <w:rsid w:val="0039243F"/>
    <w:rsid w:val="00396005"/>
    <w:rsid w:val="003962B6"/>
    <w:rsid w:val="003A142B"/>
    <w:rsid w:val="003A22A0"/>
    <w:rsid w:val="003A3633"/>
    <w:rsid w:val="003A38A3"/>
    <w:rsid w:val="003A5169"/>
    <w:rsid w:val="003A5AB3"/>
    <w:rsid w:val="003A7E9B"/>
    <w:rsid w:val="003B1895"/>
    <w:rsid w:val="003B2025"/>
    <w:rsid w:val="003B213A"/>
    <w:rsid w:val="003B224A"/>
    <w:rsid w:val="003B34A4"/>
    <w:rsid w:val="003B4A6D"/>
    <w:rsid w:val="003B6F25"/>
    <w:rsid w:val="003C0297"/>
    <w:rsid w:val="003C0D3E"/>
    <w:rsid w:val="003C1D15"/>
    <w:rsid w:val="003C4446"/>
    <w:rsid w:val="003C4BB9"/>
    <w:rsid w:val="003C51CE"/>
    <w:rsid w:val="003C6E04"/>
    <w:rsid w:val="003C7AC5"/>
    <w:rsid w:val="003D192F"/>
    <w:rsid w:val="003D2165"/>
    <w:rsid w:val="003D24E4"/>
    <w:rsid w:val="003D59B7"/>
    <w:rsid w:val="003D6390"/>
    <w:rsid w:val="003D77DF"/>
    <w:rsid w:val="003D7BF1"/>
    <w:rsid w:val="003E0895"/>
    <w:rsid w:val="003E1132"/>
    <w:rsid w:val="003E2B07"/>
    <w:rsid w:val="003E2F40"/>
    <w:rsid w:val="003E523A"/>
    <w:rsid w:val="003E7138"/>
    <w:rsid w:val="003E7A55"/>
    <w:rsid w:val="003F1410"/>
    <w:rsid w:val="003F18EF"/>
    <w:rsid w:val="003F2A8C"/>
    <w:rsid w:val="003F325B"/>
    <w:rsid w:val="003F3692"/>
    <w:rsid w:val="004007F3"/>
    <w:rsid w:val="00401B8E"/>
    <w:rsid w:val="00403331"/>
    <w:rsid w:val="00404B70"/>
    <w:rsid w:val="00405081"/>
    <w:rsid w:val="004060BF"/>
    <w:rsid w:val="004068B2"/>
    <w:rsid w:val="00410959"/>
    <w:rsid w:val="00412A67"/>
    <w:rsid w:val="00413830"/>
    <w:rsid w:val="00415E31"/>
    <w:rsid w:val="004171AC"/>
    <w:rsid w:val="00417894"/>
    <w:rsid w:val="00417AE1"/>
    <w:rsid w:val="00420A69"/>
    <w:rsid w:val="0042112B"/>
    <w:rsid w:val="0042139E"/>
    <w:rsid w:val="0042161E"/>
    <w:rsid w:val="00422D4B"/>
    <w:rsid w:val="004233B7"/>
    <w:rsid w:val="004242C0"/>
    <w:rsid w:val="00424959"/>
    <w:rsid w:val="00424CEC"/>
    <w:rsid w:val="00425890"/>
    <w:rsid w:val="00426644"/>
    <w:rsid w:val="00427430"/>
    <w:rsid w:val="00431929"/>
    <w:rsid w:val="00432CA1"/>
    <w:rsid w:val="00432D9A"/>
    <w:rsid w:val="00432F85"/>
    <w:rsid w:val="004331B4"/>
    <w:rsid w:val="004338F3"/>
    <w:rsid w:val="00433B7C"/>
    <w:rsid w:val="00435C8F"/>
    <w:rsid w:val="004368A6"/>
    <w:rsid w:val="004408FF"/>
    <w:rsid w:val="00440B29"/>
    <w:rsid w:val="00440DB7"/>
    <w:rsid w:val="004419A1"/>
    <w:rsid w:val="00441E2A"/>
    <w:rsid w:val="00441EA6"/>
    <w:rsid w:val="004439A5"/>
    <w:rsid w:val="00444400"/>
    <w:rsid w:val="00445613"/>
    <w:rsid w:val="0044585C"/>
    <w:rsid w:val="00446B20"/>
    <w:rsid w:val="0044784B"/>
    <w:rsid w:val="00450820"/>
    <w:rsid w:val="004525CF"/>
    <w:rsid w:val="00454AB3"/>
    <w:rsid w:val="00455615"/>
    <w:rsid w:val="004558A9"/>
    <w:rsid w:val="00455952"/>
    <w:rsid w:val="00456A3C"/>
    <w:rsid w:val="00461D9C"/>
    <w:rsid w:val="00461E1E"/>
    <w:rsid w:val="00463340"/>
    <w:rsid w:val="004639DA"/>
    <w:rsid w:val="00464075"/>
    <w:rsid w:val="004640C9"/>
    <w:rsid w:val="00465A21"/>
    <w:rsid w:val="004679AC"/>
    <w:rsid w:val="00477976"/>
    <w:rsid w:val="00482C09"/>
    <w:rsid w:val="004843CF"/>
    <w:rsid w:val="00484890"/>
    <w:rsid w:val="00484DAB"/>
    <w:rsid w:val="00484DBA"/>
    <w:rsid w:val="00490786"/>
    <w:rsid w:val="00490A80"/>
    <w:rsid w:val="00490A89"/>
    <w:rsid w:val="00492A36"/>
    <w:rsid w:val="00492E73"/>
    <w:rsid w:val="0049408B"/>
    <w:rsid w:val="0049581C"/>
    <w:rsid w:val="004A0138"/>
    <w:rsid w:val="004A2295"/>
    <w:rsid w:val="004A28D1"/>
    <w:rsid w:val="004A6294"/>
    <w:rsid w:val="004A650B"/>
    <w:rsid w:val="004A73B5"/>
    <w:rsid w:val="004A78E9"/>
    <w:rsid w:val="004B0197"/>
    <w:rsid w:val="004B08A6"/>
    <w:rsid w:val="004B2F5D"/>
    <w:rsid w:val="004B4464"/>
    <w:rsid w:val="004B486A"/>
    <w:rsid w:val="004B58F5"/>
    <w:rsid w:val="004B6F5D"/>
    <w:rsid w:val="004B7614"/>
    <w:rsid w:val="004C15BD"/>
    <w:rsid w:val="004C2141"/>
    <w:rsid w:val="004C485E"/>
    <w:rsid w:val="004C5E79"/>
    <w:rsid w:val="004C60F2"/>
    <w:rsid w:val="004D082E"/>
    <w:rsid w:val="004D177C"/>
    <w:rsid w:val="004D1DEE"/>
    <w:rsid w:val="004D26A6"/>
    <w:rsid w:val="004D3345"/>
    <w:rsid w:val="004D3541"/>
    <w:rsid w:val="004D70FC"/>
    <w:rsid w:val="004F2DD3"/>
    <w:rsid w:val="004F4585"/>
    <w:rsid w:val="004F47A8"/>
    <w:rsid w:val="004F50BC"/>
    <w:rsid w:val="004F5278"/>
    <w:rsid w:val="004F5827"/>
    <w:rsid w:val="004F5E7F"/>
    <w:rsid w:val="004F6792"/>
    <w:rsid w:val="004F726A"/>
    <w:rsid w:val="004F78CE"/>
    <w:rsid w:val="00500C55"/>
    <w:rsid w:val="00501A26"/>
    <w:rsid w:val="0050287F"/>
    <w:rsid w:val="00505662"/>
    <w:rsid w:val="00506771"/>
    <w:rsid w:val="00506F0F"/>
    <w:rsid w:val="00507DB0"/>
    <w:rsid w:val="005108CD"/>
    <w:rsid w:val="00513345"/>
    <w:rsid w:val="00513892"/>
    <w:rsid w:val="00513A16"/>
    <w:rsid w:val="00513D94"/>
    <w:rsid w:val="005141A1"/>
    <w:rsid w:val="00515BAC"/>
    <w:rsid w:val="005203DF"/>
    <w:rsid w:val="005207CB"/>
    <w:rsid w:val="005225BE"/>
    <w:rsid w:val="005258B1"/>
    <w:rsid w:val="005259EE"/>
    <w:rsid w:val="0052786D"/>
    <w:rsid w:val="00527CA1"/>
    <w:rsid w:val="00530470"/>
    <w:rsid w:val="00530539"/>
    <w:rsid w:val="0053060F"/>
    <w:rsid w:val="005327D0"/>
    <w:rsid w:val="00534424"/>
    <w:rsid w:val="00535477"/>
    <w:rsid w:val="00537577"/>
    <w:rsid w:val="00537F86"/>
    <w:rsid w:val="005404C5"/>
    <w:rsid w:val="00541DDC"/>
    <w:rsid w:val="005435FD"/>
    <w:rsid w:val="00543AA0"/>
    <w:rsid w:val="005450F5"/>
    <w:rsid w:val="0055043D"/>
    <w:rsid w:val="00550E27"/>
    <w:rsid w:val="00551123"/>
    <w:rsid w:val="00551492"/>
    <w:rsid w:val="005515D7"/>
    <w:rsid w:val="00557F2C"/>
    <w:rsid w:val="0056267F"/>
    <w:rsid w:val="00562D9E"/>
    <w:rsid w:val="00562F3F"/>
    <w:rsid w:val="00563AA4"/>
    <w:rsid w:val="00565140"/>
    <w:rsid w:val="005666BC"/>
    <w:rsid w:val="00567EE7"/>
    <w:rsid w:val="00570BBF"/>
    <w:rsid w:val="00573BA8"/>
    <w:rsid w:val="00574487"/>
    <w:rsid w:val="005746D2"/>
    <w:rsid w:val="0057534A"/>
    <w:rsid w:val="005754CE"/>
    <w:rsid w:val="00576694"/>
    <w:rsid w:val="00580BF4"/>
    <w:rsid w:val="00581E43"/>
    <w:rsid w:val="00582FC4"/>
    <w:rsid w:val="00583250"/>
    <w:rsid w:val="0058351A"/>
    <w:rsid w:val="0058593C"/>
    <w:rsid w:val="00586258"/>
    <w:rsid w:val="0058737F"/>
    <w:rsid w:val="005877F8"/>
    <w:rsid w:val="00590E34"/>
    <w:rsid w:val="00591228"/>
    <w:rsid w:val="00591B98"/>
    <w:rsid w:val="00591FD1"/>
    <w:rsid w:val="00593602"/>
    <w:rsid w:val="005A0210"/>
    <w:rsid w:val="005A58E1"/>
    <w:rsid w:val="005B1BF3"/>
    <w:rsid w:val="005B2373"/>
    <w:rsid w:val="005B7D81"/>
    <w:rsid w:val="005C1667"/>
    <w:rsid w:val="005C1F5E"/>
    <w:rsid w:val="005C223C"/>
    <w:rsid w:val="005C35EA"/>
    <w:rsid w:val="005C36E5"/>
    <w:rsid w:val="005C3EBF"/>
    <w:rsid w:val="005C43D6"/>
    <w:rsid w:val="005C520D"/>
    <w:rsid w:val="005C532F"/>
    <w:rsid w:val="005C57D4"/>
    <w:rsid w:val="005C61FD"/>
    <w:rsid w:val="005C662C"/>
    <w:rsid w:val="005C7618"/>
    <w:rsid w:val="005D0B8C"/>
    <w:rsid w:val="005D2F1F"/>
    <w:rsid w:val="005D31AB"/>
    <w:rsid w:val="005D569B"/>
    <w:rsid w:val="005D59EF"/>
    <w:rsid w:val="005D5FC7"/>
    <w:rsid w:val="005D63A5"/>
    <w:rsid w:val="005D6F85"/>
    <w:rsid w:val="005D7CEF"/>
    <w:rsid w:val="005D7E2E"/>
    <w:rsid w:val="005E07C8"/>
    <w:rsid w:val="005E1353"/>
    <w:rsid w:val="005E276D"/>
    <w:rsid w:val="005E4709"/>
    <w:rsid w:val="005E50FA"/>
    <w:rsid w:val="005E637D"/>
    <w:rsid w:val="005E719A"/>
    <w:rsid w:val="005F6175"/>
    <w:rsid w:val="005F6885"/>
    <w:rsid w:val="005F6EEB"/>
    <w:rsid w:val="005F73A5"/>
    <w:rsid w:val="005F76A1"/>
    <w:rsid w:val="005F79B1"/>
    <w:rsid w:val="00601DB5"/>
    <w:rsid w:val="006037EE"/>
    <w:rsid w:val="0060404B"/>
    <w:rsid w:val="006053FA"/>
    <w:rsid w:val="00607354"/>
    <w:rsid w:val="006073AC"/>
    <w:rsid w:val="00610828"/>
    <w:rsid w:val="00610EC5"/>
    <w:rsid w:val="00612EA2"/>
    <w:rsid w:val="00614E7B"/>
    <w:rsid w:val="00615578"/>
    <w:rsid w:val="006155BE"/>
    <w:rsid w:val="006160AC"/>
    <w:rsid w:val="006204FB"/>
    <w:rsid w:val="00622144"/>
    <w:rsid w:val="00622EBF"/>
    <w:rsid w:val="00624CCB"/>
    <w:rsid w:val="00627715"/>
    <w:rsid w:val="006309DA"/>
    <w:rsid w:val="00630E44"/>
    <w:rsid w:val="00630EF0"/>
    <w:rsid w:val="00632470"/>
    <w:rsid w:val="006329B9"/>
    <w:rsid w:val="00632AFC"/>
    <w:rsid w:val="00632CE5"/>
    <w:rsid w:val="0063460A"/>
    <w:rsid w:val="006348DA"/>
    <w:rsid w:val="00635B90"/>
    <w:rsid w:val="00637C80"/>
    <w:rsid w:val="00640E88"/>
    <w:rsid w:val="006411A5"/>
    <w:rsid w:val="006422D1"/>
    <w:rsid w:val="006424EF"/>
    <w:rsid w:val="0064270E"/>
    <w:rsid w:val="00643B32"/>
    <w:rsid w:val="00645F80"/>
    <w:rsid w:val="00645FB2"/>
    <w:rsid w:val="00646647"/>
    <w:rsid w:val="00647775"/>
    <w:rsid w:val="00651CBD"/>
    <w:rsid w:val="00652090"/>
    <w:rsid w:val="00654FCF"/>
    <w:rsid w:val="006553AC"/>
    <w:rsid w:val="00655E63"/>
    <w:rsid w:val="006570AD"/>
    <w:rsid w:val="00657394"/>
    <w:rsid w:val="006606B7"/>
    <w:rsid w:val="00662054"/>
    <w:rsid w:val="00662BC7"/>
    <w:rsid w:val="006639D2"/>
    <w:rsid w:val="0066484F"/>
    <w:rsid w:val="0066495C"/>
    <w:rsid w:val="00665872"/>
    <w:rsid w:val="00666DFD"/>
    <w:rsid w:val="0067145D"/>
    <w:rsid w:val="00672E17"/>
    <w:rsid w:val="00672FCF"/>
    <w:rsid w:val="0067471C"/>
    <w:rsid w:val="00674D32"/>
    <w:rsid w:val="006777B0"/>
    <w:rsid w:val="006778F7"/>
    <w:rsid w:val="00677917"/>
    <w:rsid w:val="006802D8"/>
    <w:rsid w:val="00681836"/>
    <w:rsid w:val="00682721"/>
    <w:rsid w:val="00682BCD"/>
    <w:rsid w:val="00684592"/>
    <w:rsid w:val="00687831"/>
    <w:rsid w:val="00687ED7"/>
    <w:rsid w:val="00690358"/>
    <w:rsid w:val="006913DE"/>
    <w:rsid w:val="0069148D"/>
    <w:rsid w:val="00692FF4"/>
    <w:rsid w:val="00694336"/>
    <w:rsid w:val="00695499"/>
    <w:rsid w:val="00696044"/>
    <w:rsid w:val="00696AB3"/>
    <w:rsid w:val="00697B53"/>
    <w:rsid w:val="006A2099"/>
    <w:rsid w:val="006A3128"/>
    <w:rsid w:val="006A449C"/>
    <w:rsid w:val="006A4EC8"/>
    <w:rsid w:val="006A5E7E"/>
    <w:rsid w:val="006A756D"/>
    <w:rsid w:val="006A75D9"/>
    <w:rsid w:val="006B0406"/>
    <w:rsid w:val="006B1E24"/>
    <w:rsid w:val="006B44BF"/>
    <w:rsid w:val="006B5F1F"/>
    <w:rsid w:val="006B631E"/>
    <w:rsid w:val="006B6FA0"/>
    <w:rsid w:val="006C0AEC"/>
    <w:rsid w:val="006C31FA"/>
    <w:rsid w:val="006C3235"/>
    <w:rsid w:val="006C38D4"/>
    <w:rsid w:val="006C5C0F"/>
    <w:rsid w:val="006C78F6"/>
    <w:rsid w:val="006C798A"/>
    <w:rsid w:val="006D0572"/>
    <w:rsid w:val="006D4C40"/>
    <w:rsid w:val="006D57CF"/>
    <w:rsid w:val="006D64B6"/>
    <w:rsid w:val="006D6545"/>
    <w:rsid w:val="006D6805"/>
    <w:rsid w:val="006D6F56"/>
    <w:rsid w:val="006D7E84"/>
    <w:rsid w:val="006E2D33"/>
    <w:rsid w:val="006E5AF1"/>
    <w:rsid w:val="006E672C"/>
    <w:rsid w:val="006E72AA"/>
    <w:rsid w:val="006E7F33"/>
    <w:rsid w:val="006F1AD4"/>
    <w:rsid w:val="006F1DCB"/>
    <w:rsid w:val="006F2AC1"/>
    <w:rsid w:val="006F2EA5"/>
    <w:rsid w:val="006F3577"/>
    <w:rsid w:val="006F35C0"/>
    <w:rsid w:val="006F3F76"/>
    <w:rsid w:val="006F440D"/>
    <w:rsid w:val="006F4937"/>
    <w:rsid w:val="006F6435"/>
    <w:rsid w:val="006F64F7"/>
    <w:rsid w:val="00700FBD"/>
    <w:rsid w:val="007015F7"/>
    <w:rsid w:val="00702087"/>
    <w:rsid w:val="007033C6"/>
    <w:rsid w:val="0070398B"/>
    <w:rsid w:val="007049FC"/>
    <w:rsid w:val="00705463"/>
    <w:rsid w:val="00705CD4"/>
    <w:rsid w:val="00707F0C"/>
    <w:rsid w:val="00710D1D"/>
    <w:rsid w:val="00710EF6"/>
    <w:rsid w:val="00711B2C"/>
    <w:rsid w:val="007139F3"/>
    <w:rsid w:val="007143A8"/>
    <w:rsid w:val="00715110"/>
    <w:rsid w:val="00715677"/>
    <w:rsid w:val="007159A1"/>
    <w:rsid w:val="00717311"/>
    <w:rsid w:val="00720472"/>
    <w:rsid w:val="00721369"/>
    <w:rsid w:val="0072186C"/>
    <w:rsid w:val="00722583"/>
    <w:rsid w:val="00722724"/>
    <w:rsid w:val="00723CE5"/>
    <w:rsid w:val="00725C8B"/>
    <w:rsid w:val="00725FFD"/>
    <w:rsid w:val="007271EC"/>
    <w:rsid w:val="00730B7D"/>
    <w:rsid w:val="0073305A"/>
    <w:rsid w:val="007342E0"/>
    <w:rsid w:val="00734438"/>
    <w:rsid w:val="007344E4"/>
    <w:rsid w:val="007419A1"/>
    <w:rsid w:val="00742B83"/>
    <w:rsid w:val="00743A46"/>
    <w:rsid w:val="0074486C"/>
    <w:rsid w:val="007453E8"/>
    <w:rsid w:val="00746D34"/>
    <w:rsid w:val="00750C7C"/>
    <w:rsid w:val="007521DE"/>
    <w:rsid w:val="00753930"/>
    <w:rsid w:val="007645E6"/>
    <w:rsid w:val="00765AEA"/>
    <w:rsid w:val="00770C5D"/>
    <w:rsid w:val="00771D1F"/>
    <w:rsid w:val="0077222E"/>
    <w:rsid w:val="007731F9"/>
    <w:rsid w:val="0077359E"/>
    <w:rsid w:val="0077395B"/>
    <w:rsid w:val="00776BCD"/>
    <w:rsid w:val="00776C02"/>
    <w:rsid w:val="007832E9"/>
    <w:rsid w:val="007834B6"/>
    <w:rsid w:val="00785913"/>
    <w:rsid w:val="0078746D"/>
    <w:rsid w:val="00792CAB"/>
    <w:rsid w:val="00792E85"/>
    <w:rsid w:val="00793075"/>
    <w:rsid w:val="007945B4"/>
    <w:rsid w:val="00796BB5"/>
    <w:rsid w:val="00797BFF"/>
    <w:rsid w:val="007A1B56"/>
    <w:rsid w:val="007A2423"/>
    <w:rsid w:val="007A353D"/>
    <w:rsid w:val="007A3655"/>
    <w:rsid w:val="007A59E0"/>
    <w:rsid w:val="007A5DEE"/>
    <w:rsid w:val="007A5E2E"/>
    <w:rsid w:val="007A7635"/>
    <w:rsid w:val="007B02D2"/>
    <w:rsid w:val="007B4862"/>
    <w:rsid w:val="007B49C2"/>
    <w:rsid w:val="007B7183"/>
    <w:rsid w:val="007B719E"/>
    <w:rsid w:val="007C3C81"/>
    <w:rsid w:val="007C4B05"/>
    <w:rsid w:val="007C4E71"/>
    <w:rsid w:val="007C7145"/>
    <w:rsid w:val="007D01ED"/>
    <w:rsid w:val="007D0F85"/>
    <w:rsid w:val="007D1FB0"/>
    <w:rsid w:val="007D30D7"/>
    <w:rsid w:val="007D46BA"/>
    <w:rsid w:val="007D6102"/>
    <w:rsid w:val="007D6F31"/>
    <w:rsid w:val="007D7AD5"/>
    <w:rsid w:val="007E099C"/>
    <w:rsid w:val="007E0ABF"/>
    <w:rsid w:val="007E2B5E"/>
    <w:rsid w:val="007E2B7E"/>
    <w:rsid w:val="007E3074"/>
    <w:rsid w:val="007E4D8D"/>
    <w:rsid w:val="007F039D"/>
    <w:rsid w:val="007F1875"/>
    <w:rsid w:val="007F24A7"/>
    <w:rsid w:val="007F626F"/>
    <w:rsid w:val="00800195"/>
    <w:rsid w:val="008058C3"/>
    <w:rsid w:val="00805D62"/>
    <w:rsid w:val="00806BE7"/>
    <w:rsid w:val="00807210"/>
    <w:rsid w:val="00810D9D"/>
    <w:rsid w:val="00810E5C"/>
    <w:rsid w:val="00811EBD"/>
    <w:rsid w:val="00814026"/>
    <w:rsid w:val="00820578"/>
    <w:rsid w:val="00820930"/>
    <w:rsid w:val="00820EC9"/>
    <w:rsid w:val="00823398"/>
    <w:rsid w:val="00823BAA"/>
    <w:rsid w:val="00826CA4"/>
    <w:rsid w:val="00827EAD"/>
    <w:rsid w:val="00830163"/>
    <w:rsid w:val="00831F9C"/>
    <w:rsid w:val="00836DC4"/>
    <w:rsid w:val="00840B0A"/>
    <w:rsid w:val="00841A0A"/>
    <w:rsid w:val="008466E3"/>
    <w:rsid w:val="00846FEE"/>
    <w:rsid w:val="00847A44"/>
    <w:rsid w:val="00850EC0"/>
    <w:rsid w:val="00851F89"/>
    <w:rsid w:val="008526DD"/>
    <w:rsid w:val="00853FE6"/>
    <w:rsid w:val="0085757E"/>
    <w:rsid w:val="0085794F"/>
    <w:rsid w:val="00861480"/>
    <w:rsid w:val="00861E76"/>
    <w:rsid w:val="00862B4C"/>
    <w:rsid w:val="008630FD"/>
    <w:rsid w:val="0086411E"/>
    <w:rsid w:val="008649D1"/>
    <w:rsid w:val="008654AE"/>
    <w:rsid w:val="0086692F"/>
    <w:rsid w:val="00866DA7"/>
    <w:rsid w:val="008674CD"/>
    <w:rsid w:val="00876D70"/>
    <w:rsid w:val="00880798"/>
    <w:rsid w:val="00880BBE"/>
    <w:rsid w:val="00880D58"/>
    <w:rsid w:val="00881114"/>
    <w:rsid w:val="008819D4"/>
    <w:rsid w:val="00881E95"/>
    <w:rsid w:val="00883BE6"/>
    <w:rsid w:val="00883C6D"/>
    <w:rsid w:val="008846ED"/>
    <w:rsid w:val="00885613"/>
    <w:rsid w:val="008869C4"/>
    <w:rsid w:val="0088717D"/>
    <w:rsid w:val="008878FC"/>
    <w:rsid w:val="00891A49"/>
    <w:rsid w:val="008932F9"/>
    <w:rsid w:val="00893D06"/>
    <w:rsid w:val="008945FF"/>
    <w:rsid w:val="00896120"/>
    <w:rsid w:val="00897D64"/>
    <w:rsid w:val="008A0385"/>
    <w:rsid w:val="008A0E12"/>
    <w:rsid w:val="008A1E53"/>
    <w:rsid w:val="008A2477"/>
    <w:rsid w:val="008A28A2"/>
    <w:rsid w:val="008A3C3E"/>
    <w:rsid w:val="008A4F7D"/>
    <w:rsid w:val="008A7463"/>
    <w:rsid w:val="008B0B59"/>
    <w:rsid w:val="008B2694"/>
    <w:rsid w:val="008B42DE"/>
    <w:rsid w:val="008B6BFF"/>
    <w:rsid w:val="008C0184"/>
    <w:rsid w:val="008C0A62"/>
    <w:rsid w:val="008C10A9"/>
    <w:rsid w:val="008C2A77"/>
    <w:rsid w:val="008C4542"/>
    <w:rsid w:val="008C4552"/>
    <w:rsid w:val="008C5279"/>
    <w:rsid w:val="008C5747"/>
    <w:rsid w:val="008C7B34"/>
    <w:rsid w:val="008D0336"/>
    <w:rsid w:val="008D049E"/>
    <w:rsid w:val="008D2B91"/>
    <w:rsid w:val="008D36FA"/>
    <w:rsid w:val="008D4549"/>
    <w:rsid w:val="008D487B"/>
    <w:rsid w:val="008D4BD5"/>
    <w:rsid w:val="008D5BE8"/>
    <w:rsid w:val="008D640A"/>
    <w:rsid w:val="008D6AA2"/>
    <w:rsid w:val="008D6FCD"/>
    <w:rsid w:val="008D7F27"/>
    <w:rsid w:val="008E1610"/>
    <w:rsid w:val="008E271A"/>
    <w:rsid w:val="008E28DD"/>
    <w:rsid w:val="008E3C12"/>
    <w:rsid w:val="008E3E26"/>
    <w:rsid w:val="008E3FD9"/>
    <w:rsid w:val="008E775E"/>
    <w:rsid w:val="008E7B9F"/>
    <w:rsid w:val="008F0684"/>
    <w:rsid w:val="008F1411"/>
    <w:rsid w:val="008F2568"/>
    <w:rsid w:val="008F30AD"/>
    <w:rsid w:val="008F56AE"/>
    <w:rsid w:val="008F5A62"/>
    <w:rsid w:val="008F7BFD"/>
    <w:rsid w:val="00901E23"/>
    <w:rsid w:val="00904DC5"/>
    <w:rsid w:val="0090621E"/>
    <w:rsid w:val="009066A7"/>
    <w:rsid w:val="009104F3"/>
    <w:rsid w:val="00911C5E"/>
    <w:rsid w:val="00913CDD"/>
    <w:rsid w:val="00914BF7"/>
    <w:rsid w:val="00914EFB"/>
    <w:rsid w:val="0091553F"/>
    <w:rsid w:val="00915CD9"/>
    <w:rsid w:val="00916847"/>
    <w:rsid w:val="0091689A"/>
    <w:rsid w:val="00916C78"/>
    <w:rsid w:val="009174CA"/>
    <w:rsid w:val="00920A48"/>
    <w:rsid w:val="00920A9B"/>
    <w:rsid w:val="00920C7D"/>
    <w:rsid w:val="009215E9"/>
    <w:rsid w:val="009237D0"/>
    <w:rsid w:val="0092512D"/>
    <w:rsid w:val="00926466"/>
    <w:rsid w:val="00926EA3"/>
    <w:rsid w:val="00927950"/>
    <w:rsid w:val="00930E5C"/>
    <w:rsid w:val="00932D8E"/>
    <w:rsid w:val="0093339A"/>
    <w:rsid w:val="0093415D"/>
    <w:rsid w:val="0093430C"/>
    <w:rsid w:val="00935C03"/>
    <w:rsid w:val="009364E3"/>
    <w:rsid w:val="009370FD"/>
    <w:rsid w:val="00937F8F"/>
    <w:rsid w:val="00937FF2"/>
    <w:rsid w:val="0094039C"/>
    <w:rsid w:val="0094095B"/>
    <w:rsid w:val="00941FF1"/>
    <w:rsid w:val="00943285"/>
    <w:rsid w:val="00944244"/>
    <w:rsid w:val="0094424A"/>
    <w:rsid w:val="00945A36"/>
    <w:rsid w:val="009463A5"/>
    <w:rsid w:val="009506F3"/>
    <w:rsid w:val="009515BA"/>
    <w:rsid w:val="009526DC"/>
    <w:rsid w:val="00952F99"/>
    <w:rsid w:val="00956F4B"/>
    <w:rsid w:val="009572D5"/>
    <w:rsid w:val="00957A16"/>
    <w:rsid w:val="00962652"/>
    <w:rsid w:val="0096282A"/>
    <w:rsid w:val="0096331A"/>
    <w:rsid w:val="009653DD"/>
    <w:rsid w:val="0097115D"/>
    <w:rsid w:val="00973331"/>
    <w:rsid w:val="00973485"/>
    <w:rsid w:val="00973901"/>
    <w:rsid w:val="00974A1D"/>
    <w:rsid w:val="00977EDA"/>
    <w:rsid w:val="009805DB"/>
    <w:rsid w:val="009861E0"/>
    <w:rsid w:val="00991056"/>
    <w:rsid w:val="009917A1"/>
    <w:rsid w:val="0099211A"/>
    <w:rsid w:val="00996993"/>
    <w:rsid w:val="009971D3"/>
    <w:rsid w:val="0099735D"/>
    <w:rsid w:val="00997610"/>
    <w:rsid w:val="009A369B"/>
    <w:rsid w:val="009A4DF0"/>
    <w:rsid w:val="009B254B"/>
    <w:rsid w:val="009B29B7"/>
    <w:rsid w:val="009B33E4"/>
    <w:rsid w:val="009B562F"/>
    <w:rsid w:val="009B6E6B"/>
    <w:rsid w:val="009C0CEF"/>
    <w:rsid w:val="009C1A89"/>
    <w:rsid w:val="009C1FE6"/>
    <w:rsid w:val="009C2FAB"/>
    <w:rsid w:val="009C3350"/>
    <w:rsid w:val="009C3CC3"/>
    <w:rsid w:val="009C6BFA"/>
    <w:rsid w:val="009C7857"/>
    <w:rsid w:val="009D1B9B"/>
    <w:rsid w:val="009D3C0D"/>
    <w:rsid w:val="009D4F7D"/>
    <w:rsid w:val="009D6906"/>
    <w:rsid w:val="009D7EB5"/>
    <w:rsid w:val="009D7FCD"/>
    <w:rsid w:val="009E1F66"/>
    <w:rsid w:val="009E28FF"/>
    <w:rsid w:val="009E2F43"/>
    <w:rsid w:val="009E40C9"/>
    <w:rsid w:val="009E6CF8"/>
    <w:rsid w:val="009E6F38"/>
    <w:rsid w:val="009F0847"/>
    <w:rsid w:val="009F25B4"/>
    <w:rsid w:val="009F5980"/>
    <w:rsid w:val="009F5A22"/>
    <w:rsid w:val="009F6A5C"/>
    <w:rsid w:val="009F731B"/>
    <w:rsid w:val="00A0031F"/>
    <w:rsid w:val="00A0114B"/>
    <w:rsid w:val="00A0228D"/>
    <w:rsid w:val="00A056D2"/>
    <w:rsid w:val="00A07ECF"/>
    <w:rsid w:val="00A12DFF"/>
    <w:rsid w:val="00A156D6"/>
    <w:rsid w:val="00A15E28"/>
    <w:rsid w:val="00A17255"/>
    <w:rsid w:val="00A17D91"/>
    <w:rsid w:val="00A20586"/>
    <w:rsid w:val="00A20DE3"/>
    <w:rsid w:val="00A2378B"/>
    <w:rsid w:val="00A23DCC"/>
    <w:rsid w:val="00A24E47"/>
    <w:rsid w:val="00A3087B"/>
    <w:rsid w:val="00A311B6"/>
    <w:rsid w:val="00A31C25"/>
    <w:rsid w:val="00A34781"/>
    <w:rsid w:val="00A34E1A"/>
    <w:rsid w:val="00A37AF2"/>
    <w:rsid w:val="00A37BDC"/>
    <w:rsid w:val="00A40512"/>
    <w:rsid w:val="00A40EAB"/>
    <w:rsid w:val="00A4191F"/>
    <w:rsid w:val="00A41DA1"/>
    <w:rsid w:val="00A420F5"/>
    <w:rsid w:val="00A436ED"/>
    <w:rsid w:val="00A46D70"/>
    <w:rsid w:val="00A470DF"/>
    <w:rsid w:val="00A50229"/>
    <w:rsid w:val="00A50CF3"/>
    <w:rsid w:val="00A52319"/>
    <w:rsid w:val="00A52A50"/>
    <w:rsid w:val="00A530DE"/>
    <w:rsid w:val="00A54384"/>
    <w:rsid w:val="00A5527B"/>
    <w:rsid w:val="00A571B1"/>
    <w:rsid w:val="00A571DA"/>
    <w:rsid w:val="00A57639"/>
    <w:rsid w:val="00A60B74"/>
    <w:rsid w:val="00A613F6"/>
    <w:rsid w:val="00A615A1"/>
    <w:rsid w:val="00A617C1"/>
    <w:rsid w:val="00A61BE1"/>
    <w:rsid w:val="00A62309"/>
    <w:rsid w:val="00A62EEE"/>
    <w:rsid w:val="00A639D8"/>
    <w:rsid w:val="00A63FF9"/>
    <w:rsid w:val="00A64E96"/>
    <w:rsid w:val="00A65827"/>
    <w:rsid w:val="00A669EE"/>
    <w:rsid w:val="00A66C95"/>
    <w:rsid w:val="00A67E94"/>
    <w:rsid w:val="00A70351"/>
    <w:rsid w:val="00A70FE5"/>
    <w:rsid w:val="00A71628"/>
    <w:rsid w:val="00A748B3"/>
    <w:rsid w:val="00A7591D"/>
    <w:rsid w:val="00A7678B"/>
    <w:rsid w:val="00A81496"/>
    <w:rsid w:val="00A82AD7"/>
    <w:rsid w:val="00A8480C"/>
    <w:rsid w:val="00A84F8B"/>
    <w:rsid w:val="00A85FC3"/>
    <w:rsid w:val="00A87A5C"/>
    <w:rsid w:val="00A927BD"/>
    <w:rsid w:val="00A92F14"/>
    <w:rsid w:val="00A93466"/>
    <w:rsid w:val="00A95938"/>
    <w:rsid w:val="00A95E9A"/>
    <w:rsid w:val="00A968B6"/>
    <w:rsid w:val="00A97B8B"/>
    <w:rsid w:val="00AA1BAB"/>
    <w:rsid w:val="00AA35A8"/>
    <w:rsid w:val="00AA5318"/>
    <w:rsid w:val="00AA5E61"/>
    <w:rsid w:val="00AA78F7"/>
    <w:rsid w:val="00AB030D"/>
    <w:rsid w:val="00AB09C5"/>
    <w:rsid w:val="00AB11B2"/>
    <w:rsid w:val="00AB240E"/>
    <w:rsid w:val="00AB2D41"/>
    <w:rsid w:val="00AB33C8"/>
    <w:rsid w:val="00AB34AB"/>
    <w:rsid w:val="00AB44C2"/>
    <w:rsid w:val="00AB57CC"/>
    <w:rsid w:val="00AB6FF3"/>
    <w:rsid w:val="00AB7393"/>
    <w:rsid w:val="00AC0FDB"/>
    <w:rsid w:val="00AC5BC7"/>
    <w:rsid w:val="00AC5E52"/>
    <w:rsid w:val="00AC654A"/>
    <w:rsid w:val="00AC7055"/>
    <w:rsid w:val="00AC7B7D"/>
    <w:rsid w:val="00AC7EE4"/>
    <w:rsid w:val="00AD4212"/>
    <w:rsid w:val="00AE08FF"/>
    <w:rsid w:val="00AE0A1A"/>
    <w:rsid w:val="00AE0CB6"/>
    <w:rsid w:val="00AE0E67"/>
    <w:rsid w:val="00AE0EB1"/>
    <w:rsid w:val="00AE10BD"/>
    <w:rsid w:val="00AE16E7"/>
    <w:rsid w:val="00AE1D88"/>
    <w:rsid w:val="00AE2D33"/>
    <w:rsid w:val="00AE3D49"/>
    <w:rsid w:val="00AE5F19"/>
    <w:rsid w:val="00AE6333"/>
    <w:rsid w:val="00AE79CB"/>
    <w:rsid w:val="00AE7E4B"/>
    <w:rsid w:val="00AE7EE0"/>
    <w:rsid w:val="00AF00AB"/>
    <w:rsid w:val="00AF01A9"/>
    <w:rsid w:val="00AF07E1"/>
    <w:rsid w:val="00AF0E9E"/>
    <w:rsid w:val="00AF4063"/>
    <w:rsid w:val="00AF4AAF"/>
    <w:rsid w:val="00AF541C"/>
    <w:rsid w:val="00AF5FB6"/>
    <w:rsid w:val="00AF6057"/>
    <w:rsid w:val="00AF6297"/>
    <w:rsid w:val="00AF6CE7"/>
    <w:rsid w:val="00B000E1"/>
    <w:rsid w:val="00B002D2"/>
    <w:rsid w:val="00B0261C"/>
    <w:rsid w:val="00B051F8"/>
    <w:rsid w:val="00B0613A"/>
    <w:rsid w:val="00B06E12"/>
    <w:rsid w:val="00B07A4D"/>
    <w:rsid w:val="00B108CF"/>
    <w:rsid w:val="00B11D42"/>
    <w:rsid w:val="00B12226"/>
    <w:rsid w:val="00B14AAA"/>
    <w:rsid w:val="00B151A3"/>
    <w:rsid w:val="00B171F3"/>
    <w:rsid w:val="00B2128F"/>
    <w:rsid w:val="00B21B7A"/>
    <w:rsid w:val="00B25883"/>
    <w:rsid w:val="00B263D3"/>
    <w:rsid w:val="00B27AC0"/>
    <w:rsid w:val="00B3033A"/>
    <w:rsid w:val="00B315C9"/>
    <w:rsid w:val="00B31E1B"/>
    <w:rsid w:val="00B32262"/>
    <w:rsid w:val="00B34D43"/>
    <w:rsid w:val="00B356D4"/>
    <w:rsid w:val="00B35B9E"/>
    <w:rsid w:val="00B35CF5"/>
    <w:rsid w:val="00B361F0"/>
    <w:rsid w:val="00B36EBB"/>
    <w:rsid w:val="00B37290"/>
    <w:rsid w:val="00B37604"/>
    <w:rsid w:val="00B4247E"/>
    <w:rsid w:val="00B43712"/>
    <w:rsid w:val="00B43CAD"/>
    <w:rsid w:val="00B44D1D"/>
    <w:rsid w:val="00B44F3C"/>
    <w:rsid w:val="00B451DC"/>
    <w:rsid w:val="00B46848"/>
    <w:rsid w:val="00B46B26"/>
    <w:rsid w:val="00B5117D"/>
    <w:rsid w:val="00B51EA6"/>
    <w:rsid w:val="00B532A0"/>
    <w:rsid w:val="00B554DD"/>
    <w:rsid w:val="00B6429A"/>
    <w:rsid w:val="00B6448C"/>
    <w:rsid w:val="00B6487F"/>
    <w:rsid w:val="00B6513E"/>
    <w:rsid w:val="00B6571B"/>
    <w:rsid w:val="00B6620B"/>
    <w:rsid w:val="00B66584"/>
    <w:rsid w:val="00B67504"/>
    <w:rsid w:val="00B71270"/>
    <w:rsid w:val="00B725A4"/>
    <w:rsid w:val="00B72F78"/>
    <w:rsid w:val="00B73D4A"/>
    <w:rsid w:val="00B76217"/>
    <w:rsid w:val="00B76E4A"/>
    <w:rsid w:val="00B82528"/>
    <w:rsid w:val="00B825B4"/>
    <w:rsid w:val="00B82ACA"/>
    <w:rsid w:val="00B82D99"/>
    <w:rsid w:val="00B83808"/>
    <w:rsid w:val="00B8495C"/>
    <w:rsid w:val="00B85589"/>
    <w:rsid w:val="00B86612"/>
    <w:rsid w:val="00B86E61"/>
    <w:rsid w:val="00B91FB3"/>
    <w:rsid w:val="00B9248C"/>
    <w:rsid w:val="00B92B04"/>
    <w:rsid w:val="00B95100"/>
    <w:rsid w:val="00B96838"/>
    <w:rsid w:val="00BA0BA0"/>
    <w:rsid w:val="00BA2A04"/>
    <w:rsid w:val="00BA33BE"/>
    <w:rsid w:val="00BB024E"/>
    <w:rsid w:val="00BB2F82"/>
    <w:rsid w:val="00BB3BC7"/>
    <w:rsid w:val="00BB42E0"/>
    <w:rsid w:val="00BB4462"/>
    <w:rsid w:val="00BB46F2"/>
    <w:rsid w:val="00BB5564"/>
    <w:rsid w:val="00BB570C"/>
    <w:rsid w:val="00BC0557"/>
    <w:rsid w:val="00BC06A0"/>
    <w:rsid w:val="00BC1F6F"/>
    <w:rsid w:val="00BC5427"/>
    <w:rsid w:val="00BC6744"/>
    <w:rsid w:val="00BC6874"/>
    <w:rsid w:val="00BD19B2"/>
    <w:rsid w:val="00BD2B15"/>
    <w:rsid w:val="00BD3452"/>
    <w:rsid w:val="00BD413D"/>
    <w:rsid w:val="00BD5269"/>
    <w:rsid w:val="00BD601B"/>
    <w:rsid w:val="00BD6FA6"/>
    <w:rsid w:val="00BD76F3"/>
    <w:rsid w:val="00BD7BCB"/>
    <w:rsid w:val="00BE046B"/>
    <w:rsid w:val="00BE0EAB"/>
    <w:rsid w:val="00BE1167"/>
    <w:rsid w:val="00BE1E7E"/>
    <w:rsid w:val="00BE2611"/>
    <w:rsid w:val="00BE37AD"/>
    <w:rsid w:val="00BE464F"/>
    <w:rsid w:val="00BE53CA"/>
    <w:rsid w:val="00BE5EF7"/>
    <w:rsid w:val="00BE5F01"/>
    <w:rsid w:val="00BE624B"/>
    <w:rsid w:val="00BF0C27"/>
    <w:rsid w:val="00BF2398"/>
    <w:rsid w:val="00BF34E1"/>
    <w:rsid w:val="00BF3DE4"/>
    <w:rsid w:val="00BF4831"/>
    <w:rsid w:val="00BF5F9E"/>
    <w:rsid w:val="00BF6DB1"/>
    <w:rsid w:val="00C00FD7"/>
    <w:rsid w:val="00C01D58"/>
    <w:rsid w:val="00C04D6F"/>
    <w:rsid w:val="00C05681"/>
    <w:rsid w:val="00C06576"/>
    <w:rsid w:val="00C12C58"/>
    <w:rsid w:val="00C13010"/>
    <w:rsid w:val="00C1463E"/>
    <w:rsid w:val="00C14EC9"/>
    <w:rsid w:val="00C15602"/>
    <w:rsid w:val="00C17DEB"/>
    <w:rsid w:val="00C202F3"/>
    <w:rsid w:val="00C21EB8"/>
    <w:rsid w:val="00C23EB9"/>
    <w:rsid w:val="00C24F8F"/>
    <w:rsid w:val="00C2781E"/>
    <w:rsid w:val="00C279BC"/>
    <w:rsid w:val="00C33BE2"/>
    <w:rsid w:val="00C33C1C"/>
    <w:rsid w:val="00C3400A"/>
    <w:rsid w:val="00C358A0"/>
    <w:rsid w:val="00C37D1F"/>
    <w:rsid w:val="00C419D2"/>
    <w:rsid w:val="00C42017"/>
    <w:rsid w:val="00C42E53"/>
    <w:rsid w:val="00C44541"/>
    <w:rsid w:val="00C452FE"/>
    <w:rsid w:val="00C46AB2"/>
    <w:rsid w:val="00C47622"/>
    <w:rsid w:val="00C503AC"/>
    <w:rsid w:val="00C504AE"/>
    <w:rsid w:val="00C50906"/>
    <w:rsid w:val="00C50B2A"/>
    <w:rsid w:val="00C51545"/>
    <w:rsid w:val="00C53B8A"/>
    <w:rsid w:val="00C544DA"/>
    <w:rsid w:val="00C56040"/>
    <w:rsid w:val="00C5690B"/>
    <w:rsid w:val="00C56BE2"/>
    <w:rsid w:val="00C56D94"/>
    <w:rsid w:val="00C57D38"/>
    <w:rsid w:val="00C607C2"/>
    <w:rsid w:val="00C62150"/>
    <w:rsid w:val="00C62667"/>
    <w:rsid w:val="00C6605A"/>
    <w:rsid w:val="00C66ED1"/>
    <w:rsid w:val="00C7012D"/>
    <w:rsid w:val="00C7100B"/>
    <w:rsid w:val="00C7158F"/>
    <w:rsid w:val="00C73AE2"/>
    <w:rsid w:val="00C7485C"/>
    <w:rsid w:val="00C776C2"/>
    <w:rsid w:val="00C809F7"/>
    <w:rsid w:val="00C85A37"/>
    <w:rsid w:val="00C875E1"/>
    <w:rsid w:val="00C87EC8"/>
    <w:rsid w:val="00C954B4"/>
    <w:rsid w:val="00C97C52"/>
    <w:rsid w:val="00C97E09"/>
    <w:rsid w:val="00CA01E3"/>
    <w:rsid w:val="00CA02B0"/>
    <w:rsid w:val="00CA357E"/>
    <w:rsid w:val="00CA4FA0"/>
    <w:rsid w:val="00CA5479"/>
    <w:rsid w:val="00CA602F"/>
    <w:rsid w:val="00CA7468"/>
    <w:rsid w:val="00CA798A"/>
    <w:rsid w:val="00CA7B9F"/>
    <w:rsid w:val="00CA7DF3"/>
    <w:rsid w:val="00CB0310"/>
    <w:rsid w:val="00CB0A82"/>
    <w:rsid w:val="00CB237E"/>
    <w:rsid w:val="00CB4C4E"/>
    <w:rsid w:val="00CB524E"/>
    <w:rsid w:val="00CB6D9D"/>
    <w:rsid w:val="00CC2664"/>
    <w:rsid w:val="00CC3C93"/>
    <w:rsid w:val="00CC6E4C"/>
    <w:rsid w:val="00CC6FA7"/>
    <w:rsid w:val="00CC758C"/>
    <w:rsid w:val="00CD115A"/>
    <w:rsid w:val="00CD13D0"/>
    <w:rsid w:val="00CD193E"/>
    <w:rsid w:val="00CD20B3"/>
    <w:rsid w:val="00CD28AE"/>
    <w:rsid w:val="00CD3509"/>
    <w:rsid w:val="00CD4255"/>
    <w:rsid w:val="00CD4D13"/>
    <w:rsid w:val="00CD6DA4"/>
    <w:rsid w:val="00CE2660"/>
    <w:rsid w:val="00CE45D3"/>
    <w:rsid w:val="00CE685A"/>
    <w:rsid w:val="00CE7237"/>
    <w:rsid w:val="00CF0E40"/>
    <w:rsid w:val="00CF0E4C"/>
    <w:rsid w:val="00CF1D3D"/>
    <w:rsid w:val="00CF256A"/>
    <w:rsid w:val="00CF34E6"/>
    <w:rsid w:val="00CF3BE8"/>
    <w:rsid w:val="00CF3F9F"/>
    <w:rsid w:val="00CF41B3"/>
    <w:rsid w:val="00CF4D5E"/>
    <w:rsid w:val="00CF531B"/>
    <w:rsid w:val="00CF6355"/>
    <w:rsid w:val="00CF6794"/>
    <w:rsid w:val="00D014A9"/>
    <w:rsid w:val="00D02384"/>
    <w:rsid w:val="00D037C4"/>
    <w:rsid w:val="00D050DE"/>
    <w:rsid w:val="00D10712"/>
    <w:rsid w:val="00D125AE"/>
    <w:rsid w:val="00D1291A"/>
    <w:rsid w:val="00D13B36"/>
    <w:rsid w:val="00D13E39"/>
    <w:rsid w:val="00D144EF"/>
    <w:rsid w:val="00D145F5"/>
    <w:rsid w:val="00D146BC"/>
    <w:rsid w:val="00D16DDF"/>
    <w:rsid w:val="00D1739C"/>
    <w:rsid w:val="00D220E4"/>
    <w:rsid w:val="00D252C3"/>
    <w:rsid w:val="00D26098"/>
    <w:rsid w:val="00D26741"/>
    <w:rsid w:val="00D27641"/>
    <w:rsid w:val="00D311AB"/>
    <w:rsid w:val="00D343D8"/>
    <w:rsid w:val="00D366CC"/>
    <w:rsid w:val="00D36C1C"/>
    <w:rsid w:val="00D371D6"/>
    <w:rsid w:val="00D40691"/>
    <w:rsid w:val="00D409E6"/>
    <w:rsid w:val="00D413EF"/>
    <w:rsid w:val="00D42FFE"/>
    <w:rsid w:val="00D452B9"/>
    <w:rsid w:val="00D455D8"/>
    <w:rsid w:val="00D46100"/>
    <w:rsid w:val="00D529A1"/>
    <w:rsid w:val="00D53C11"/>
    <w:rsid w:val="00D558ED"/>
    <w:rsid w:val="00D61758"/>
    <w:rsid w:val="00D62248"/>
    <w:rsid w:val="00D63C39"/>
    <w:rsid w:val="00D6474B"/>
    <w:rsid w:val="00D663CB"/>
    <w:rsid w:val="00D664C2"/>
    <w:rsid w:val="00D66518"/>
    <w:rsid w:val="00D66638"/>
    <w:rsid w:val="00D70368"/>
    <w:rsid w:val="00D72636"/>
    <w:rsid w:val="00D738E3"/>
    <w:rsid w:val="00D74BA9"/>
    <w:rsid w:val="00D75E26"/>
    <w:rsid w:val="00D762F4"/>
    <w:rsid w:val="00D82955"/>
    <w:rsid w:val="00D8307C"/>
    <w:rsid w:val="00D83641"/>
    <w:rsid w:val="00D844A1"/>
    <w:rsid w:val="00D86B70"/>
    <w:rsid w:val="00D87032"/>
    <w:rsid w:val="00D905C2"/>
    <w:rsid w:val="00D9356E"/>
    <w:rsid w:val="00D937D4"/>
    <w:rsid w:val="00D9680F"/>
    <w:rsid w:val="00D96965"/>
    <w:rsid w:val="00D97E89"/>
    <w:rsid w:val="00DA060C"/>
    <w:rsid w:val="00DA1160"/>
    <w:rsid w:val="00DA2E9A"/>
    <w:rsid w:val="00DA56A0"/>
    <w:rsid w:val="00DB092E"/>
    <w:rsid w:val="00DB1168"/>
    <w:rsid w:val="00DB324F"/>
    <w:rsid w:val="00DB4EE7"/>
    <w:rsid w:val="00DB5FAB"/>
    <w:rsid w:val="00DB7149"/>
    <w:rsid w:val="00DB7F6F"/>
    <w:rsid w:val="00DC0701"/>
    <w:rsid w:val="00DC09F2"/>
    <w:rsid w:val="00DC14D4"/>
    <w:rsid w:val="00DC1F74"/>
    <w:rsid w:val="00DC29CF"/>
    <w:rsid w:val="00DC5E5E"/>
    <w:rsid w:val="00DC63F4"/>
    <w:rsid w:val="00DD0036"/>
    <w:rsid w:val="00DD0063"/>
    <w:rsid w:val="00DD2117"/>
    <w:rsid w:val="00DD33A6"/>
    <w:rsid w:val="00DD41BC"/>
    <w:rsid w:val="00DD4AAF"/>
    <w:rsid w:val="00DD547F"/>
    <w:rsid w:val="00DE006A"/>
    <w:rsid w:val="00DE482E"/>
    <w:rsid w:val="00DE4BA0"/>
    <w:rsid w:val="00DE5899"/>
    <w:rsid w:val="00DE5900"/>
    <w:rsid w:val="00DE65AE"/>
    <w:rsid w:val="00DF0D8A"/>
    <w:rsid w:val="00DF1349"/>
    <w:rsid w:val="00DF2B75"/>
    <w:rsid w:val="00DF2D40"/>
    <w:rsid w:val="00DF327A"/>
    <w:rsid w:val="00DF3EF4"/>
    <w:rsid w:val="00DF456A"/>
    <w:rsid w:val="00DF4BA2"/>
    <w:rsid w:val="00DF6006"/>
    <w:rsid w:val="00DF6524"/>
    <w:rsid w:val="00DF70B2"/>
    <w:rsid w:val="00DF7630"/>
    <w:rsid w:val="00E029F3"/>
    <w:rsid w:val="00E02DC4"/>
    <w:rsid w:val="00E03E1B"/>
    <w:rsid w:val="00E05F73"/>
    <w:rsid w:val="00E07364"/>
    <w:rsid w:val="00E1026E"/>
    <w:rsid w:val="00E120E8"/>
    <w:rsid w:val="00E14CA4"/>
    <w:rsid w:val="00E14FEC"/>
    <w:rsid w:val="00E158E3"/>
    <w:rsid w:val="00E15C73"/>
    <w:rsid w:val="00E15F03"/>
    <w:rsid w:val="00E16AA1"/>
    <w:rsid w:val="00E17478"/>
    <w:rsid w:val="00E17B67"/>
    <w:rsid w:val="00E235A9"/>
    <w:rsid w:val="00E2477D"/>
    <w:rsid w:val="00E30A18"/>
    <w:rsid w:val="00E33521"/>
    <w:rsid w:val="00E3464C"/>
    <w:rsid w:val="00E35CAE"/>
    <w:rsid w:val="00E360DE"/>
    <w:rsid w:val="00E3741D"/>
    <w:rsid w:val="00E37AC9"/>
    <w:rsid w:val="00E40CAB"/>
    <w:rsid w:val="00E42CA1"/>
    <w:rsid w:val="00E433D2"/>
    <w:rsid w:val="00E44151"/>
    <w:rsid w:val="00E51726"/>
    <w:rsid w:val="00E53D36"/>
    <w:rsid w:val="00E556D7"/>
    <w:rsid w:val="00E55E00"/>
    <w:rsid w:val="00E56053"/>
    <w:rsid w:val="00E56DB0"/>
    <w:rsid w:val="00E57B28"/>
    <w:rsid w:val="00E602C3"/>
    <w:rsid w:val="00E6150A"/>
    <w:rsid w:val="00E63440"/>
    <w:rsid w:val="00E647C1"/>
    <w:rsid w:val="00E65E25"/>
    <w:rsid w:val="00E66DCB"/>
    <w:rsid w:val="00E721D2"/>
    <w:rsid w:val="00E7325C"/>
    <w:rsid w:val="00E7400C"/>
    <w:rsid w:val="00E742F5"/>
    <w:rsid w:val="00E74833"/>
    <w:rsid w:val="00E75B62"/>
    <w:rsid w:val="00E77B47"/>
    <w:rsid w:val="00E800F3"/>
    <w:rsid w:val="00E801E6"/>
    <w:rsid w:val="00E80505"/>
    <w:rsid w:val="00E83461"/>
    <w:rsid w:val="00E83633"/>
    <w:rsid w:val="00E83B09"/>
    <w:rsid w:val="00E84425"/>
    <w:rsid w:val="00E8623F"/>
    <w:rsid w:val="00E862C8"/>
    <w:rsid w:val="00E87CA5"/>
    <w:rsid w:val="00E87F78"/>
    <w:rsid w:val="00E90E3C"/>
    <w:rsid w:val="00E925FF"/>
    <w:rsid w:val="00E954A2"/>
    <w:rsid w:val="00E9587D"/>
    <w:rsid w:val="00E960C1"/>
    <w:rsid w:val="00E96CEF"/>
    <w:rsid w:val="00EA0A2B"/>
    <w:rsid w:val="00EA3D64"/>
    <w:rsid w:val="00EA508B"/>
    <w:rsid w:val="00EB259F"/>
    <w:rsid w:val="00EB2992"/>
    <w:rsid w:val="00EB422B"/>
    <w:rsid w:val="00EB48F1"/>
    <w:rsid w:val="00EB4BB1"/>
    <w:rsid w:val="00EB4D17"/>
    <w:rsid w:val="00EB6182"/>
    <w:rsid w:val="00EC0296"/>
    <w:rsid w:val="00EC0B31"/>
    <w:rsid w:val="00EC127B"/>
    <w:rsid w:val="00EC230A"/>
    <w:rsid w:val="00EC27E9"/>
    <w:rsid w:val="00EC29D8"/>
    <w:rsid w:val="00EC2D4B"/>
    <w:rsid w:val="00EC334D"/>
    <w:rsid w:val="00EC3DC2"/>
    <w:rsid w:val="00EC47F6"/>
    <w:rsid w:val="00EC50E7"/>
    <w:rsid w:val="00EC5941"/>
    <w:rsid w:val="00EC5C26"/>
    <w:rsid w:val="00EC6130"/>
    <w:rsid w:val="00EC62AF"/>
    <w:rsid w:val="00EC7EA1"/>
    <w:rsid w:val="00EC7FD9"/>
    <w:rsid w:val="00ED0CB6"/>
    <w:rsid w:val="00ED2992"/>
    <w:rsid w:val="00ED2B5D"/>
    <w:rsid w:val="00ED479D"/>
    <w:rsid w:val="00ED6706"/>
    <w:rsid w:val="00ED6F26"/>
    <w:rsid w:val="00ED73F5"/>
    <w:rsid w:val="00EE054F"/>
    <w:rsid w:val="00EE1D00"/>
    <w:rsid w:val="00EE2218"/>
    <w:rsid w:val="00EE2495"/>
    <w:rsid w:val="00EE445F"/>
    <w:rsid w:val="00EE4F68"/>
    <w:rsid w:val="00EE72BF"/>
    <w:rsid w:val="00EF07A5"/>
    <w:rsid w:val="00EF3152"/>
    <w:rsid w:val="00EF36A3"/>
    <w:rsid w:val="00EF557D"/>
    <w:rsid w:val="00EF77C5"/>
    <w:rsid w:val="00F02975"/>
    <w:rsid w:val="00F03520"/>
    <w:rsid w:val="00F04FA4"/>
    <w:rsid w:val="00F077B2"/>
    <w:rsid w:val="00F11CC4"/>
    <w:rsid w:val="00F12D11"/>
    <w:rsid w:val="00F138A7"/>
    <w:rsid w:val="00F15D9E"/>
    <w:rsid w:val="00F16389"/>
    <w:rsid w:val="00F1707E"/>
    <w:rsid w:val="00F22E7F"/>
    <w:rsid w:val="00F23F54"/>
    <w:rsid w:val="00F24F5F"/>
    <w:rsid w:val="00F254A3"/>
    <w:rsid w:val="00F25942"/>
    <w:rsid w:val="00F27039"/>
    <w:rsid w:val="00F270BF"/>
    <w:rsid w:val="00F27838"/>
    <w:rsid w:val="00F30183"/>
    <w:rsid w:val="00F30476"/>
    <w:rsid w:val="00F305F6"/>
    <w:rsid w:val="00F308BF"/>
    <w:rsid w:val="00F312EC"/>
    <w:rsid w:val="00F339AD"/>
    <w:rsid w:val="00F33B87"/>
    <w:rsid w:val="00F34287"/>
    <w:rsid w:val="00F34E55"/>
    <w:rsid w:val="00F359B5"/>
    <w:rsid w:val="00F35F8E"/>
    <w:rsid w:val="00F36FC9"/>
    <w:rsid w:val="00F401A8"/>
    <w:rsid w:val="00F42AB2"/>
    <w:rsid w:val="00F42EC0"/>
    <w:rsid w:val="00F45B9C"/>
    <w:rsid w:val="00F45E3C"/>
    <w:rsid w:val="00F50AFB"/>
    <w:rsid w:val="00F51984"/>
    <w:rsid w:val="00F51BAD"/>
    <w:rsid w:val="00F5525A"/>
    <w:rsid w:val="00F553C7"/>
    <w:rsid w:val="00F563EA"/>
    <w:rsid w:val="00F56ECA"/>
    <w:rsid w:val="00F5745A"/>
    <w:rsid w:val="00F57E8C"/>
    <w:rsid w:val="00F60580"/>
    <w:rsid w:val="00F607CB"/>
    <w:rsid w:val="00F60845"/>
    <w:rsid w:val="00F63899"/>
    <w:rsid w:val="00F66539"/>
    <w:rsid w:val="00F671A8"/>
    <w:rsid w:val="00F67BE5"/>
    <w:rsid w:val="00F70101"/>
    <w:rsid w:val="00F71906"/>
    <w:rsid w:val="00F73D11"/>
    <w:rsid w:val="00F756D0"/>
    <w:rsid w:val="00F75DD7"/>
    <w:rsid w:val="00F80393"/>
    <w:rsid w:val="00F80CE2"/>
    <w:rsid w:val="00F816D7"/>
    <w:rsid w:val="00F81C99"/>
    <w:rsid w:val="00F824F4"/>
    <w:rsid w:val="00F82801"/>
    <w:rsid w:val="00F828F5"/>
    <w:rsid w:val="00F85E74"/>
    <w:rsid w:val="00F8641A"/>
    <w:rsid w:val="00F8643C"/>
    <w:rsid w:val="00F87FCC"/>
    <w:rsid w:val="00F903D1"/>
    <w:rsid w:val="00F90A03"/>
    <w:rsid w:val="00F90D66"/>
    <w:rsid w:val="00F9207A"/>
    <w:rsid w:val="00F93D17"/>
    <w:rsid w:val="00F93D44"/>
    <w:rsid w:val="00F95763"/>
    <w:rsid w:val="00F95B5D"/>
    <w:rsid w:val="00F968CA"/>
    <w:rsid w:val="00F96E6A"/>
    <w:rsid w:val="00FA0AF0"/>
    <w:rsid w:val="00FA0E64"/>
    <w:rsid w:val="00FA6E0E"/>
    <w:rsid w:val="00FA79BA"/>
    <w:rsid w:val="00FB166C"/>
    <w:rsid w:val="00FB2053"/>
    <w:rsid w:val="00FB50B2"/>
    <w:rsid w:val="00FB523B"/>
    <w:rsid w:val="00FB6FA7"/>
    <w:rsid w:val="00FB70D6"/>
    <w:rsid w:val="00FB7196"/>
    <w:rsid w:val="00FC2EC6"/>
    <w:rsid w:val="00FC3954"/>
    <w:rsid w:val="00FC4CD6"/>
    <w:rsid w:val="00FC531A"/>
    <w:rsid w:val="00FC531D"/>
    <w:rsid w:val="00FC53DC"/>
    <w:rsid w:val="00FC55B7"/>
    <w:rsid w:val="00FC5FD6"/>
    <w:rsid w:val="00FC723A"/>
    <w:rsid w:val="00FD110D"/>
    <w:rsid w:val="00FD14EB"/>
    <w:rsid w:val="00FD178B"/>
    <w:rsid w:val="00FD218C"/>
    <w:rsid w:val="00FD3745"/>
    <w:rsid w:val="00FD6AA4"/>
    <w:rsid w:val="00FE4904"/>
    <w:rsid w:val="00FF171D"/>
    <w:rsid w:val="00FF64DB"/>
    <w:rsid w:val="00FF766B"/>
    <w:rsid w:val="00FF7D8A"/>
    <w:rsid w:val="0161114A"/>
    <w:rsid w:val="017166AE"/>
    <w:rsid w:val="02BE311C"/>
    <w:rsid w:val="03472A7A"/>
    <w:rsid w:val="035C5764"/>
    <w:rsid w:val="036F2BA2"/>
    <w:rsid w:val="047F69C5"/>
    <w:rsid w:val="05260342"/>
    <w:rsid w:val="05A17ECD"/>
    <w:rsid w:val="05C110C6"/>
    <w:rsid w:val="05E36828"/>
    <w:rsid w:val="067D7AA2"/>
    <w:rsid w:val="06F776F1"/>
    <w:rsid w:val="074161BD"/>
    <w:rsid w:val="07B038BE"/>
    <w:rsid w:val="0819429F"/>
    <w:rsid w:val="090F43EE"/>
    <w:rsid w:val="09963BDE"/>
    <w:rsid w:val="09D6785C"/>
    <w:rsid w:val="0A091AC8"/>
    <w:rsid w:val="0AE92AEA"/>
    <w:rsid w:val="0BA46FE5"/>
    <w:rsid w:val="0C5000DA"/>
    <w:rsid w:val="0C991E7C"/>
    <w:rsid w:val="0D2C0B8D"/>
    <w:rsid w:val="0DD109FF"/>
    <w:rsid w:val="0E99481F"/>
    <w:rsid w:val="0FB27A9C"/>
    <w:rsid w:val="0FC81EC0"/>
    <w:rsid w:val="10270E03"/>
    <w:rsid w:val="108E4D8F"/>
    <w:rsid w:val="113D73E7"/>
    <w:rsid w:val="11424E6D"/>
    <w:rsid w:val="118810B3"/>
    <w:rsid w:val="12AB2E07"/>
    <w:rsid w:val="13FC4606"/>
    <w:rsid w:val="1402639A"/>
    <w:rsid w:val="146C50B8"/>
    <w:rsid w:val="14FF0D57"/>
    <w:rsid w:val="14FF0EF8"/>
    <w:rsid w:val="15A64713"/>
    <w:rsid w:val="15AA4F8C"/>
    <w:rsid w:val="162B2F6B"/>
    <w:rsid w:val="169C6984"/>
    <w:rsid w:val="16B818A0"/>
    <w:rsid w:val="16F778E7"/>
    <w:rsid w:val="173C04AE"/>
    <w:rsid w:val="17452918"/>
    <w:rsid w:val="17AB476E"/>
    <w:rsid w:val="18170679"/>
    <w:rsid w:val="181A16D9"/>
    <w:rsid w:val="186F74A0"/>
    <w:rsid w:val="18962D68"/>
    <w:rsid w:val="189A7A78"/>
    <w:rsid w:val="18AD3E25"/>
    <w:rsid w:val="18EE31ED"/>
    <w:rsid w:val="19446930"/>
    <w:rsid w:val="19446E2E"/>
    <w:rsid w:val="198321B8"/>
    <w:rsid w:val="19A7171C"/>
    <w:rsid w:val="1A0A5656"/>
    <w:rsid w:val="1A9E025C"/>
    <w:rsid w:val="1BE75179"/>
    <w:rsid w:val="1BE86DA1"/>
    <w:rsid w:val="1C97466F"/>
    <w:rsid w:val="1CA01400"/>
    <w:rsid w:val="1D6C5079"/>
    <w:rsid w:val="1D8764F8"/>
    <w:rsid w:val="1E013B91"/>
    <w:rsid w:val="1E3E2600"/>
    <w:rsid w:val="1EA74C14"/>
    <w:rsid w:val="1EDF5816"/>
    <w:rsid w:val="1F0D7627"/>
    <w:rsid w:val="1F2014D4"/>
    <w:rsid w:val="1F26699C"/>
    <w:rsid w:val="1FD944E4"/>
    <w:rsid w:val="1FF534E6"/>
    <w:rsid w:val="20040D23"/>
    <w:rsid w:val="20B66498"/>
    <w:rsid w:val="21374952"/>
    <w:rsid w:val="21AA5D26"/>
    <w:rsid w:val="21AB4E57"/>
    <w:rsid w:val="21D06A72"/>
    <w:rsid w:val="21D41936"/>
    <w:rsid w:val="21E23ED8"/>
    <w:rsid w:val="220E37A9"/>
    <w:rsid w:val="221207C2"/>
    <w:rsid w:val="22DB78F5"/>
    <w:rsid w:val="23516325"/>
    <w:rsid w:val="23CB2CA4"/>
    <w:rsid w:val="243C3C5B"/>
    <w:rsid w:val="246623A1"/>
    <w:rsid w:val="24997AEA"/>
    <w:rsid w:val="24CE4D35"/>
    <w:rsid w:val="24ED5098"/>
    <w:rsid w:val="251C352A"/>
    <w:rsid w:val="255611F9"/>
    <w:rsid w:val="255F3A5A"/>
    <w:rsid w:val="26580019"/>
    <w:rsid w:val="26A859B6"/>
    <w:rsid w:val="272141D1"/>
    <w:rsid w:val="277F3A90"/>
    <w:rsid w:val="27BD5A70"/>
    <w:rsid w:val="27D113A1"/>
    <w:rsid w:val="27E002CE"/>
    <w:rsid w:val="27F43E7E"/>
    <w:rsid w:val="289621F9"/>
    <w:rsid w:val="28BD69C7"/>
    <w:rsid w:val="291B095B"/>
    <w:rsid w:val="2980164F"/>
    <w:rsid w:val="29802F2C"/>
    <w:rsid w:val="29FE0F07"/>
    <w:rsid w:val="2A3B236E"/>
    <w:rsid w:val="2A3F2CCA"/>
    <w:rsid w:val="2AAC22D1"/>
    <w:rsid w:val="2ADA7A92"/>
    <w:rsid w:val="2B614FCD"/>
    <w:rsid w:val="2B8E61E2"/>
    <w:rsid w:val="2C4142AD"/>
    <w:rsid w:val="2D1D2D9B"/>
    <w:rsid w:val="2D1E071B"/>
    <w:rsid w:val="2D4A1E0D"/>
    <w:rsid w:val="2DE07322"/>
    <w:rsid w:val="2DE90B1B"/>
    <w:rsid w:val="2E5811B3"/>
    <w:rsid w:val="2EB836EE"/>
    <w:rsid w:val="2ED67E96"/>
    <w:rsid w:val="2EF23CD6"/>
    <w:rsid w:val="2F062E62"/>
    <w:rsid w:val="2F0D49DC"/>
    <w:rsid w:val="2F125D6F"/>
    <w:rsid w:val="2FDB271E"/>
    <w:rsid w:val="307D4419"/>
    <w:rsid w:val="30AB54C1"/>
    <w:rsid w:val="311B6127"/>
    <w:rsid w:val="31790ECC"/>
    <w:rsid w:val="32D16EAA"/>
    <w:rsid w:val="32DD47F3"/>
    <w:rsid w:val="33021AE5"/>
    <w:rsid w:val="33BB3A1D"/>
    <w:rsid w:val="34586192"/>
    <w:rsid w:val="348971F4"/>
    <w:rsid w:val="35AC648F"/>
    <w:rsid w:val="35D52339"/>
    <w:rsid w:val="35E25C99"/>
    <w:rsid w:val="35F46A37"/>
    <w:rsid w:val="3647248C"/>
    <w:rsid w:val="36F86C8C"/>
    <w:rsid w:val="37016490"/>
    <w:rsid w:val="37435B0A"/>
    <w:rsid w:val="378B0305"/>
    <w:rsid w:val="3800795E"/>
    <w:rsid w:val="3908016D"/>
    <w:rsid w:val="395664F6"/>
    <w:rsid w:val="3A1D4E97"/>
    <w:rsid w:val="3BB84EB1"/>
    <w:rsid w:val="3CA37266"/>
    <w:rsid w:val="3CEC2CCE"/>
    <w:rsid w:val="3DC20B98"/>
    <w:rsid w:val="3E391907"/>
    <w:rsid w:val="3E692651"/>
    <w:rsid w:val="3E8B558D"/>
    <w:rsid w:val="3EB152A9"/>
    <w:rsid w:val="3F310CDF"/>
    <w:rsid w:val="3FC057F2"/>
    <w:rsid w:val="406C2EF9"/>
    <w:rsid w:val="407D1FD6"/>
    <w:rsid w:val="40CD5ABE"/>
    <w:rsid w:val="40FC0656"/>
    <w:rsid w:val="41497056"/>
    <w:rsid w:val="41BC2410"/>
    <w:rsid w:val="41EA6963"/>
    <w:rsid w:val="42312C76"/>
    <w:rsid w:val="42B8752D"/>
    <w:rsid w:val="42D2271A"/>
    <w:rsid w:val="433B5E34"/>
    <w:rsid w:val="43750D4A"/>
    <w:rsid w:val="443671E1"/>
    <w:rsid w:val="444A3643"/>
    <w:rsid w:val="44626ACF"/>
    <w:rsid w:val="44AD1498"/>
    <w:rsid w:val="44F03FC3"/>
    <w:rsid w:val="44FB7E33"/>
    <w:rsid w:val="4508235C"/>
    <w:rsid w:val="45F002A2"/>
    <w:rsid w:val="460A7EAD"/>
    <w:rsid w:val="4667663A"/>
    <w:rsid w:val="466B1D6D"/>
    <w:rsid w:val="46A87566"/>
    <w:rsid w:val="476F4626"/>
    <w:rsid w:val="47F64CF1"/>
    <w:rsid w:val="48200FCD"/>
    <w:rsid w:val="48423ED5"/>
    <w:rsid w:val="487A3128"/>
    <w:rsid w:val="48891619"/>
    <w:rsid w:val="48A44DA9"/>
    <w:rsid w:val="49A06737"/>
    <w:rsid w:val="49B77356"/>
    <w:rsid w:val="4A515DF0"/>
    <w:rsid w:val="4A544660"/>
    <w:rsid w:val="4A6275E2"/>
    <w:rsid w:val="4AC37CBE"/>
    <w:rsid w:val="4AD5065F"/>
    <w:rsid w:val="4AF14603"/>
    <w:rsid w:val="4B06362A"/>
    <w:rsid w:val="4B9746BC"/>
    <w:rsid w:val="4BD5024B"/>
    <w:rsid w:val="4C1B08AC"/>
    <w:rsid w:val="4C30059B"/>
    <w:rsid w:val="4C424621"/>
    <w:rsid w:val="4C4443E1"/>
    <w:rsid w:val="4C64404D"/>
    <w:rsid w:val="4C973583"/>
    <w:rsid w:val="4CD52DB7"/>
    <w:rsid w:val="4D282CAC"/>
    <w:rsid w:val="4D357A66"/>
    <w:rsid w:val="4E261366"/>
    <w:rsid w:val="4E6E750B"/>
    <w:rsid w:val="4E8C2B54"/>
    <w:rsid w:val="4FB14393"/>
    <w:rsid w:val="4FF301F5"/>
    <w:rsid w:val="50342257"/>
    <w:rsid w:val="50652C71"/>
    <w:rsid w:val="50AE41EA"/>
    <w:rsid w:val="511E023E"/>
    <w:rsid w:val="51E219EB"/>
    <w:rsid w:val="51FA7AB5"/>
    <w:rsid w:val="52440C84"/>
    <w:rsid w:val="52940AB2"/>
    <w:rsid w:val="52A6609D"/>
    <w:rsid w:val="52F93CBF"/>
    <w:rsid w:val="533770CA"/>
    <w:rsid w:val="53AA55BA"/>
    <w:rsid w:val="54155CE2"/>
    <w:rsid w:val="54D901EC"/>
    <w:rsid w:val="552807FB"/>
    <w:rsid w:val="55D111DE"/>
    <w:rsid w:val="55E702B4"/>
    <w:rsid w:val="56226234"/>
    <w:rsid w:val="56D0089A"/>
    <w:rsid w:val="56E87032"/>
    <w:rsid w:val="573512F7"/>
    <w:rsid w:val="576F4822"/>
    <w:rsid w:val="57DD7540"/>
    <w:rsid w:val="586D5265"/>
    <w:rsid w:val="588A6FED"/>
    <w:rsid w:val="58AD2161"/>
    <w:rsid w:val="59261B5F"/>
    <w:rsid w:val="597C68A3"/>
    <w:rsid w:val="59822758"/>
    <w:rsid w:val="5B123CA6"/>
    <w:rsid w:val="5B805A7F"/>
    <w:rsid w:val="5C202253"/>
    <w:rsid w:val="5C55485D"/>
    <w:rsid w:val="5C613EAD"/>
    <w:rsid w:val="5C6D299F"/>
    <w:rsid w:val="5CA24C21"/>
    <w:rsid w:val="5E03561B"/>
    <w:rsid w:val="5E0F691F"/>
    <w:rsid w:val="5E445ADD"/>
    <w:rsid w:val="5E51732D"/>
    <w:rsid w:val="5E7017F9"/>
    <w:rsid w:val="5E9205D0"/>
    <w:rsid w:val="5F3C4C37"/>
    <w:rsid w:val="5F7B5E79"/>
    <w:rsid w:val="5F8713E6"/>
    <w:rsid w:val="5FE67FE5"/>
    <w:rsid w:val="60171678"/>
    <w:rsid w:val="60F44FD5"/>
    <w:rsid w:val="61620A2D"/>
    <w:rsid w:val="617648CF"/>
    <w:rsid w:val="61B01D54"/>
    <w:rsid w:val="61DA7FB4"/>
    <w:rsid w:val="621E3591"/>
    <w:rsid w:val="632F1589"/>
    <w:rsid w:val="63E10628"/>
    <w:rsid w:val="641A09E5"/>
    <w:rsid w:val="6476550A"/>
    <w:rsid w:val="64C708FC"/>
    <w:rsid w:val="64D614B0"/>
    <w:rsid w:val="652C3E81"/>
    <w:rsid w:val="65916717"/>
    <w:rsid w:val="65CA44B1"/>
    <w:rsid w:val="660C7C6B"/>
    <w:rsid w:val="66E85E72"/>
    <w:rsid w:val="673D380F"/>
    <w:rsid w:val="67AF0AFD"/>
    <w:rsid w:val="67E943FC"/>
    <w:rsid w:val="67FE12F8"/>
    <w:rsid w:val="68181A06"/>
    <w:rsid w:val="68643629"/>
    <w:rsid w:val="68B53E01"/>
    <w:rsid w:val="68D31624"/>
    <w:rsid w:val="68F25D9E"/>
    <w:rsid w:val="69E7746D"/>
    <w:rsid w:val="69ED47E6"/>
    <w:rsid w:val="6A075B38"/>
    <w:rsid w:val="6A4F115D"/>
    <w:rsid w:val="6A736866"/>
    <w:rsid w:val="6AC311D7"/>
    <w:rsid w:val="6BAF40D3"/>
    <w:rsid w:val="6BD113BF"/>
    <w:rsid w:val="6C666D34"/>
    <w:rsid w:val="6D2E55F8"/>
    <w:rsid w:val="6D6C70F4"/>
    <w:rsid w:val="6D71280C"/>
    <w:rsid w:val="6E0578DF"/>
    <w:rsid w:val="6E6E4E0D"/>
    <w:rsid w:val="6E736CAB"/>
    <w:rsid w:val="6E8C6205"/>
    <w:rsid w:val="6F38654A"/>
    <w:rsid w:val="6F386D91"/>
    <w:rsid w:val="700460D8"/>
    <w:rsid w:val="704468F2"/>
    <w:rsid w:val="70FC3664"/>
    <w:rsid w:val="71831381"/>
    <w:rsid w:val="73122C2D"/>
    <w:rsid w:val="734B5E42"/>
    <w:rsid w:val="734C54D3"/>
    <w:rsid w:val="74344677"/>
    <w:rsid w:val="74AC712E"/>
    <w:rsid w:val="75A76E94"/>
    <w:rsid w:val="75B321C5"/>
    <w:rsid w:val="75D4558E"/>
    <w:rsid w:val="75F609C7"/>
    <w:rsid w:val="76262A0A"/>
    <w:rsid w:val="76824B2A"/>
    <w:rsid w:val="77A2541F"/>
    <w:rsid w:val="77A63D0A"/>
    <w:rsid w:val="77EE29EA"/>
    <w:rsid w:val="78967842"/>
    <w:rsid w:val="78AC1955"/>
    <w:rsid w:val="790F3607"/>
    <w:rsid w:val="79274128"/>
    <w:rsid w:val="79ED1D04"/>
    <w:rsid w:val="7AE843CC"/>
    <w:rsid w:val="7BA8292B"/>
    <w:rsid w:val="7BE27D8F"/>
    <w:rsid w:val="7C4B31A7"/>
    <w:rsid w:val="7D3F440A"/>
    <w:rsid w:val="7D745A54"/>
    <w:rsid w:val="7DBC249E"/>
    <w:rsid w:val="7E7658FA"/>
    <w:rsid w:val="7F2B6D17"/>
    <w:rsid w:val="7F9909F3"/>
    <w:rsid w:val="7FF54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8"/>
    <w:qFormat/>
    <w:uiPriority w:val="9"/>
    <w:pPr>
      <w:keepNext/>
      <w:keepLines/>
      <w:spacing w:before="340" w:after="330" w:line="578" w:lineRule="auto"/>
      <w:outlineLvl w:val="0"/>
    </w:pPr>
    <w:rPr>
      <w:rFonts w:ascii="Calibri" w:hAnsi="Calibri"/>
      <w:b/>
      <w:bCs/>
      <w:kern w:val="44"/>
      <w:sz w:val="44"/>
      <w:szCs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7">
    <w:name w:val="annotation text"/>
    <w:basedOn w:val="1"/>
    <w:link w:val="45"/>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qFormat/>
    <w:uiPriority w:val="0"/>
    <w:rPr>
      <w:rFonts w:ascii="仿宋_GB2312" w:eastAsia="仿宋_GB2312"/>
      <w:sz w:val="32"/>
    </w:rPr>
  </w:style>
  <w:style w:type="paragraph" w:styleId="10">
    <w:name w:val="Plain Text"/>
    <w:basedOn w:val="1"/>
    <w:link w:val="39"/>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1"/>
      <w:lang w:val="en-US" w:eastAsia="zh-CN" w:bidi="ar"/>
    </w:rPr>
  </w:style>
  <w:style w:type="paragraph" w:styleId="11">
    <w:name w:val="Balloon Text"/>
    <w:basedOn w:val="1"/>
    <w:link w:val="36"/>
    <w:qFormat/>
    <w:uiPriority w:val="0"/>
    <w:rPr>
      <w:sz w:val="18"/>
      <w:szCs w:val="18"/>
    </w:rPr>
  </w:style>
  <w:style w:type="paragraph" w:styleId="12">
    <w:name w:val="footer"/>
    <w:basedOn w:val="1"/>
    <w:link w:val="38"/>
    <w:qFormat/>
    <w:uiPriority w:val="99"/>
    <w:pPr>
      <w:tabs>
        <w:tab w:val="center" w:pos="4153"/>
        <w:tab w:val="right" w:pos="8306"/>
      </w:tabs>
      <w:snapToGrid w:val="0"/>
      <w:jc w:val="left"/>
    </w:pPr>
    <w:rPr>
      <w:sz w:val="18"/>
      <w:szCs w:val="18"/>
    </w:rPr>
  </w:style>
  <w:style w:type="paragraph" w:styleId="13">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spacing w:line="360" w:lineRule="auto"/>
      <w:jc w:val="left"/>
    </w:pPr>
    <w:rPr>
      <w:rFonts w:ascii="宋体" w:hAnsi="宋体"/>
      <w:b/>
      <w:caps/>
      <w:color w:val="FF0000"/>
      <w:szCs w:val="21"/>
    </w:rPr>
  </w:style>
  <w:style w:type="paragraph" w:styleId="15">
    <w:name w:val="List"/>
    <w:basedOn w:val="1"/>
    <w:qFormat/>
    <w:uiPriority w:val="0"/>
    <w:pPr>
      <w:ind w:left="200" w:hanging="200" w:hangingChars="200"/>
    </w:pPr>
    <w:rPr>
      <w:rFonts w:ascii="Calibri" w:hAnsi="Calibri"/>
      <w:szCs w:val="21"/>
    </w:rPr>
  </w:style>
  <w:style w:type="paragraph" w:styleId="16">
    <w:name w:val="toc 2"/>
    <w:basedOn w:val="1"/>
    <w:next w:val="1"/>
    <w:unhideWhenUsed/>
    <w:qFormat/>
    <w:uiPriority w:val="0"/>
    <w:pPr>
      <w:ind w:left="420" w:leftChars="200"/>
    </w:p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Title"/>
    <w:basedOn w:val="1"/>
    <w:next w:val="1"/>
    <w:qFormat/>
    <w:uiPriority w:val="0"/>
    <w:pPr>
      <w:spacing w:before="240" w:after="60"/>
      <w:jc w:val="center"/>
      <w:outlineLvl w:val="0"/>
    </w:pPr>
    <w:rPr>
      <w:rFonts w:ascii="等线 Light" w:hAnsi="等线 Light"/>
      <w:b/>
      <w:bCs/>
      <w:sz w:val="32"/>
      <w:szCs w:val="32"/>
    </w:rPr>
  </w:style>
  <w:style w:type="paragraph" w:styleId="19">
    <w:name w:val="annotation subject"/>
    <w:basedOn w:val="7"/>
    <w:next w:val="7"/>
    <w:link w:val="42"/>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rPr>
  </w:style>
  <w:style w:type="character" w:styleId="24">
    <w:name w:val="page number"/>
    <w:basedOn w:val="22"/>
    <w:qFormat/>
    <w:uiPriority w:val="0"/>
  </w:style>
  <w:style w:type="character" w:styleId="25">
    <w:name w:val="FollowedHyperlink"/>
    <w:qFormat/>
    <w:uiPriority w:val="0"/>
    <w:rPr>
      <w:color w:val="800080"/>
      <w:u w:val="single"/>
    </w:rPr>
  </w:style>
  <w:style w:type="character" w:styleId="26">
    <w:name w:val="Hyperlink"/>
    <w:semiHidden/>
    <w:qFormat/>
    <w:uiPriority w:val="0"/>
    <w:rPr>
      <w:rFonts w:cs="Times New Roman"/>
      <w:color w:val="1F4F88"/>
      <w:u w:val="none"/>
    </w:rPr>
  </w:style>
  <w:style w:type="character" w:styleId="27">
    <w:name w:val="annotation reference"/>
    <w:qFormat/>
    <w:uiPriority w:val="0"/>
    <w:rPr>
      <w:sz w:val="21"/>
      <w:szCs w:val="21"/>
    </w:rPr>
  </w:style>
  <w:style w:type="character" w:customStyle="1" w:styleId="28">
    <w:name w:val="标题 1 字符"/>
    <w:basedOn w:val="22"/>
    <w:link w:val="4"/>
    <w:qFormat/>
    <w:uiPriority w:val="9"/>
    <w:rPr>
      <w:rFonts w:ascii="Calibri" w:hAnsi="Calibri"/>
      <w:b/>
      <w:bCs/>
      <w:kern w:val="44"/>
      <w:sz w:val="44"/>
      <w:szCs w:val="44"/>
    </w:rPr>
  </w:style>
  <w:style w:type="paragraph" w:customStyle="1" w:styleId="29">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30">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3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2">
    <w:name w:val="二级列表 Char"/>
    <w:basedOn w:val="1"/>
    <w:qFormat/>
    <w:uiPriority w:val="0"/>
    <w:rPr>
      <w:rFonts w:ascii="Calibri" w:hAnsi="Calibri"/>
    </w:rPr>
  </w:style>
  <w:style w:type="paragraph" w:customStyle="1" w:styleId="33">
    <w:name w:val="列出段落1"/>
    <w:basedOn w:val="1"/>
    <w:qFormat/>
    <w:uiPriority w:val="34"/>
    <w:pPr>
      <w:ind w:firstLine="420" w:firstLineChars="200"/>
    </w:pPr>
    <w:rPr>
      <w:rFonts w:ascii="Calibri" w:hAnsi="Calibri"/>
      <w:szCs w:val="22"/>
    </w:rPr>
  </w:style>
  <w:style w:type="paragraph" w:customStyle="1" w:styleId="34">
    <w:name w:val="1"/>
    <w:basedOn w:val="1"/>
    <w:qFormat/>
    <w:uiPriority w:val="0"/>
    <w:pPr>
      <w:widowControl/>
      <w:spacing w:before="100" w:beforeAutospacing="1" w:after="100" w:afterAutospacing="1"/>
      <w:jc w:val="left"/>
    </w:pPr>
    <w:rPr>
      <w:rFonts w:hint="eastAsia" w:ascii="宋体" w:hAnsi="宋体"/>
      <w:kern w:val="0"/>
      <w:sz w:val="24"/>
      <w:szCs w:val="24"/>
    </w:rPr>
  </w:style>
  <w:style w:type="character" w:customStyle="1" w:styleId="35">
    <w:name w:val="font41"/>
    <w:qFormat/>
    <w:uiPriority w:val="0"/>
    <w:rPr>
      <w:rFonts w:hint="eastAsia" w:ascii="宋体" w:hAnsi="宋体" w:eastAsia="宋体" w:cs="宋体"/>
      <w:b/>
      <w:color w:val="000000"/>
      <w:sz w:val="24"/>
      <w:szCs w:val="24"/>
      <w:u w:val="none"/>
    </w:rPr>
  </w:style>
  <w:style w:type="character" w:customStyle="1" w:styleId="36">
    <w:name w:val="批注框文本 字符"/>
    <w:link w:val="11"/>
    <w:qFormat/>
    <w:uiPriority w:val="0"/>
    <w:rPr>
      <w:kern w:val="2"/>
      <w:sz w:val="18"/>
      <w:szCs w:val="18"/>
    </w:rPr>
  </w:style>
  <w:style w:type="character" w:customStyle="1" w:styleId="37">
    <w:name w:val="apple-converted-space"/>
    <w:basedOn w:val="22"/>
    <w:qFormat/>
    <w:uiPriority w:val="0"/>
  </w:style>
  <w:style w:type="character" w:customStyle="1" w:styleId="38">
    <w:name w:val="页脚 字符"/>
    <w:link w:val="12"/>
    <w:qFormat/>
    <w:locked/>
    <w:uiPriority w:val="99"/>
    <w:rPr>
      <w:kern w:val="2"/>
      <w:sz w:val="18"/>
      <w:szCs w:val="18"/>
    </w:rPr>
  </w:style>
  <w:style w:type="character" w:customStyle="1" w:styleId="39">
    <w:name w:val="纯文本 字符"/>
    <w:link w:val="10"/>
    <w:qFormat/>
    <w:uiPriority w:val="0"/>
    <w:rPr>
      <w:rFonts w:ascii="宋体" w:hAnsi="Courier New" w:eastAsia="宋体"/>
      <w:kern w:val="2"/>
      <w:sz w:val="21"/>
      <w:lang w:val="en-US" w:eastAsia="zh-CN" w:bidi="ar-SA"/>
    </w:rPr>
  </w:style>
  <w:style w:type="character" w:customStyle="1" w:styleId="40">
    <w:name w:val="Char Char3"/>
    <w:qFormat/>
    <w:uiPriority w:val="0"/>
    <w:rPr>
      <w:rFonts w:ascii="宋体" w:hAnsi="Courier New" w:eastAsia="宋体"/>
      <w:kern w:val="2"/>
      <w:sz w:val="21"/>
      <w:lang w:val="en-US" w:eastAsia="zh-CN" w:bidi="ar-SA"/>
    </w:rPr>
  </w:style>
  <w:style w:type="character" w:customStyle="1" w:styleId="41">
    <w:name w:val="Char Char5"/>
    <w:qFormat/>
    <w:uiPriority w:val="0"/>
    <w:rPr>
      <w:rFonts w:ascii="宋体" w:hAnsi="Courier New" w:eastAsia="宋体"/>
      <w:kern w:val="2"/>
      <w:sz w:val="21"/>
      <w:lang w:val="en-US" w:eastAsia="zh-CN" w:bidi="ar-SA"/>
    </w:rPr>
  </w:style>
  <w:style w:type="character" w:customStyle="1" w:styleId="42">
    <w:name w:val="批注主题 字符"/>
    <w:link w:val="19"/>
    <w:qFormat/>
    <w:uiPriority w:val="0"/>
    <w:rPr>
      <w:b/>
      <w:bCs/>
      <w:kern w:val="2"/>
      <w:sz w:val="21"/>
    </w:rPr>
  </w:style>
  <w:style w:type="character" w:customStyle="1" w:styleId="43">
    <w:name w:val="HTML Markup"/>
    <w:qFormat/>
    <w:uiPriority w:val="0"/>
    <w:rPr>
      <w:vanish/>
      <w:color w:val="FF0000"/>
    </w:rPr>
  </w:style>
  <w:style w:type="character" w:customStyle="1" w:styleId="44">
    <w:name w:val="Char Char2"/>
    <w:qFormat/>
    <w:uiPriority w:val="0"/>
    <w:rPr>
      <w:rFonts w:ascii="宋体" w:hAnsi="Courier New" w:cs="宋体"/>
      <w:kern w:val="2"/>
      <w:sz w:val="21"/>
      <w:szCs w:val="21"/>
    </w:rPr>
  </w:style>
  <w:style w:type="character" w:customStyle="1" w:styleId="45">
    <w:name w:val="批注文字 字符"/>
    <w:link w:val="7"/>
    <w:qFormat/>
    <w:uiPriority w:val="0"/>
    <w:rPr>
      <w:kern w:val="2"/>
      <w:sz w:val="21"/>
    </w:rPr>
  </w:style>
  <w:style w:type="character" w:customStyle="1" w:styleId="46">
    <w:name w:val="页眉 字符"/>
    <w:link w:val="13"/>
    <w:qFormat/>
    <w:uiPriority w:val="0"/>
    <w:rPr>
      <w:rFonts w:eastAsia="宋体"/>
      <w:kern w:val="2"/>
      <w:sz w:val="18"/>
      <w:szCs w:val="18"/>
      <w:lang w:val="en-US" w:eastAsia="zh-CN" w:bidi="ar-SA"/>
    </w:rPr>
  </w:style>
  <w:style w:type="character" w:customStyle="1" w:styleId="47">
    <w:name w:val="纯文本 Char"/>
    <w:qFormat/>
    <w:uiPriority w:val="0"/>
    <w:rPr>
      <w:rFonts w:ascii="宋体" w:hAnsi="Courier New" w:eastAsia="宋体"/>
      <w:kern w:val="2"/>
      <w:sz w:val="21"/>
      <w:lang w:val="en-US" w:eastAsia="zh-CN" w:bidi="ar-SA"/>
    </w:rPr>
  </w:style>
  <w:style w:type="paragraph" w:customStyle="1" w:styleId="48">
    <w:name w:val="标书三级标题"/>
    <w:basedOn w:val="6"/>
    <w:qFormat/>
    <w:uiPriority w:val="0"/>
    <w:pPr>
      <w:spacing w:before="0" w:after="0" w:line="240" w:lineRule="auto"/>
      <w:ind w:firstLine="482" w:firstLineChars="200"/>
    </w:pPr>
    <w:rPr>
      <w:color w:val="000000"/>
      <w:sz w:val="24"/>
      <w:szCs w:val="24"/>
    </w:rPr>
  </w:style>
  <w:style w:type="paragraph" w:styleId="49">
    <w:name w:val="List Paragraph"/>
    <w:basedOn w:val="1"/>
    <w:qFormat/>
    <w:uiPriority w:val="34"/>
    <w:pPr>
      <w:ind w:firstLine="420" w:firstLineChars="200"/>
    </w:pPr>
  </w:style>
  <w:style w:type="character" w:customStyle="1" w:styleId="50">
    <w:name w:val="font11"/>
    <w:basedOn w:val="22"/>
    <w:qFormat/>
    <w:uiPriority w:val="0"/>
    <w:rPr>
      <w:rFonts w:hint="default" w:ascii="Times New Roman" w:hAnsi="Times New Roman" w:cs="Times New Roman"/>
      <w:color w:val="000000"/>
      <w:sz w:val="24"/>
      <w:szCs w:val="24"/>
      <w:u w:val="none"/>
    </w:rPr>
  </w:style>
  <w:style w:type="character" w:customStyle="1" w:styleId="51">
    <w:name w:val="font21"/>
    <w:basedOn w:val="22"/>
    <w:qFormat/>
    <w:uiPriority w:val="0"/>
    <w:rPr>
      <w:rFonts w:hint="eastAsia" w:ascii="宋体" w:hAnsi="宋体" w:eastAsia="宋体" w:cs="宋体"/>
      <w:color w:val="000000"/>
      <w:sz w:val="24"/>
      <w:szCs w:val="24"/>
      <w:u w:val="none"/>
    </w:rPr>
  </w:style>
  <w:style w:type="character" w:customStyle="1" w:styleId="52">
    <w:name w:val="font31"/>
    <w:basedOn w:val="22"/>
    <w:qFormat/>
    <w:uiPriority w:val="0"/>
    <w:rPr>
      <w:rFonts w:hint="default" w:ascii="Times New Roman" w:hAnsi="Times New Roman" w:cs="Times New Roman"/>
      <w:color w:val="000000"/>
      <w:sz w:val="24"/>
      <w:szCs w:val="24"/>
      <w:u w:val="none"/>
    </w:rPr>
  </w:style>
  <w:style w:type="character" w:customStyle="1" w:styleId="53">
    <w:name w:val="font0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14383</Words>
  <Characters>14985</Characters>
  <Lines>1</Lines>
  <Paragraphs>1</Paragraphs>
  <TotalTime>3</TotalTime>
  <ScaleCrop>false</ScaleCrop>
  <LinksUpToDate>false</LinksUpToDate>
  <CharactersWithSpaces>15918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2019-07-01T05:55:00Z</dcterms:created>
  <dc:creator>微软用户</dc:creator>
  <cp:lastModifiedBy>lyh</cp:lastModifiedBy>
  <cp:lastPrinted>2019-09-20T02:25:00Z</cp:lastPrinted>
  <dcterms:modified xsi:type="dcterms:W3CDTF">2023-01-01T06:25:46Z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CB07A5B9FB3743F2AB434CB48A824E9D</vt:lpwstr>
  </property>
</Properties>
</file>