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07780">
      <w:pPr>
        <w:pStyle w:val="36"/>
      </w:pPr>
      <w:bookmarkStart w:id="0" w:name="_Toc12003"/>
      <w:bookmarkStart w:id="1" w:name="_Toc7104"/>
      <w:bookmarkStart w:id="2" w:name="_Toc47976587"/>
      <w:r>
        <w:rPr>
          <w:rFonts w:hint="eastAsia"/>
        </w:rPr>
        <w:t>招标公告</w:t>
      </w:r>
      <w:bookmarkEnd w:id="0"/>
      <w:bookmarkEnd w:id="1"/>
      <w:bookmarkEnd w:id="2"/>
      <w:bookmarkStart w:id="3" w:name="_Toc32474"/>
    </w:p>
    <w:p w14:paraId="51514782">
      <w:pPr>
        <w:pStyle w:val="36"/>
        <w:rPr>
          <w:sz w:val="28"/>
        </w:rPr>
      </w:pPr>
      <w:bookmarkStart w:id="4" w:name="_Toc13783"/>
      <w:r>
        <w:rPr>
          <w:rFonts w:hint="eastAsia"/>
          <w:sz w:val="28"/>
        </w:rPr>
        <w:t>重汽汽车金融有限公司202</w:t>
      </w:r>
      <w:r>
        <w:rPr>
          <w:sz w:val="28"/>
        </w:rPr>
        <w:t>6</w:t>
      </w:r>
      <w:r>
        <w:rPr>
          <w:rFonts w:hint="eastAsia"/>
          <w:sz w:val="28"/>
        </w:rPr>
        <w:t>年度财务报表及内部控制审计项目招标公告</w:t>
      </w:r>
      <w:bookmarkEnd w:id="3"/>
      <w:bookmarkEnd w:id="4"/>
    </w:p>
    <w:p w14:paraId="1514FA43">
      <w:pPr>
        <w:pStyle w:val="36"/>
      </w:pPr>
    </w:p>
    <w:p w14:paraId="3BCA3311">
      <w:pPr>
        <w:pStyle w:val="37"/>
      </w:pPr>
      <w:bookmarkStart w:id="5" w:name="_Toc47976588"/>
      <w:bookmarkStart w:id="6" w:name="_Toc17746"/>
      <w:r>
        <w:rPr>
          <w:rFonts w:hint="eastAsia"/>
        </w:rPr>
        <w:t>项目名称及项目编号</w:t>
      </w:r>
      <w:bookmarkEnd w:id="5"/>
      <w:bookmarkEnd w:id="6"/>
    </w:p>
    <w:p w14:paraId="1B7D9B23">
      <w:pPr>
        <w:pStyle w:val="38"/>
        <w:rPr>
          <w:bCs/>
          <w:sz w:val="18"/>
        </w:rPr>
      </w:pPr>
      <w:bookmarkStart w:id="7" w:name="_Toc5837"/>
      <w:r>
        <w:rPr>
          <w:rFonts w:hint="eastAsia"/>
        </w:rPr>
        <w:t>项目名称：</w:t>
      </w:r>
      <w:bookmarkEnd w:id="7"/>
      <w:r>
        <w:rPr>
          <w:rFonts w:hint="eastAsia"/>
        </w:rPr>
        <w:t>重汽汽车金融有限公司202</w:t>
      </w:r>
      <w:r>
        <w:t>6</w:t>
      </w:r>
      <w:r>
        <w:rPr>
          <w:rFonts w:hint="eastAsia"/>
        </w:rPr>
        <w:t>年度财务报表及内部控制审计</w:t>
      </w:r>
    </w:p>
    <w:p w14:paraId="349BB67E">
      <w:pPr>
        <w:pStyle w:val="38"/>
        <w:numPr>
          <w:ilvl w:val="0"/>
          <w:numId w:val="0"/>
        </w:numPr>
        <w:ind w:firstLine="632" w:firstLineChars="300"/>
      </w:pPr>
      <w:r>
        <w:rPr>
          <w:rFonts w:hint="eastAsia"/>
        </w:rPr>
        <w:t>（二）服务期间：2026年</w:t>
      </w:r>
    </w:p>
    <w:p w14:paraId="701FD5C7">
      <w:pPr>
        <w:pStyle w:val="38"/>
        <w:numPr>
          <w:ilvl w:val="0"/>
          <w:numId w:val="0"/>
        </w:numPr>
        <w:ind w:firstLine="632" w:firstLineChars="300"/>
        <w:rPr>
          <w:highlight w:val="yellow"/>
        </w:rPr>
      </w:pPr>
      <w:bookmarkStart w:id="8" w:name="_Toc7110"/>
      <w:r>
        <w:rPr>
          <w:rFonts w:hint="eastAsia"/>
        </w:rPr>
        <w:t>（三）项目编号：</w:t>
      </w:r>
      <w:bookmarkEnd w:id="8"/>
      <w:r>
        <w:t>ZBGL2026100060</w:t>
      </w:r>
    </w:p>
    <w:p w14:paraId="0FD73390">
      <w:pPr>
        <w:pStyle w:val="37"/>
      </w:pPr>
      <w:bookmarkStart w:id="9" w:name="_Toc29965"/>
      <w:bookmarkStart w:id="10" w:name="_Toc47976589"/>
      <w:r>
        <w:rPr>
          <w:rFonts w:hint="eastAsia"/>
        </w:rPr>
        <w:t>项目概况及招标形式</w:t>
      </w:r>
      <w:bookmarkEnd w:id="9"/>
      <w:bookmarkEnd w:id="10"/>
    </w:p>
    <w:p w14:paraId="5C134C2F">
      <w:pPr>
        <w:pStyle w:val="38"/>
        <w:numPr>
          <w:ilvl w:val="0"/>
          <w:numId w:val="0"/>
        </w:numPr>
        <w:ind w:firstLine="632" w:firstLineChars="300"/>
        <w:rPr>
          <w:bCs/>
        </w:rPr>
      </w:pPr>
      <w:bookmarkStart w:id="401" w:name="_GoBack"/>
      <w:bookmarkEnd w:id="401"/>
      <w:bookmarkStart w:id="11" w:name="_Toc29525"/>
      <w:r>
        <w:rPr>
          <w:rFonts w:hint="eastAsia"/>
          <w:lang w:eastAsia="zh-CN"/>
        </w:rPr>
        <w:t>（</w:t>
      </w:r>
      <w:r>
        <w:rPr>
          <w:rFonts w:hint="eastAsia"/>
          <w:lang w:val="en-US" w:eastAsia="zh-CN"/>
        </w:rPr>
        <w:t>一</w:t>
      </w:r>
      <w:r>
        <w:rPr>
          <w:rFonts w:hint="eastAsia"/>
          <w:lang w:eastAsia="zh-CN"/>
        </w:rPr>
        <w:t>）</w:t>
      </w:r>
      <w:r>
        <w:rPr>
          <w:rFonts w:hint="eastAsia"/>
        </w:rPr>
        <w:t>招标内容：</w:t>
      </w:r>
      <w:bookmarkEnd w:id="11"/>
      <w:r>
        <w:rPr>
          <w:rFonts w:hint="eastAsia"/>
          <w:bCs/>
        </w:rPr>
        <w:t>重汽汽车金融有限公司202</w:t>
      </w:r>
      <w:r>
        <w:rPr>
          <w:bCs/>
        </w:rPr>
        <w:t>6</w:t>
      </w:r>
      <w:bookmarkStart w:id="12" w:name="_Toc21013"/>
      <w:r>
        <w:rPr>
          <w:rFonts w:hint="eastAsia"/>
          <w:bCs/>
        </w:rPr>
        <w:t>年度财务报表及内部控制审计</w:t>
      </w:r>
    </w:p>
    <w:p w14:paraId="23678B32">
      <w:pPr>
        <w:pStyle w:val="38"/>
        <w:numPr>
          <w:ilvl w:val="0"/>
          <w:numId w:val="0"/>
        </w:numPr>
        <w:ind w:firstLine="422" w:firstLineChars="200"/>
      </w:pPr>
      <w:r>
        <w:rPr>
          <w:rFonts w:hint="eastAsia"/>
        </w:rPr>
        <w:t>1.针对2026年度财务报表进行审计，对其真实性、合法性和公允性发表意见、出具审计报告及管理建议书；2.针对2026年度公司治理、内部控制、经营管理情况、薪酬制度的设计和执行情况等进行审计，出具内部控制审计报告及管理建议书；3.依据国资委要求对公司出具财务决算专项说明书，</w:t>
      </w:r>
      <w:r>
        <w:t>需要积极与集团公司合并报表审计机构对接沟通</w:t>
      </w:r>
      <w:r>
        <w:rPr>
          <w:rFonts w:hint="eastAsia"/>
        </w:rPr>
        <w:t>；4</w:t>
      </w:r>
      <w:r>
        <w:t>.</w:t>
      </w:r>
      <w:r>
        <w:rPr>
          <w:rFonts w:hint="eastAsia"/>
        </w:rPr>
        <w:t>根据监管要求，配合完成双方或三方会谈工作。</w:t>
      </w:r>
      <w:bookmarkEnd w:id="12"/>
    </w:p>
    <w:p w14:paraId="2CEA2604">
      <w:pPr>
        <w:pStyle w:val="38"/>
        <w:numPr>
          <w:ilvl w:val="0"/>
          <w:numId w:val="0"/>
        </w:numPr>
        <w:ind w:left="1130" w:hanging="420"/>
      </w:pPr>
      <w:bookmarkStart w:id="13" w:name="_Toc316"/>
      <w:r>
        <w:rPr>
          <w:rFonts w:hint="eastAsia"/>
        </w:rPr>
        <w:t>（二）招标形式：公开招标</w:t>
      </w:r>
      <w:bookmarkEnd w:id="13"/>
    </w:p>
    <w:p w14:paraId="46058A31">
      <w:pPr>
        <w:pStyle w:val="37"/>
      </w:pPr>
      <w:bookmarkStart w:id="14" w:name="_Toc47976590"/>
      <w:bookmarkStart w:id="15" w:name="_Toc18690"/>
      <w:r>
        <w:rPr>
          <w:rFonts w:hint="eastAsia"/>
        </w:rPr>
        <w:t>投标人资格要求</w:t>
      </w:r>
      <w:bookmarkEnd w:id="14"/>
      <w:bookmarkEnd w:id="15"/>
    </w:p>
    <w:p w14:paraId="53DDD7D7">
      <w:pPr>
        <w:pStyle w:val="38"/>
        <w:numPr>
          <w:ilvl w:val="0"/>
          <w:numId w:val="0"/>
        </w:numPr>
        <w:ind w:firstLine="422" w:firstLineChars="200"/>
      </w:pPr>
      <w:bookmarkStart w:id="16" w:name="_Toc2992"/>
      <w:r>
        <w:rPr>
          <w:rFonts w:hint="eastAsia"/>
        </w:rPr>
        <w:t>1.</w:t>
      </w:r>
      <w:r>
        <w:rPr>
          <w:rFonts w:ascii="Times New Roman" w:hAnsi="Times New Roman"/>
          <w:b w:val="0"/>
        </w:rPr>
        <w:t xml:space="preserve"> </w:t>
      </w:r>
      <w:r>
        <w:t>投标人须是在中国境内注册成立的会计师事务所</w:t>
      </w:r>
      <w:r>
        <w:rPr>
          <w:rFonts w:hint="eastAsia"/>
        </w:rPr>
        <w:t>，具有独立承担民事责任能力，</w:t>
      </w:r>
      <w:r>
        <w:t>持有经年检有效的营业执照、执业证书</w:t>
      </w:r>
      <w:bookmarkEnd w:id="16"/>
      <w:bookmarkStart w:id="17" w:name="_Toc26775"/>
      <w:r>
        <w:rPr>
          <w:rFonts w:hint="eastAsia"/>
        </w:rPr>
        <w:t>；</w:t>
      </w:r>
      <w:r>
        <w:t>投标人具有证监会颁发的证券相关业务许可证（提供证明材料），符合《中华人民共和国证券法》相关规定；</w:t>
      </w:r>
    </w:p>
    <w:p w14:paraId="21D9DCCA">
      <w:pPr>
        <w:pStyle w:val="38"/>
        <w:numPr>
          <w:ilvl w:val="0"/>
          <w:numId w:val="0"/>
        </w:numPr>
        <w:ind w:firstLine="422" w:firstLineChars="200"/>
      </w:pPr>
      <w:r>
        <w:rPr>
          <w:rFonts w:hint="eastAsia"/>
        </w:rPr>
        <w:t>2.</w:t>
      </w:r>
      <w:bookmarkEnd w:id="17"/>
      <w:bookmarkStart w:id="18" w:name="_Toc19008"/>
      <w:r>
        <w:rPr>
          <w:rFonts w:ascii="Times New Roman" w:hAnsi="Times New Roman"/>
          <w:b w:val="0"/>
        </w:rPr>
        <w:t xml:space="preserve"> </w:t>
      </w:r>
      <w:r>
        <w:t>具有健全规范的内部管理制度和质量控制体系；</w:t>
      </w:r>
    </w:p>
    <w:p w14:paraId="12AF4CF1">
      <w:pPr>
        <w:pStyle w:val="38"/>
        <w:numPr>
          <w:ilvl w:val="0"/>
          <w:numId w:val="0"/>
        </w:numPr>
        <w:ind w:firstLine="422" w:firstLineChars="200"/>
      </w:pPr>
      <w:r>
        <w:rPr>
          <w:rFonts w:hint="eastAsia"/>
        </w:rPr>
        <w:t>3.</w:t>
      </w:r>
      <w:bookmarkEnd w:id="18"/>
      <w:r>
        <w:rPr>
          <w:rFonts w:ascii="Times New Roman" w:hAnsi="Times New Roman"/>
          <w:b w:val="0"/>
        </w:rPr>
        <w:t xml:space="preserve"> </w:t>
      </w:r>
      <w:r>
        <w:t>投标人具有良好的商业信誉，且未被“中国执行信息公开网”列入失信被执行人；</w:t>
      </w:r>
    </w:p>
    <w:p w14:paraId="1113CCAB">
      <w:pPr>
        <w:pStyle w:val="38"/>
        <w:numPr>
          <w:ilvl w:val="0"/>
          <w:numId w:val="0"/>
        </w:numPr>
        <w:ind w:firstLine="422" w:firstLineChars="200"/>
      </w:pPr>
      <w:bookmarkStart w:id="19" w:name="_Toc18069"/>
      <w:r>
        <w:rPr>
          <w:rFonts w:hint="eastAsia"/>
        </w:rPr>
        <w:t>4.</w:t>
      </w:r>
      <w:bookmarkEnd w:id="19"/>
      <w:bookmarkStart w:id="20" w:name="_Toc3671"/>
      <w:r>
        <w:rPr>
          <w:rFonts w:ascii="Times New Roman" w:hAnsi="Times New Roman"/>
          <w:b w:val="0"/>
        </w:rPr>
        <w:t xml:space="preserve"> </w:t>
      </w:r>
      <w:r>
        <w:t>投标人派出的此项目审计团队须具有大型国有企业年度决算审计服务经验；</w:t>
      </w:r>
    </w:p>
    <w:p w14:paraId="51AC2F81">
      <w:pPr>
        <w:pStyle w:val="38"/>
        <w:numPr>
          <w:ilvl w:val="0"/>
          <w:numId w:val="0"/>
        </w:numPr>
        <w:ind w:firstLine="422" w:firstLineChars="200"/>
      </w:pPr>
      <w:r>
        <w:rPr>
          <w:rFonts w:hint="eastAsia"/>
        </w:rPr>
        <w:t>5.</w:t>
      </w:r>
      <w:bookmarkEnd w:id="20"/>
      <w:r>
        <w:rPr>
          <w:rFonts w:ascii="Times New Roman" w:hAnsi="Times New Roman"/>
          <w:b w:val="0"/>
        </w:rPr>
        <w:t xml:space="preserve"> </w:t>
      </w:r>
      <w:r>
        <w:t>投标人须具有履行合同所必需的专业技术能力、执业注册会计师人数；</w:t>
      </w:r>
      <w:r>
        <w:rPr>
          <w:rFonts w:hint="eastAsia"/>
        </w:rPr>
        <w:t xml:space="preserve"> </w:t>
      </w:r>
    </w:p>
    <w:p w14:paraId="427BF0B9">
      <w:pPr>
        <w:pStyle w:val="38"/>
        <w:numPr>
          <w:ilvl w:val="0"/>
          <w:numId w:val="0"/>
        </w:numPr>
        <w:ind w:firstLine="422" w:firstLineChars="200"/>
      </w:pPr>
      <w:bookmarkStart w:id="21" w:name="_Toc24261"/>
      <w:r>
        <w:rPr>
          <w:rFonts w:hint="eastAsia"/>
        </w:rPr>
        <w:t>6.</w:t>
      </w:r>
      <w:bookmarkEnd w:id="21"/>
      <w:r>
        <w:rPr>
          <w:rFonts w:ascii="Times New Roman" w:hAnsi="Times New Roman"/>
          <w:b w:val="0"/>
        </w:rPr>
        <w:t xml:space="preserve"> </w:t>
      </w:r>
      <w:r>
        <w:t>投标人收入规模</w:t>
      </w:r>
      <w:r>
        <w:rPr>
          <w:rFonts w:hint="eastAsia"/>
        </w:rPr>
        <w:t>须</w:t>
      </w:r>
      <w:r>
        <w:t>处于行业领先水平，按照中国证券监督管理委员会</w:t>
      </w:r>
      <w:r>
        <w:rPr>
          <w:rFonts w:hint="eastAsia"/>
        </w:rPr>
        <w:t>公布的《2025年度会计师事务所从事证券服务业务有关信息》，收入排名前15名（含）</w:t>
      </w:r>
      <w:r>
        <w:t>；</w:t>
      </w:r>
    </w:p>
    <w:p w14:paraId="1CF84C06">
      <w:pPr>
        <w:pStyle w:val="38"/>
        <w:numPr>
          <w:ilvl w:val="0"/>
          <w:numId w:val="0"/>
        </w:numPr>
        <w:ind w:firstLine="422" w:firstLineChars="200"/>
      </w:pPr>
      <w:r>
        <w:rPr>
          <w:rFonts w:hint="eastAsia"/>
        </w:rPr>
        <w:t>7.</w:t>
      </w:r>
      <w:r>
        <w:rPr>
          <w:rFonts w:ascii="Times New Roman" w:hAnsi="Times New Roman"/>
          <w:b w:val="0"/>
        </w:rPr>
        <w:t xml:space="preserve"> </w:t>
      </w:r>
      <w:r>
        <w:t>拟派项目负责人和现场负责人经验丰富，且现场负责人须为执业经验10年以上的注册会计师；</w:t>
      </w:r>
    </w:p>
    <w:p w14:paraId="4DE23A1A">
      <w:pPr>
        <w:pStyle w:val="38"/>
        <w:numPr>
          <w:ilvl w:val="0"/>
          <w:numId w:val="0"/>
        </w:numPr>
        <w:ind w:firstLine="422" w:firstLineChars="200"/>
      </w:pPr>
      <w:bookmarkStart w:id="22" w:name="_Toc7311"/>
      <w:r>
        <w:rPr>
          <w:rFonts w:hint="eastAsia"/>
        </w:rPr>
        <w:t>8.投标人的直接或间接股东、法定代表人、董事、监事、高管非重汽员工及其亲属</w:t>
      </w:r>
      <w:bookmarkEnd w:id="22"/>
      <w:r>
        <w:rPr>
          <w:rFonts w:hint="eastAsia"/>
        </w:rPr>
        <w:t>；</w:t>
      </w:r>
    </w:p>
    <w:p w14:paraId="40D556A8">
      <w:pPr>
        <w:pStyle w:val="38"/>
        <w:numPr>
          <w:ilvl w:val="0"/>
          <w:numId w:val="0"/>
        </w:numPr>
        <w:ind w:firstLine="422" w:firstLineChars="200"/>
      </w:pPr>
      <w:bookmarkStart w:id="23" w:name="_Toc9059"/>
      <w:r>
        <w:rPr>
          <w:rFonts w:hint="eastAsia"/>
        </w:rPr>
        <w:t>9.投标人之间必须具备充分的竞争关系。</w:t>
      </w:r>
      <w:bookmarkEnd w:id="23"/>
    </w:p>
    <w:p w14:paraId="31DFD4BA">
      <w:pPr>
        <w:pStyle w:val="37"/>
      </w:pPr>
      <w:bookmarkStart w:id="24" w:name="_Toc47976591"/>
      <w:bookmarkStart w:id="25" w:name="_Toc9729"/>
      <w:r>
        <w:rPr>
          <w:rFonts w:hint="eastAsia"/>
        </w:rPr>
        <w:t>报名及招标文件的获取</w:t>
      </w:r>
      <w:bookmarkEnd w:id="24"/>
      <w:bookmarkEnd w:id="25"/>
    </w:p>
    <w:p w14:paraId="268E2C06">
      <w:pPr>
        <w:pStyle w:val="15"/>
        <w:spacing w:line="360" w:lineRule="auto"/>
        <w:ind w:firstLine="422" w:firstLineChars="200"/>
        <w:rPr>
          <w:rFonts w:hAnsi="宋体" w:cs="宋体"/>
          <w:b/>
          <w:bCs/>
          <w:szCs w:val="21"/>
        </w:rPr>
      </w:pPr>
      <w:r>
        <w:rPr>
          <w:rFonts w:hint="eastAsia" w:hAnsi="宋体" w:cs="宋体"/>
          <w:b/>
          <w:bCs/>
          <w:szCs w:val="21"/>
        </w:rPr>
        <w:t>1.应标截止时间：</w:t>
      </w:r>
      <w:r>
        <w:rPr>
          <w:rFonts w:hAnsi="宋体" w:cs="宋体"/>
          <w:b/>
          <w:bCs/>
          <w:szCs w:val="21"/>
        </w:rPr>
        <w:t>2026</w:t>
      </w:r>
      <w:r>
        <w:rPr>
          <w:rFonts w:hint="eastAsia" w:hAnsi="宋体" w:cs="宋体"/>
          <w:b/>
          <w:bCs/>
          <w:szCs w:val="21"/>
        </w:rPr>
        <w:t>年</w:t>
      </w:r>
      <w:r>
        <w:rPr>
          <w:rFonts w:hAnsi="宋体" w:cs="宋体"/>
          <w:b/>
          <w:bCs/>
          <w:szCs w:val="21"/>
        </w:rPr>
        <w:t>10</w:t>
      </w:r>
      <w:r>
        <w:rPr>
          <w:rFonts w:hint="eastAsia" w:hAnsi="宋体" w:cs="宋体"/>
          <w:b/>
          <w:bCs/>
          <w:szCs w:val="21"/>
        </w:rPr>
        <w:t>月</w:t>
      </w:r>
      <w:r>
        <w:rPr>
          <w:rFonts w:hAnsi="宋体" w:cs="宋体"/>
          <w:b/>
          <w:bCs/>
          <w:szCs w:val="21"/>
        </w:rPr>
        <w:t>2</w:t>
      </w:r>
      <w:r>
        <w:rPr>
          <w:rFonts w:hint="eastAsia" w:hAnsi="宋体" w:cs="宋体"/>
          <w:b/>
          <w:bCs/>
          <w:szCs w:val="21"/>
        </w:rPr>
        <w:t>6日</w:t>
      </w:r>
      <w:r>
        <w:rPr>
          <w:rFonts w:hAnsi="宋体" w:cs="宋体"/>
          <w:b/>
          <w:bCs/>
          <w:szCs w:val="21"/>
        </w:rPr>
        <w:t>17:00。</w:t>
      </w:r>
    </w:p>
    <w:p w14:paraId="146475F7">
      <w:pPr>
        <w:pStyle w:val="15"/>
        <w:spacing w:line="360" w:lineRule="auto"/>
        <w:ind w:firstLine="422" w:firstLineChars="200"/>
        <w:rPr>
          <w:rFonts w:hAnsi="宋体" w:cs="宋体"/>
          <w:b/>
          <w:bCs/>
          <w:szCs w:val="21"/>
        </w:rPr>
      </w:pPr>
      <w:r>
        <w:rPr>
          <w:rFonts w:hint="eastAsia" w:hAnsi="宋体" w:cs="宋体"/>
          <w:b/>
          <w:bCs/>
          <w:szCs w:val="21"/>
        </w:rPr>
        <w:t>2</w:t>
      </w:r>
      <w:r>
        <w:rPr>
          <w:rFonts w:hint="eastAsia" w:hAnsi="宋体" w:cs="宋体"/>
          <w:szCs w:val="21"/>
        </w:rPr>
        <w:t>.</w:t>
      </w:r>
      <w:r>
        <w:rPr>
          <w:rFonts w:hint="eastAsia" w:hAnsi="宋体" w:cs="宋体"/>
          <w:b/>
          <w:bCs/>
          <w:szCs w:val="21"/>
        </w:rPr>
        <w:t>投标截止时间：2026年11月3日 8:00。</w:t>
      </w:r>
    </w:p>
    <w:p w14:paraId="19295C64">
      <w:pPr>
        <w:pStyle w:val="15"/>
        <w:spacing w:line="360" w:lineRule="auto"/>
        <w:ind w:firstLine="422" w:firstLineChars="200"/>
        <w:rPr>
          <w:rFonts w:hAnsi="宋体" w:cs="宋体"/>
          <w:b/>
          <w:bCs/>
          <w:szCs w:val="21"/>
        </w:rPr>
      </w:pPr>
      <w:r>
        <w:rPr>
          <w:rFonts w:hint="eastAsia" w:hAnsi="宋体" w:cs="宋体"/>
          <w:b/>
          <w:bCs/>
          <w:szCs w:val="21"/>
        </w:rPr>
        <w:t>3.招标文件获取方式：投标人在时间范围内，在中国重汽e采通平台上获取招标文件。</w:t>
      </w:r>
    </w:p>
    <w:p w14:paraId="23D0E1E8">
      <w:pPr>
        <w:pStyle w:val="15"/>
        <w:spacing w:line="360" w:lineRule="auto"/>
        <w:ind w:firstLine="422" w:firstLineChars="200"/>
        <w:rPr>
          <w:rFonts w:hAnsi="宋体" w:cs="宋体"/>
          <w:szCs w:val="21"/>
        </w:rPr>
      </w:pPr>
      <w:r>
        <w:rPr>
          <w:rFonts w:hint="eastAsia" w:hAnsi="宋体" w:cs="宋体"/>
          <w:b/>
          <w:bCs/>
          <w:szCs w:val="21"/>
        </w:rPr>
        <w:t>4.投标保证金缴纳截止时间：2026年10月31日17:00。</w:t>
      </w:r>
    </w:p>
    <w:p w14:paraId="0797E53C">
      <w:pPr>
        <w:pStyle w:val="37"/>
        <w:numPr>
          <w:ilvl w:val="0"/>
          <w:numId w:val="0"/>
        </w:numPr>
        <w:ind w:firstLine="422" w:firstLineChars="200"/>
      </w:pPr>
      <w:bookmarkStart w:id="26" w:name="_Toc4553"/>
      <w:r>
        <w:rPr>
          <w:rFonts w:hint="eastAsia" w:ascii="宋体" w:hAnsi="宋体" w:eastAsia="宋体" w:cs="宋体"/>
          <w:sz w:val="21"/>
          <w:szCs w:val="21"/>
        </w:rPr>
        <w:t>5.报名方式：拟投标人根据招标人在中国重汽官网等公开媒体上发布的招标信息，在“中国重汽e采通”平台报名，</w:t>
      </w:r>
      <w:r>
        <w:rPr>
          <w:rFonts w:ascii="宋体" w:hAnsi="宋体" w:eastAsia="宋体" w:cs="宋体"/>
          <w:sz w:val="21"/>
          <w:szCs w:val="21"/>
        </w:rPr>
        <w:t>网址如下：</w:t>
      </w:r>
      <w:r>
        <w:rPr>
          <w:rFonts w:hint="eastAsia" w:ascii="宋体" w:hAnsi="宋体" w:eastAsia="宋体" w:cs="宋体"/>
          <w:sz w:val="21"/>
          <w:szCs w:val="21"/>
        </w:rPr>
        <w:t>https://ecaitong.sinotruk.com:8012。按照中国重汽e采通“SRM非生产供应商注册手册”进行注册，注册完毕后按照“SRM系统供应商用户手册”，登录重汽e采通平台后进入“供应商应标”，选择对应的项目，点击“应标”后按照招标文件中的投标文件“资质文件”准备资料并上传，资质审查通过即为报名成功；公示期间请尽快报名。</w:t>
      </w:r>
      <w:bookmarkEnd w:id="26"/>
    </w:p>
    <w:p w14:paraId="71B223D6">
      <w:pPr>
        <w:pStyle w:val="37"/>
      </w:pPr>
      <w:bookmarkStart w:id="27" w:name="_Toc2231"/>
      <w:bookmarkStart w:id="28" w:name="_Toc47976592"/>
      <w:r>
        <w:rPr>
          <w:rFonts w:hint="eastAsia"/>
        </w:rPr>
        <w:t>投标文件的递交</w:t>
      </w:r>
      <w:bookmarkEnd w:id="27"/>
      <w:bookmarkEnd w:id="28"/>
    </w:p>
    <w:p w14:paraId="22267EC6">
      <w:pPr>
        <w:widowControl/>
        <w:spacing w:line="560" w:lineRule="exact"/>
        <w:ind w:firstLine="422" w:firstLineChars="200"/>
        <w:rPr>
          <w:rFonts w:ascii="宋体" w:hAnsi="宋体" w:cs="宋体"/>
          <w:b/>
          <w:bCs/>
          <w:szCs w:val="21"/>
        </w:rPr>
      </w:pPr>
      <w:r>
        <w:rPr>
          <w:rFonts w:hint="eastAsia" w:ascii="宋体" w:hAnsi="宋体" w:cs="宋体"/>
          <w:b/>
          <w:bCs/>
          <w:szCs w:val="21"/>
        </w:rPr>
        <w:t>本次投标采用线上线下相结合的方式，即：应标、投标资料上传、开标、评标均需通过“中国重汽e采通”平台进行操作；开标时采用线下现场开标（需携带纸质版标书）、述标、评标，线上系统同时输入的方式。</w:t>
      </w:r>
    </w:p>
    <w:p w14:paraId="69947587">
      <w:pPr>
        <w:widowControl/>
        <w:spacing w:line="560" w:lineRule="exact"/>
        <w:ind w:firstLine="422" w:firstLineChars="200"/>
        <w:rPr>
          <w:rFonts w:ascii="宋体" w:hAnsi="宋体" w:cs="宋体"/>
          <w:b/>
          <w:bCs/>
          <w:szCs w:val="21"/>
        </w:rPr>
      </w:pPr>
      <w:r>
        <w:rPr>
          <w:rFonts w:ascii="宋体" w:hAnsi="宋体" w:cs="宋体"/>
          <w:b/>
          <w:bCs/>
          <w:szCs w:val="21"/>
        </w:rPr>
        <w:t>2026</w:t>
      </w:r>
      <w:r>
        <w:rPr>
          <w:rFonts w:hint="eastAsia" w:ascii="宋体" w:hAnsi="宋体" w:cs="宋体"/>
          <w:b/>
          <w:bCs/>
          <w:szCs w:val="21"/>
        </w:rPr>
        <w:t>年</w:t>
      </w:r>
      <w:r>
        <w:rPr>
          <w:rFonts w:ascii="宋体" w:hAnsi="宋体" w:cs="宋体"/>
          <w:b/>
          <w:bCs/>
          <w:szCs w:val="21"/>
        </w:rPr>
        <w:t>1</w:t>
      </w:r>
      <w:r>
        <w:rPr>
          <w:rFonts w:hint="eastAsia" w:ascii="宋体" w:hAnsi="宋体" w:cs="宋体"/>
          <w:b/>
          <w:bCs/>
          <w:szCs w:val="21"/>
        </w:rPr>
        <w:t>1月3日8</w:t>
      </w:r>
      <w:r>
        <w:rPr>
          <w:rFonts w:ascii="宋体" w:hAnsi="宋体" w:cs="宋体"/>
          <w:b/>
          <w:bCs/>
          <w:szCs w:val="21"/>
        </w:rPr>
        <w:t>:00</w:t>
      </w:r>
      <w:r>
        <w:rPr>
          <w:rFonts w:hint="eastAsia" w:ascii="宋体" w:hAnsi="宋体" w:cs="宋体"/>
          <w:b/>
          <w:bCs/>
          <w:szCs w:val="21"/>
        </w:rPr>
        <w:t>前，在“中国重汽e采通”平台上传《投标文件--资质标》、《投标文件--技术标》、《投标文件--商务标》。</w:t>
      </w:r>
    </w:p>
    <w:p w14:paraId="356F0171">
      <w:pPr>
        <w:pStyle w:val="37"/>
      </w:pPr>
      <w:bookmarkStart w:id="29" w:name="_Toc30941"/>
      <w:r>
        <w:rPr>
          <w:rFonts w:hint="eastAsia"/>
        </w:rPr>
        <w:t>开标时间和地点</w:t>
      </w:r>
      <w:bookmarkEnd w:id="29"/>
    </w:p>
    <w:p w14:paraId="3004CEF9">
      <w:pPr>
        <w:pStyle w:val="15"/>
        <w:spacing w:line="360" w:lineRule="auto"/>
        <w:ind w:firstLine="422" w:firstLineChars="200"/>
        <w:rPr>
          <w:rFonts w:hAnsi="宋体" w:cs="宋体"/>
          <w:b/>
          <w:bCs/>
          <w:szCs w:val="21"/>
        </w:rPr>
      </w:pPr>
      <w:r>
        <w:rPr>
          <w:rFonts w:hint="eastAsia" w:hAnsi="宋体" w:cs="宋体"/>
          <w:b/>
          <w:bCs/>
          <w:szCs w:val="21"/>
        </w:rPr>
        <w:t>1.</w:t>
      </w:r>
      <w:r>
        <w:rPr>
          <w:rFonts w:hAnsi="宋体" w:cs="宋体"/>
          <w:b/>
          <w:bCs/>
          <w:szCs w:val="21"/>
        </w:rPr>
        <w:t>开标时间：</w:t>
      </w:r>
      <w:r>
        <w:rPr>
          <w:rFonts w:hint="eastAsia" w:hAnsi="宋体" w:cs="宋体"/>
          <w:b/>
          <w:bCs/>
          <w:szCs w:val="21"/>
        </w:rPr>
        <w:t>2026</w:t>
      </w:r>
      <w:r>
        <w:rPr>
          <w:rFonts w:hAnsi="宋体" w:cs="宋体"/>
          <w:b/>
          <w:bCs/>
          <w:szCs w:val="21"/>
        </w:rPr>
        <w:t>年1</w:t>
      </w:r>
      <w:r>
        <w:rPr>
          <w:rFonts w:hint="eastAsia" w:hAnsi="宋体" w:cs="宋体"/>
          <w:b/>
          <w:bCs/>
          <w:szCs w:val="21"/>
        </w:rPr>
        <w:t>1</w:t>
      </w:r>
      <w:r>
        <w:rPr>
          <w:rFonts w:hAnsi="宋体" w:cs="宋体"/>
          <w:b/>
          <w:bCs/>
          <w:szCs w:val="21"/>
        </w:rPr>
        <w:t>月</w:t>
      </w:r>
      <w:r>
        <w:rPr>
          <w:rFonts w:hint="eastAsia" w:hAnsi="宋体" w:cs="宋体"/>
          <w:b/>
          <w:bCs/>
          <w:szCs w:val="21"/>
        </w:rPr>
        <w:t>3</w:t>
      </w:r>
      <w:r>
        <w:rPr>
          <w:rFonts w:hAnsi="宋体" w:cs="宋体"/>
          <w:b/>
          <w:bCs/>
          <w:szCs w:val="21"/>
        </w:rPr>
        <w:t>日</w:t>
      </w:r>
      <w:r>
        <w:rPr>
          <w:rFonts w:hint="eastAsia" w:hAnsi="宋体" w:cs="宋体"/>
          <w:b/>
          <w:bCs/>
          <w:szCs w:val="21"/>
        </w:rPr>
        <w:t>9</w:t>
      </w:r>
      <w:r>
        <w:rPr>
          <w:rFonts w:hAnsi="宋体" w:cs="宋体"/>
          <w:b/>
          <w:bCs/>
          <w:szCs w:val="21"/>
        </w:rPr>
        <w:t>:00（暂定），若有变动另行通知。</w:t>
      </w:r>
    </w:p>
    <w:p w14:paraId="1585AF10">
      <w:pPr>
        <w:pStyle w:val="15"/>
        <w:spacing w:line="360" w:lineRule="auto"/>
        <w:ind w:firstLine="422" w:firstLineChars="200"/>
        <w:rPr>
          <w:rFonts w:hAnsi="宋体" w:cs="宋体"/>
          <w:b/>
          <w:bCs/>
          <w:szCs w:val="21"/>
        </w:rPr>
      </w:pPr>
      <w:r>
        <w:rPr>
          <w:rFonts w:hint="eastAsia" w:hAnsi="宋体" w:cs="宋体"/>
          <w:b/>
          <w:bCs/>
          <w:szCs w:val="21"/>
        </w:rPr>
        <w:t>2.</w:t>
      </w:r>
      <w:r>
        <w:rPr>
          <w:rFonts w:hAnsi="宋体" w:cs="宋体"/>
          <w:b/>
          <w:bCs/>
          <w:szCs w:val="21"/>
        </w:rPr>
        <w:t>开标地点：</w:t>
      </w:r>
      <w:bookmarkStart w:id="30" w:name="OLE_LINK2"/>
      <w:bookmarkStart w:id="31" w:name="OLE_LINK3"/>
      <w:r>
        <w:rPr>
          <w:rFonts w:hAnsi="宋体" w:cs="宋体"/>
          <w:b/>
          <w:bCs/>
          <w:szCs w:val="21"/>
        </w:rPr>
        <w:t>重汽科技大厦4楼</w:t>
      </w:r>
      <w:bookmarkEnd w:id="30"/>
      <w:bookmarkEnd w:id="31"/>
      <w:r>
        <w:rPr>
          <w:rFonts w:hAnsi="宋体" w:cs="宋体"/>
          <w:b/>
          <w:bCs/>
          <w:szCs w:val="21"/>
        </w:rPr>
        <w:t>。</w:t>
      </w:r>
    </w:p>
    <w:p w14:paraId="62966F50">
      <w:pPr>
        <w:pStyle w:val="37"/>
      </w:pPr>
      <w:bookmarkStart w:id="32" w:name="_Toc5484"/>
      <w:bookmarkStart w:id="33" w:name="_Toc47976593"/>
      <w:r>
        <w:rPr>
          <w:rFonts w:hint="eastAsia"/>
        </w:rPr>
        <w:t>招标公告发布媒介</w:t>
      </w:r>
      <w:bookmarkEnd w:id="32"/>
      <w:bookmarkEnd w:id="33"/>
    </w:p>
    <w:p w14:paraId="06BBD67B">
      <w:pPr>
        <w:pStyle w:val="15"/>
        <w:spacing w:line="360" w:lineRule="auto"/>
        <w:ind w:firstLine="422" w:firstLineChars="200"/>
        <w:rPr>
          <w:rFonts w:hAnsi="宋体" w:cs="宋体"/>
          <w:b/>
          <w:bCs/>
          <w:szCs w:val="21"/>
        </w:rPr>
      </w:pPr>
      <w:r>
        <w:rPr>
          <w:rFonts w:hint="eastAsia" w:hAnsi="宋体" w:cs="宋体"/>
          <w:b/>
          <w:bCs/>
          <w:szCs w:val="21"/>
        </w:rPr>
        <w:t>本次招标公告同时在中国重汽官网上发布。</w:t>
      </w:r>
    </w:p>
    <w:p w14:paraId="517DAF78">
      <w:pPr>
        <w:pStyle w:val="37"/>
      </w:pPr>
      <w:bookmarkStart w:id="34" w:name="_Toc113"/>
      <w:bookmarkStart w:id="35" w:name="_Toc47976594"/>
      <w:r>
        <w:rPr>
          <w:rFonts w:hint="eastAsia"/>
        </w:rPr>
        <w:t>联系方式</w:t>
      </w:r>
      <w:bookmarkEnd w:id="34"/>
      <w:bookmarkEnd w:id="35"/>
    </w:p>
    <w:p w14:paraId="7EF39B4D">
      <w:pPr>
        <w:pStyle w:val="15"/>
        <w:spacing w:line="360" w:lineRule="auto"/>
        <w:ind w:firstLine="422" w:firstLineChars="200"/>
        <w:rPr>
          <w:rFonts w:hint="eastAsia" w:hAnsi="宋体" w:cs="宋体"/>
          <w:b/>
          <w:bCs/>
          <w:szCs w:val="21"/>
        </w:rPr>
      </w:pPr>
      <w:r>
        <w:rPr>
          <w:rFonts w:hAnsi="宋体" w:cs="宋体"/>
          <w:b/>
          <w:bCs/>
          <w:szCs w:val="21"/>
        </w:rPr>
        <w:t>联系人：</w:t>
      </w:r>
      <w:r>
        <w:rPr>
          <w:rFonts w:hint="eastAsia" w:hAnsi="宋体" w:cs="宋体"/>
          <w:b/>
          <w:bCs/>
          <w:szCs w:val="21"/>
        </w:rPr>
        <w:t>高强</w:t>
      </w:r>
      <w:r>
        <w:rPr>
          <w:rFonts w:hAnsi="宋体" w:cs="宋体"/>
          <w:b/>
          <w:bCs/>
          <w:szCs w:val="21"/>
        </w:rPr>
        <w:t xml:space="preserve"> </w:t>
      </w:r>
      <w:r>
        <w:rPr>
          <w:rFonts w:hint="eastAsia" w:hAnsi="宋体" w:cs="宋体"/>
          <w:b/>
          <w:bCs/>
          <w:szCs w:val="21"/>
        </w:rPr>
        <w:t xml:space="preserve">  </w:t>
      </w:r>
      <w:r>
        <w:rPr>
          <w:rFonts w:hAnsi="宋体" w:cs="宋体"/>
          <w:b/>
          <w:bCs/>
          <w:szCs w:val="21"/>
        </w:rPr>
        <w:t>17860601613</w:t>
      </w:r>
      <w:r>
        <w:rPr>
          <w:rFonts w:hint="eastAsia" w:hAnsi="宋体" w:cs="宋体"/>
          <w:b/>
          <w:bCs/>
          <w:szCs w:val="21"/>
        </w:rPr>
        <w:t xml:space="preserve">    孙丽君 18769796773</w:t>
      </w:r>
    </w:p>
    <w:p w14:paraId="4BB73B34">
      <w:pPr>
        <w:wordWrap w:val="0"/>
        <w:jc w:val="right"/>
        <w:rPr>
          <w:rFonts w:ascii="黑体" w:hAnsi="Calibri" w:eastAsia="黑体" w:cs="黑体"/>
          <w:sz w:val="28"/>
          <w:szCs w:val="28"/>
        </w:rPr>
      </w:pPr>
      <w:r>
        <w:rPr>
          <w:rFonts w:hint="eastAsia" w:ascii="黑体" w:hAnsi="Calibri" w:eastAsia="黑体" w:cs="黑体"/>
          <w:sz w:val="28"/>
          <w:szCs w:val="28"/>
          <w:lang w:bidi="ar"/>
        </w:rPr>
        <w:t xml:space="preserve">             </w:t>
      </w:r>
    </w:p>
    <w:p w14:paraId="6D8E0B8A">
      <w:pPr>
        <w:pStyle w:val="58"/>
        <w:widowControl/>
        <w:ind w:firstLine="0" w:firstLineChars="0"/>
        <w:jc w:val="center"/>
      </w:pPr>
    </w:p>
    <w:p w14:paraId="324BBDA5">
      <w:pPr>
        <w:pStyle w:val="58"/>
        <w:widowControl/>
        <w:ind w:firstLine="0" w:firstLineChars="0"/>
        <w:jc w:val="center"/>
        <w:rPr>
          <w:b/>
          <w:sz w:val="32"/>
          <w:szCs w:val="32"/>
        </w:rPr>
      </w:pPr>
    </w:p>
    <w:p w14:paraId="3EC61943">
      <w:pPr>
        <w:spacing w:before="156" w:beforeLines="50" w:after="156" w:afterLines="50"/>
        <w:jc w:val="center"/>
        <w:rPr>
          <w:rFonts w:ascii="宋体" w:hAnsi="宋体" w:cs="宋体"/>
          <w:b/>
          <w:sz w:val="48"/>
          <w:szCs w:val="48"/>
        </w:rPr>
      </w:pPr>
      <w:bookmarkStart w:id="36" w:name="_Toc262474472"/>
      <w:bookmarkStart w:id="37" w:name="_Toc262477091"/>
      <w:bookmarkStart w:id="38" w:name="_Toc262475853"/>
    </w:p>
    <w:bookmarkEnd w:id="36"/>
    <w:bookmarkEnd w:id="37"/>
    <w:bookmarkEnd w:id="38"/>
    <w:p w14:paraId="47A8D4DA">
      <w:pPr>
        <w:jc w:val="center"/>
        <w:rPr>
          <w:rFonts w:ascii="黑体" w:hAnsi="Calibri" w:eastAsia="黑体" w:cs="黑体"/>
          <w:sz w:val="44"/>
          <w:szCs w:val="44"/>
          <w:lang w:bidi="ar"/>
        </w:rPr>
      </w:pPr>
      <w:r>
        <w:rPr>
          <w:rFonts w:hint="eastAsia" w:ascii="黑体" w:hAnsi="Calibri" w:eastAsia="黑体" w:cs="黑体"/>
          <w:sz w:val="44"/>
          <w:szCs w:val="44"/>
          <w:lang w:bidi="ar"/>
        </w:rPr>
        <w:t>重汽汽车金融有限公司</w:t>
      </w:r>
    </w:p>
    <w:p w14:paraId="7692DCD9">
      <w:pPr>
        <w:jc w:val="center"/>
        <w:rPr>
          <w:rFonts w:ascii="黑体" w:hAnsi="Calibri" w:eastAsia="黑体" w:cs="黑体"/>
          <w:sz w:val="44"/>
          <w:szCs w:val="44"/>
          <w:lang w:bidi="ar"/>
        </w:rPr>
      </w:pPr>
      <w:r>
        <w:rPr>
          <w:rFonts w:hint="eastAsia" w:ascii="黑体" w:hAnsi="Calibri" w:eastAsia="黑体" w:cs="黑体"/>
          <w:sz w:val="44"/>
          <w:szCs w:val="44"/>
          <w:lang w:bidi="ar"/>
        </w:rPr>
        <w:t>2026年度财务报表及内部控制审计项目</w:t>
      </w:r>
    </w:p>
    <w:p w14:paraId="78D52ABF">
      <w:pPr>
        <w:jc w:val="center"/>
        <w:rPr>
          <w:rFonts w:ascii="黑体" w:hAnsi="宋体" w:eastAsia="黑体" w:cs="黑体"/>
          <w:b/>
          <w:sz w:val="52"/>
          <w:szCs w:val="52"/>
        </w:rPr>
      </w:pPr>
      <w:r>
        <w:rPr>
          <w:rFonts w:hint="eastAsia" w:ascii="黑体" w:hAnsi="宋体" w:eastAsia="黑体" w:cs="黑体"/>
          <w:b/>
          <w:sz w:val="52"/>
          <w:szCs w:val="52"/>
          <w:lang w:bidi="ar"/>
        </w:rPr>
        <w:t>招</w:t>
      </w:r>
    </w:p>
    <w:p w14:paraId="2EC9C761">
      <w:pPr>
        <w:jc w:val="center"/>
        <w:rPr>
          <w:rFonts w:ascii="黑体" w:hAnsi="宋体" w:eastAsia="黑体" w:cs="黑体"/>
          <w:b/>
          <w:sz w:val="52"/>
          <w:szCs w:val="52"/>
        </w:rPr>
      </w:pPr>
      <w:r>
        <w:rPr>
          <w:rFonts w:hint="eastAsia" w:ascii="黑体" w:hAnsi="宋体" w:eastAsia="黑体" w:cs="黑体"/>
          <w:b/>
          <w:sz w:val="52"/>
          <w:szCs w:val="52"/>
          <w:lang w:bidi="ar"/>
        </w:rPr>
        <w:t>标</w:t>
      </w:r>
    </w:p>
    <w:p w14:paraId="5E8C199B">
      <w:pPr>
        <w:jc w:val="center"/>
        <w:rPr>
          <w:rFonts w:ascii="黑体" w:hAnsi="宋体" w:eastAsia="黑体" w:cs="黑体"/>
          <w:b/>
          <w:sz w:val="52"/>
          <w:szCs w:val="52"/>
        </w:rPr>
      </w:pPr>
      <w:r>
        <w:rPr>
          <w:rFonts w:hint="eastAsia" w:ascii="黑体" w:hAnsi="宋体" w:eastAsia="黑体" w:cs="黑体"/>
          <w:b/>
          <w:sz w:val="52"/>
          <w:szCs w:val="52"/>
          <w:lang w:bidi="ar"/>
        </w:rPr>
        <w:t>文</w:t>
      </w:r>
    </w:p>
    <w:p w14:paraId="456D2751">
      <w:pPr>
        <w:jc w:val="center"/>
        <w:rPr>
          <w:rFonts w:ascii="黑体" w:hAnsi="Calibri" w:eastAsia="黑体" w:cs="黑体"/>
          <w:b/>
          <w:sz w:val="52"/>
          <w:szCs w:val="52"/>
        </w:rPr>
      </w:pPr>
      <w:r>
        <w:rPr>
          <w:rFonts w:hint="eastAsia" w:ascii="黑体" w:hAnsi="宋体" w:eastAsia="黑体" w:cs="黑体"/>
          <w:b/>
          <w:sz w:val="52"/>
          <w:szCs w:val="52"/>
          <w:lang w:bidi="ar"/>
        </w:rPr>
        <w:t>件</w:t>
      </w:r>
    </w:p>
    <w:p w14:paraId="3E9317D1">
      <w:pPr>
        <w:pStyle w:val="58"/>
        <w:widowControl/>
        <w:ind w:firstLine="0" w:firstLineChars="0"/>
        <w:jc w:val="center"/>
        <w:rPr>
          <w:b/>
          <w:sz w:val="32"/>
          <w:szCs w:val="32"/>
        </w:rPr>
      </w:pPr>
    </w:p>
    <w:p w14:paraId="6EA460E3">
      <w:pPr>
        <w:jc w:val="center"/>
        <w:rPr>
          <w:rFonts w:ascii="黑体" w:hAnsi="Calibri" w:eastAsia="黑体" w:cs="黑体"/>
          <w:sz w:val="44"/>
          <w:szCs w:val="44"/>
        </w:rPr>
      </w:pPr>
      <w:r>
        <w:rPr>
          <w:rFonts w:hint="eastAsia" w:ascii="黑体" w:hAnsi="Calibri" w:eastAsia="黑体" w:cs="黑体"/>
          <w:sz w:val="44"/>
          <w:szCs w:val="44"/>
          <w:lang w:bidi="ar"/>
        </w:rPr>
        <w:t>重汽汽车金融有限公司</w:t>
      </w:r>
    </w:p>
    <w:p w14:paraId="7F6CC201">
      <w:pPr>
        <w:spacing w:line="380" w:lineRule="exact"/>
        <w:jc w:val="center"/>
        <w:rPr>
          <w:rFonts w:ascii="黑体" w:hAnsi="Calibri" w:eastAsia="黑体" w:cs="黑体"/>
          <w:sz w:val="44"/>
          <w:szCs w:val="44"/>
        </w:rPr>
      </w:pPr>
    </w:p>
    <w:p w14:paraId="7A199C70">
      <w:pPr>
        <w:spacing w:before="156" w:beforeLines="50" w:line="380" w:lineRule="exact"/>
        <w:jc w:val="center"/>
        <w:rPr>
          <w:rFonts w:ascii="黑体" w:hAnsi="Calibri" w:eastAsia="黑体" w:cs="黑体"/>
          <w:sz w:val="44"/>
          <w:szCs w:val="44"/>
        </w:rPr>
      </w:pPr>
      <w:r>
        <w:rPr>
          <w:rFonts w:hint="eastAsia" w:ascii="黑体" w:hAnsi="Calibri" w:eastAsia="黑体" w:cs="黑体"/>
          <w:sz w:val="44"/>
          <w:szCs w:val="44"/>
          <w:lang w:bidi="ar"/>
        </w:rPr>
        <w:t>二〇二六年十月</w:t>
      </w:r>
    </w:p>
    <w:p w14:paraId="4A0F6C46">
      <w:pPr>
        <w:pStyle w:val="19"/>
        <w:widowControl/>
        <w:tabs>
          <w:tab w:val="right" w:leader="dot" w:pos="8705"/>
        </w:tabs>
        <w:jc w:val="center"/>
        <w:rPr>
          <w:lang w:bidi="ar"/>
        </w:rPr>
      </w:pPr>
      <w:r>
        <w:rPr>
          <w:color w:val="FF0000"/>
          <w:lang w:bidi="ar"/>
        </w:rPr>
        <w:br w:type="page"/>
      </w:r>
    </w:p>
    <w:sdt>
      <w:sdtPr>
        <w:rPr>
          <w:rFonts w:asciiTheme="minorHAnsi" w:hAnsiTheme="minorHAnsi" w:eastAsiaTheme="minorEastAsia" w:cstheme="minorBidi"/>
          <w:color w:val="auto"/>
          <w:kern w:val="2"/>
          <w:sz w:val="21"/>
          <w:szCs w:val="24"/>
          <w:lang w:val="zh-CN"/>
        </w:rPr>
        <w:id w:val="208618770"/>
        <w:docPartObj>
          <w:docPartGallery w:val="Table of Contents"/>
          <w:docPartUnique/>
        </w:docPartObj>
      </w:sdtPr>
      <w:sdtEndPr>
        <w:rPr>
          <w:rFonts w:ascii="Times New Roman" w:hAnsi="Times New Roman" w:eastAsia="宋体" w:cs="Times New Roman"/>
          <w:b/>
          <w:bCs/>
          <w:color w:val="auto"/>
          <w:kern w:val="2"/>
          <w:sz w:val="21"/>
          <w:szCs w:val="20"/>
          <w:lang w:val="zh-CN"/>
        </w:rPr>
      </w:sdtEndPr>
      <w:sdtContent>
        <w:p w14:paraId="12694EF2">
          <w:pPr>
            <w:pStyle w:val="85"/>
          </w:pPr>
          <w:r>
            <w:rPr>
              <w:lang w:val="zh-CN"/>
            </w:rPr>
            <w:t>目录</w:t>
          </w:r>
        </w:p>
        <w:p w14:paraId="4FF03D09">
          <w:pPr>
            <w:pStyle w:val="19"/>
            <w:tabs>
              <w:tab w:val="left" w:pos="219"/>
              <w:tab w:val="right" w:leader="dot" w:pos="8705"/>
            </w:tabs>
            <w:rPr>
              <w:rFonts w:asciiTheme="minorHAnsi" w:hAnsiTheme="minorHAnsi" w:eastAsiaTheme="minorEastAsia" w:cstheme="minorBidi"/>
              <w:b w:val="0"/>
              <w:caps w:val="0"/>
              <w:sz w:val="21"/>
              <w:szCs w:val="22"/>
            </w:rPr>
          </w:pPr>
          <w:r>
            <w:fldChar w:fldCharType="begin"/>
          </w:r>
          <w:r>
            <w:instrText xml:space="preserve"> TOC \o "1-3" \h \z \u </w:instrText>
          </w:r>
          <w:r>
            <w:fldChar w:fldCharType="separate"/>
          </w:r>
          <w:r>
            <w:fldChar w:fldCharType="begin"/>
          </w:r>
          <w:r>
            <w:instrText xml:space="preserve"> HYPERLINK \l "_Toc242533923" </w:instrText>
          </w:r>
          <w:r>
            <w:fldChar w:fldCharType="separate"/>
          </w:r>
          <w:r>
            <w:rPr>
              <w:rStyle w:val="30"/>
              <w:rFonts w:cs="宋体"/>
            </w:rPr>
            <w:t>1.</w:t>
          </w:r>
          <w:r>
            <w:rPr>
              <w:rFonts w:asciiTheme="minorHAnsi" w:hAnsiTheme="minorHAnsi" w:eastAsiaTheme="minorEastAsia" w:cstheme="minorBidi"/>
              <w:b w:val="0"/>
              <w:caps w:val="0"/>
              <w:sz w:val="21"/>
              <w:szCs w:val="22"/>
            </w:rPr>
            <w:tab/>
          </w:r>
          <w:r>
            <w:rPr>
              <w:rStyle w:val="30"/>
              <w:rFonts w:hint="eastAsia"/>
            </w:rPr>
            <w:t>项目名称</w:t>
          </w:r>
          <w:r>
            <w:tab/>
          </w:r>
          <w:r>
            <w:fldChar w:fldCharType="begin"/>
          </w:r>
          <w:r>
            <w:instrText xml:space="preserve"> PAGEREF _Toc242533923 \h </w:instrText>
          </w:r>
          <w:r>
            <w:fldChar w:fldCharType="separate"/>
          </w:r>
          <w:r>
            <w:t>1</w:t>
          </w:r>
          <w:r>
            <w:fldChar w:fldCharType="end"/>
          </w:r>
          <w:r>
            <w:fldChar w:fldCharType="end"/>
          </w:r>
        </w:p>
        <w:p w14:paraId="65A54C3B">
          <w:pPr>
            <w:pStyle w:val="19"/>
            <w:tabs>
              <w:tab w:val="left" w:pos="219"/>
              <w:tab w:val="right" w:leader="dot" w:pos="8705"/>
            </w:tabs>
            <w:rPr>
              <w:rFonts w:asciiTheme="minorHAnsi" w:hAnsiTheme="minorHAnsi" w:eastAsiaTheme="minorEastAsia" w:cstheme="minorBidi"/>
              <w:b w:val="0"/>
              <w:caps w:val="0"/>
              <w:sz w:val="21"/>
              <w:szCs w:val="22"/>
            </w:rPr>
          </w:pPr>
          <w:r>
            <w:fldChar w:fldCharType="begin"/>
          </w:r>
          <w:r>
            <w:instrText xml:space="preserve"> HYPERLINK \l "_Toc242533924" </w:instrText>
          </w:r>
          <w:r>
            <w:fldChar w:fldCharType="separate"/>
          </w:r>
          <w:r>
            <w:rPr>
              <w:rStyle w:val="30"/>
              <w:rFonts w:cs="宋体"/>
            </w:rPr>
            <w:t>2.</w:t>
          </w:r>
          <w:r>
            <w:rPr>
              <w:rFonts w:asciiTheme="minorHAnsi" w:hAnsiTheme="minorHAnsi" w:eastAsiaTheme="minorEastAsia" w:cstheme="minorBidi"/>
              <w:b w:val="0"/>
              <w:caps w:val="0"/>
              <w:sz w:val="21"/>
              <w:szCs w:val="22"/>
            </w:rPr>
            <w:tab/>
          </w:r>
          <w:r>
            <w:rPr>
              <w:rStyle w:val="30"/>
              <w:rFonts w:hint="eastAsia" w:cs="宋体"/>
            </w:rPr>
            <w:t>招标内容及形式</w:t>
          </w:r>
          <w:r>
            <w:tab/>
          </w:r>
          <w:r>
            <w:fldChar w:fldCharType="begin"/>
          </w:r>
          <w:r>
            <w:instrText xml:space="preserve"> PAGEREF _Toc242533924 \h </w:instrText>
          </w:r>
          <w:r>
            <w:fldChar w:fldCharType="separate"/>
          </w:r>
          <w:r>
            <w:t>2</w:t>
          </w:r>
          <w:r>
            <w:fldChar w:fldCharType="end"/>
          </w:r>
          <w:r>
            <w:fldChar w:fldCharType="end"/>
          </w:r>
        </w:p>
        <w:p w14:paraId="7F00F65C">
          <w:pPr>
            <w:pStyle w:val="21"/>
            <w:tabs>
              <w:tab w:val="right" w:leader="dot" w:pos="8705"/>
            </w:tabs>
            <w:rPr>
              <w:rFonts w:asciiTheme="minorHAnsi" w:hAnsiTheme="minorHAnsi" w:eastAsiaTheme="minorEastAsia" w:cstheme="minorBidi"/>
              <w:smallCaps w:val="0"/>
              <w:sz w:val="21"/>
              <w:szCs w:val="22"/>
            </w:rPr>
          </w:pPr>
          <w:r>
            <w:fldChar w:fldCharType="begin"/>
          </w:r>
          <w:r>
            <w:instrText xml:space="preserve"> HYPERLINK \l "_Toc242533925" </w:instrText>
          </w:r>
          <w:r>
            <w:fldChar w:fldCharType="separate"/>
          </w:r>
          <w:r>
            <w:rPr>
              <w:rStyle w:val="30"/>
              <w:bCs/>
            </w:rPr>
            <w:t>2.1</w:t>
          </w:r>
          <w:r>
            <w:rPr>
              <w:rStyle w:val="30"/>
              <w:rFonts w:hint="eastAsia" w:cs="宋体"/>
              <w:bCs/>
            </w:rPr>
            <w:t>招标内容</w:t>
          </w:r>
          <w:r>
            <w:tab/>
          </w:r>
          <w:r>
            <w:fldChar w:fldCharType="begin"/>
          </w:r>
          <w:r>
            <w:instrText xml:space="preserve"> PAGEREF _Toc242533925 \h </w:instrText>
          </w:r>
          <w:r>
            <w:fldChar w:fldCharType="separate"/>
          </w:r>
          <w:r>
            <w:t>2</w:t>
          </w:r>
          <w:r>
            <w:fldChar w:fldCharType="end"/>
          </w:r>
          <w:r>
            <w:fldChar w:fldCharType="end"/>
          </w:r>
        </w:p>
        <w:p w14:paraId="49376F69">
          <w:pPr>
            <w:pStyle w:val="21"/>
            <w:tabs>
              <w:tab w:val="right" w:leader="dot" w:pos="8705"/>
            </w:tabs>
            <w:rPr>
              <w:rFonts w:asciiTheme="minorHAnsi" w:hAnsiTheme="minorHAnsi" w:eastAsiaTheme="minorEastAsia" w:cstheme="minorBidi"/>
              <w:smallCaps w:val="0"/>
              <w:sz w:val="21"/>
              <w:szCs w:val="22"/>
            </w:rPr>
          </w:pPr>
          <w:r>
            <w:fldChar w:fldCharType="begin"/>
          </w:r>
          <w:r>
            <w:instrText xml:space="preserve"> HYPERLINK \l "_Toc242533926" </w:instrText>
          </w:r>
          <w:r>
            <w:fldChar w:fldCharType="separate"/>
          </w:r>
          <w:r>
            <w:rPr>
              <w:rStyle w:val="30"/>
              <w:bCs/>
            </w:rPr>
            <w:t>2.2</w:t>
          </w:r>
          <w:r>
            <w:rPr>
              <w:rStyle w:val="30"/>
              <w:rFonts w:hint="eastAsia" w:cs="宋体"/>
              <w:bCs/>
            </w:rPr>
            <w:t>招标形式</w:t>
          </w:r>
          <w:r>
            <w:tab/>
          </w:r>
          <w:r>
            <w:fldChar w:fldCharType="begin"/>
          </w:r>
          <w:r>
            <w:instrText xml:space="preserve"> PAGEREF _Toc242533926 \h </w:instrText>
          </w:r>
          <w:r>
            <w:fldChar w:fldCharType="separate"/>
          </w:r>
          <w:r>
            <w:t>2</w:t>
          </w:r>
          <w:r>
            <w:fldChar w:fldCharType="end"/>
          </w:r>
          <w:r>
            <w:fldChar w:fldCharType="end"/>
          </w:r>
        </w:p>
        <w:p w14:paraId="4BB3545C">
          <w:pPr>
            <w:pStyle w:val="21"/>
            <w:tabs>
              <w:tab w:val="right" w:leader="dot" w:pos="8705"/>
            </w:tabs>
            <w:rPr>
              <w:rFonts w:asciiTheme="minorHAnsi" w:hAnsiTheme="minorHAnsi" w:eastAsiaTheme="minorEastAsia" w:cstheme="minorBidi"/>
              <w:smallCaps w:val="0"/>
              <w:sz w:val="21"/>
              <w:szCs w:val="22"/>
            </w:rPr>
          </w:pPr>
          <w:r>
            <w:fldChar w:fldCharType="begin"/>
          </w:r>
          <w:r>
            <w:instrText xml:space="preserve"> HYPERLINK \l "_Toc242533927" </w:instrText>
          </w:r>
          <w:r>
            <w:fldChar w:fldCharType="separate"/>
          </w:r>
          <w:r>
            <w:rPr>
              <w:rStyle w:val="30"/>
              <w:bCs/>
            </w:rPr>
            <w:t>2.3</w:t>
          </w:r>
          <w:r>
            <w:rPr>
              <w:rStyle w:val="30"/>
              <w:rFonts w:hint="eastAsia"/>
              <w:bCs/>
            </w:rPr>
            <w:t>议程安排</w:t>
          </w:r>
          <w:r>
            <w:tab/>
          </w:r>
          <w:r>
            <w:fldChar w:fldCharType="begin"/>
          </w:r>
          <w:r>
            <w:instrText xml:space="preserve"> PAGEREF _Toc242533927 \h </w:instrText>
          </w:r>
          <w:r>
            <w:fldChar w:fldCharType="separate"/>
          </w:r>
          <w:r>
            <w:t>2</w:t>
          </w:r>
          <w:r>
            <w:fldChar w:fldCharType="end"/>
          </w:r>
          <w:r>
            <w:fldChar w:fldCharType="end"/>
          </w:r>
        </w:p>
        <w:p w14:paraId="7B925263">
          <w:pPr>
            <w:pStyle w:val="19"/>
            <w:tabs>
              <w:tab w:val="left" w:pos="219"/>
              <w:tab w:val="right" w:leader="dot" w:pos="8705"/>
            </w:tabs>
            <w:rPr>
              <w:rFonts w:asciiTheme="minorHAnsi" w:hAnsiTheme="minorHAnsi" w:eastAsiaTheme="minorEastAsia" w:cstheme="minorBidi"/>
              <w:b w:val="0"/>
              <w:caps w:val="0"/>
              <w:sz w:val="21"/>
              <w:szCs w:val="22"/>
            </w:rPr>
          </w:pPr>
          <w:r>
            <w:fldChar w:fldCharType="begin"/>
          </w:r>
          <w:r>
            <w:instrText xml:space="preserve"> HYPERLINK \l "_Toc242533928" </w:instrText>
          </w:r>
          <w:r>
            <w:fldChar w:fldCharType="separate"/>
          </w:r>
          <w:r>
            <w:rPr>
              <w:rStyle w:val="30"/>
              <w:rFonts w:cs="宋体"/>
            </w:rPr>
            <w:t>3.</w:t>
          </w:r>
          <w:r>
            <w:rPr>
              <w:rFonts w:asciiTheme="minorHAnsi" w:hAnsiTheme="minorHAnsi" w:eastAsiaTheme="minorEastAsia" w:cstheme="minorBidi"/>
              <w:b w:val="0"/>
              <w:caps w:val="0"/>
              <w:sz w:val="21"/>
              <w:szCs w:val="22"/>
            </w:rPr>
            <w:tab/>
          </w:r>
          <w:r>
            <w:rPr>
              <w:rStyle w:val="30"/>
              <w:rFonts w:hint="eastAsia" w:cs="宋体"/>
            </w:rPr>
            <w:t>有关说明</w:t>
          </w:r>
          <w:r>
            <w:tab/>
          </w:r>
          <w:r>
            <w:fldChar w:fldCharType="begin"/>
          </w:r>
          <w:r>
            <w:instrText xml:space="preserve"> PAGEREF _Toc242533928 \h </w:instrText>
          </w:r>
          <w:r>
            <w:fldChar w:fldCharType="separate"/>
          </w:r>
          <w:r>
            <w:t>3</w:t>
          </w:r>
          <w:r>
            <w:fldChar w:fldCharType="end"/>
          </w:r>
          <w:r>
            <w:fldChar w:fldCharType="end"/>
          </w:r>
        </w:p>
        <w:p w14:paraId="2D12459B">
          <w:pPr>
            <w:pStyle w:val="21"/>
            <w:tabs>
              <w:tab w:val="right" w:leader="dot" w:pos="8705"/>
            </w:tabs>
            <w:rPr>
              <w:rFonts w:asciiTheme="minorHAnsi" w:hAnsiTheme="minorHAnsi" w:eastAsiaTheme="minorEastAsia" w:cstheme="minorBidi"/>
              <w:smallCaps w:val="0"/>
              <w:sz w:val="21"/>
              <w:szCs w:val="22"/>
            </w:rPr>
          </w:pPr>
          <w:r>
            <w:fldChar w:fldCharType="begin"/>
          </w:r>
          <w:r>
            <w:instrText xml:space="preserve"> HYPERLINK \l "_Toc242533929" </w:instrText>
          </w:r>
          <w:r>
            <w:fldChar w:fldCharType="separate"/>
          </w:r>
          <w:r>
            <w:rPr>
              <w:rStyle w:val="30"/>
              <w:bCs/>
            </w:rPr>
            <w:t>3.1</w:t>
          </w:r>
          <w:r>
            <w:rPr>
              <w:rStyle w:val="30"/>
              <w:rFonts w:hint="eastAsia"/>
              <w:bCs/>
            </w:rPr>
            <w:t>总则</w:t>
          </w:r>
          <w:r>
            <w:tab/>
          </w:r>
          <w:r>
            <w:fldChar w:fldCharType="begin"/>
          </w:r>
          <w:r>
            <w:instrText xml:space="preserve"> PAGEREF _Toc242533929 \h </w:instrText>
          </w:r>
          <w:r>
            <w:fldChar w:fldCharType="separate"/>
          </w:r>
          <w:r>
            <w:t>3</w:t>
          </w:r>
          <w:r>
            <w:fldChar w:fldCharType="end"/>
          </w:r>
          <w:r>
            <w:fldChar w:fldCharType="end"/>
          </w:r>
        </w:p>
        <w:p w14:paraId="49E93828">
          <w:pPr>
            <w:pStyle w:val="21"/>
            <w:tabs>
              <w:tab w:val="right" w:leader="dot" w:pos="8705"/>
            </w:tabs>
            <w:rPr>
              <w:rFonts w:asciiTheme="minorHAnsi" w:hAnsiTheme="minorHAnsi" w:eastAsiaTheme="minorEastAsia" w:cstheme="minorBidi"/>
              <w:smallCaps w:val="0"/>
              <w:sz w:val="21"/>
              <w:szCs w:val="22"/>
            </w:rPr>
          </w:pPr>
          <w:r>
            <w:fldChar w:fldCharType="begin"/>
          </w:r>
          <w:r>
            <w:instrText xml:space="preserve"> HYPERLINK \l "_Toc242533931" </w:instrText>
          </w:r>
          <w:r>
            <w:fldChar w:fldCharType="separate"/>
          </w:r>
          <w:r>
            <w:rPr>
              <w:rStyle w:val="30"/>
              <w:bCs/>
            </w:rPr>
            <w:t>3.2</w:t>
          </w:r>
          <w:r>
            <w:rPr>
              <w:rStyle w:val="30"/>
              <w:rFonts w:hint="eastAsia"/>
              <w:bCs/>
            </w:rPr>
            <w:t>定义</w:t>
          </w:r>
          <w:r>
            <w:tab/>
          </w:r>
          <w:r>
            <w:fldChar w:fldCharType="begin"/>
          </w:r>
          <w:r>
            <w:instrText xml:space="preserve"> PAGEREF _Toc242533931 \h </w:instrText>
          </w:r>
          <w:r>
            <w:fldChar w:fldCharType="separate"/>
          </w:r>
          <w:r>
            <w:t>3</w:t>
          </w:r>
          <w:r>
            <w:fldChar w:fldCharType="end"/>
          </w:r>
          <w:r>
            <w:fldChar w:fldCharType="end"/>
          </w:r>
          <w:r>
            <w:fldChar w:fldCharType="begin"/>
          </w:r>
          <w:r>
            <w:instrText xml:space="preserve"> HYPERLINK \l "_Toc242533932" </w:instrText>
          </w:r>
          <w:r>
            <w:fldChar w:fldCharType="separate"/>
          </w:r>
          <w:r>
            <w:fldChar w:fldCharType="end"/>
          </w:r>
        </w:p>
        <w:p w14:paraId="1561EB37">
          <w:pPr>
            <w:pStyle w:val="21"/>
            <w:tabs>
              <w:tab w:val="right" w:leader="dot" w:pos="8705"/>
            </w:tabs>
            <w:rPr>
              <w:rFonts w:asciiTheme="minorHAnsi" w:hAnsiTheme="minorHAnsi" w:eastAsiaTheme="minorEastAsia" w:cstheme="minorBidi"/>
              <w:smallCaps w:val="0"/>
              <w:sz w:val="21"/>
              <w:szCs w:val="22"/>
            </w:rPr>
          </w:pPr>
          <w:r>
            <w:fldChar w:fldCharType="begin"/>
          </w:r>
          <w:r>
            <w:instrText xml:space="preserve"> HYPERLINK \l "_Toc242533936" </w:instrText>
          </w:r>
          <w:r>
            <w:fldChar w:fldCharType="separate"/>
          </w:r>
          <w:r>
            <w:rPr>
              <w:rStyle w:val="30"/>
              <w:bCs/>
            </w:rPr>
            <w:t>3.3</w:t>
          </w:r>
          <w:r>
            <w:rPr>
              <w:rStyle w:val="30"/>
              <w:rFonts w:hint="eastAsia"/>
              <w:bCs/>
            </w:rPr>
            <w:t>项目实施方式</w:t>
          </w:r>
          <w:r>
            <w:tab/>
          </w:r>
          <w:r>
            <w:fldChar w:fldCharType="begin"/>
          </w:r>
          <w:r>
            <w:instrText xml:space="preserve"> PAGEREF _Toc242533936 \h </w:instrText>
          </w:r>
          <w:r>
            <w:fldChar w:fldCharType="separate"/>
          </w:r>
          <w:r>
            <w:t>3</w:t>
          </w:r>
          <w:r>
            <w:fldChar w:fldCharType="end"/>
          </w:r>
          <w:r>
            <w:fldChar w:fldCharType="end"/>
          </w:r>
        </w:p>
        <w:p w14:paraId="3DE6102A">
          <w:pPr>
            <w:pStyle w:val="21"/>
            <w:tabs>
              <w:tab w:val="right" w:leader="dot" w:pos="8705"/>
            </w:tabs>
            <w:rPr>
              <w:rFonts w:asciiTheme="minorHAnsi" w:hAnsiTheme="minorHAnsi" w:eastAsiaTheme="minorEastAsia" w:cstheme="minorBidi"/>
              <w:smallCaps w:val="0"/>
              <w:sz w:val="21"/>
              <w:szCs w:val="22"/>
            </w:rPr>
          </w:pPr>
          <w:r>
            <w:fldChar w:fldCharType="begin"/>
          </w:r>
          <w:r>
            <w:instrText xml:space="preserve"> HYPERLINK \l "_Toc242533938" </w:instrText>
          </w:r>
          <w:r>
            <w:fldChar w:fldCharType="separate"/>
          </w:r>
          <w:r>
            <w:rPr>
              <w:rStyle w:val="30"/>
              <w:bCs/>
            </w:rPr>
            <w:t>3.4</w:t>
          </w:r>
          <w:r>
            <w:rPr>
              <w:rStyle w:val="30"/>
              <w:rFonts w:hint="eastAsia"/>
              <w:bCs/>
            </w:rPr>
            <w:t>投标人须知</w:t>
          </w:r>
          <w:r>
            <w:tab/>
          </w:r>
          <w:r>
            <w:fldChar w:fldCharType="begin"/>
          </w:r>
          <w:r>
            <w:instrText xml:space="preserve"> PAGEREF _Toc242533938 \h </w:instrText>
          </w:r>
          <w:r>
            <w:fldChar w:fldCharType="separate"/>
          </w:r>
          <w:r>
            <w:t>3</w:t>
          </w:r>
          <w:r>
            <w:fldChar w:fldCharType="end"/>
          </w:r>
          <w:r>
            <w:fldChar w:fldCharType="end"/>
          </w:r>
        </w:p>
        <w:p w14:paraId="784FDC4F">
          <w:pPr>
            <w:pStyle w:val="19"/>
            <w:tabs>
              <w:tab w:val="left" w:pos="219"/>
              <w:tab w:val="right" w:leader="dot" w:pos="8705"/>
            </w:tabs>
            <w:rPr>
              <w:rFonts w:asciiTheme="minorHAnsi" w:hAnsiTheme="minorHAnsi" w:eastAsiaTheme="minorEastAsia" w:cstheme="minorBidi"/>
              <w:b w:val="0"/>
              <w:caps w:val="0"/>
              <w:sz w:val="21"/>
              <w:szCs w:val="22"/>
            </w:rPr>
          </w:pPr>
          <w:r>
            <w:fldChar w:fldCharType="begin"/>
          </w:r>
          <w:r>
            <w:instrText xml:space="preserve"> HYPERLINK \l "_Toc242533951" </w:instrText>
          </w:r>
          <w:r>
            <w:fldChar w:fldCharType="separate"/>
          </w:r>
          <w:r>
            <w:rPr>
              <w:rStyle w:val="30"/>
            </w:rPr>
            <w:t>4.</w:t>
          </w:r>
          <w:r>
            <w:rPr>
              <w:rFonts w:asciiTheme="minorHAnsi" w:hAnsiTheme="minorHAnsi" w:eastAsiaTheme="minorEastAsia" w:cstheme="minorBidi"/>
              <w:b w:val="0"/>
              <w:caps w:val="0"/>
              <w:sz w:val="21"/>
              <w:szCs w:val="22"/>
            </w:rPr>
            <w:tab/>
          </w:r>
          <w:r>
            <w:rPr>
              <w:rStyle w:val="30"/>
              <w:rFonts w:hint="eastAsia"/>
            </w:rPr>
            <w:t>交货及付款</w:t>
          </w:r>
          <w:r>
            <w:tab/>
          </w:r>
          <w:r>
            <w:fldChar w:fldCharType="begin"/>
          </w:r>
          <w:r>
            <w:instrText xml:space="preserve"> PAGEREF _Toc242533951 \h </w:instrText>
          </w:r>
          <w:r>
            <w:fldChar w:fldCharType="separate"/>
          </w:r>
          <w:r>
            <w:t>5</w:t>
          </w:r>
          <w:r>
            <w:fldChar w:fldCharType="end"/>
          </w:r>
          <w:r>
            <w:fldChar w:fldCharType="end"/>
          </w:r>
        </w:p>
        <w:p w14:paraId="6EA3CA4B">
          <w:pPr>
            <w:pStyle w:val="21"/>
            <w:tabs>
              <w:tab w:val="right" w:leader="dot" w:pos="8705"/>
            </w:tabs>
            <w:rPr>
              <w:rFonts w:asciiTheme="minorHAnsi" w:hAnsiTheme="minorHAnsi" w:eastAsiaTheme="minorEastAsia" w:cstheme="minorBidi"/>
              <w:smallCaps w:val="0"/>
              <w:sz w:val="21"/>
              <w:szCs w:val="22"/>
            </w:rPr>
          </w:pPr>
          <w:r>
            <w:fldChar w:fldCharType="begin"/>
          </w:r>
          <w:r>
            <w:instrText xml:space="preserve"> HYPERLINK \l "_Toc242533952" </w:instrText>
          </w:r>
          <w:r>
            <w:fldChar w:fldCharType="separate"/>
          </w:r>
          <w:r>
            <w:rPr>
              <w:rStyle w:val="30"/>
              <w:bCs/>
            </w:rPr>
            <w:t>4.1</w:t>
          </w:r>
          <w:r>
            <w:rPr>
              <w:rStyle w:val="30"/>
              <w:rFonts w:hint="eastAsia"/>
              <w:bCs/>
            </w:rPr>
            <w:t>项目实施时间</w:t>
          </w:r>
          <w:r>
            <w:tab/>
          </w:r>
          <w:r>
            <w:fldChar w:fldCharType="begin"/>
          </w:r>
          <w:r>
            <w:instrText xml:space="preserve"> PAGEREF _Toc242533952 \h </w:instrText>
          </w:r>
          <w:r>
            <w:fldChar w:fldCharType="separate"/>
          </w:r>
          <w:r>
            <w:t>5</w:t>
          </w:r>
          <w:r>
            <w:fldChar w:fldCharType="end"/>
          </w:r>
          <w:r>
            <w:fldChar w:fldCharType="end"/>
          </w:r>
        </w:p>
        <w:p w14:paraId="081F60AE">
          <w:pPr>
            <w:pStyle w:val="21"/>
            <w:tabs>
              <w:tab w:val="right" w:leader="dot" w:pos="8705"/>
            </w:tabs>
            <w:rPr>
              <w:rFonts w:asciiTheme="minorHAnsi" w:hAnsiTheme="minorHAnsi" w:eastAsiaTheme="minorEastAsia" w:cstheme="minorBidi"/>
              <w:smallCaps w:val="0"/>
              <w:sz w:val="21"/>
              <w:szCs w:val="22"/>
            </w:rPr>
          </w:pPr>
          <w:r>
            <w:fldChar w:fldCharType="begin"/>
          </w:r>
          <w:r>
            <w:instrText xml:space="preserve"> HYPERLINK \l "_Toc242533953" </w:instrText>
          </w:r>
          <w:r>
            <w:fldChar w:fldCharType="separate"/>
          </w:r>
          <w:r>
            <w:rPr>
              <w:rStyle w:val="30"/>
              <w:bCs/>
            </w:rPr>
            <w:t>4.2</w:t>
          </w:r>
          <w:r>
            <w:rPr>
              <w:rStyle w:val="30"/>
              <w:rFonts w:hint="eastAsia"/>
              <w:bCs/>
            </w:rPr>
            <w:t>实施地点</w:t>
          </w:r>
          <w:r>
            <w:tab/>
          </w:r>
          <w:r>
            <w:fldChar w:fldCharType="begin"/>
          </w:r>
          <w:r>
            <w:instrText xml:space="preserve"> PAGEREF _Toc242533953 \h </w:instrText>
          </w:r>
          <w:r>
            <w:fldChar w:fldCharType="separate"/>
          </w:r>
          <w:r>
            <w:t>5</w:t>
          </w:r>
          <w:r>
            <w:fldChar w:fldCharType="end"/>
          </w:r>
          <w:r>
            <w:fldChar w:fldCharType="end"/>
          </w:r>
        </w:p>
        <w:p w14:paraId="6D7C1D04">
          <w:pPr>
            <w:pStyle w:val="21"/>
            <w:tabs>
              <w:tab w:val="right" w:leader="dot" w:pos="8705"/>
            </w:tabs>
            <w:rPr>
              <w:rFonts w:asciiTheme="minorHAnsi" w:hAnsiTheme="minorHAnsi" w:eastAsiaTheme="minorEastAsia" w:cstheme="minorBidi"/>
              <w:smallCaps w:val="0"/>
              <w:sz w:val="21"/>
              <w:szCs w:val="22"/>
            </w:rPr>
          </w:pPr>
          <w:r>
            <w:fldChar w:fldCharType="begin"/>
          </w:r>
          <w:r>
            <w:instrText xml:space="preserve"> HYPERLINK \l "_Toc242533954" </w:instrText>
          </w:r>
          <w:r>
            <w:fldChar w:fldCharType="separate"/>
          </w:r>
          <w:r>
            <w:rPr>
              <w:rStyle w:val="30"/>
              <w:bCs/>
            </w:rPr>
            <w:t>4.3</w:t>
          </w:r>
          <w:r>
            <w:rPr>
              <w:rStyle w:val="30"/>
              <w:rFonts w:hint="eastAsia"/>
              <w:bCs/>
            </w:rPr>
            <w:t>交货方式</w:t>
          </w:r>
          <w:r>
            <w:tab/>
          </w:r>
          <w:r>
            <w:fldChar w:fldCharType="begin"/>
          </w:r>
          <w:r>
            <w:instrText xml:space="preserve"> PAGEREF _Toc242533954 \h </w:instrText>
          </w:r>
          <w:r>
            <w:fldChar w:fldCharType="separate"/>
          </w:r>
          <w:r>
            <w:t>5</w:t>
          </w:r>
          <w:r>
            <w:fldChar w:fldCharType="end"/>
          </w:r>
          <w:r>
            <w:fldChar w:fldCharType="end"/>
          </w:r>
        </w:p>
        <w:p w14:paraId="5A8E2D29">
          <w:pPr>
            <w:pStyle w:val="21"/>
            <w:tabs>
              <w:tab w:val="right" w:leader="dot" w:pos="8705"/>
            </w:tabs>
            <w:rPr>
              <w:rFonts w:asciiTheme="minorHAnsi" w:hAnsiTheme="minorHAnsi" w:eastAsiaTheme="minorEastAsia" w:cstheme="minorBidi"/>
              <w:smallCaps w:val="0"/>
              <w:sz w:val="21"/>
              <w:szCs w:val="22"/>
            </w:rPr>
          </w:pPr>
          <w:r>
            <w:fldChar w:fldCharType="begin"/>
          </w:r>
          <w:r>
            <w:instrText xml:space="preserve"> HYPERLINK \l "_Toc242533955" </w:instrText>
          </w:r>
          <w:r>
            <w:fldChar w:fldCharType="separate"/>
          </w:r>
          <w:r>
            <w:rPr>
              <w:rStyle w:val="30"/>
              <w:bCs/>
            </w:rPr>
            <w:t>4.4</w:t>
          </w:r>
          <w:r>
            <w:rPr>
              <w:rStyle w:val="30"/>
              <w:rFonts w:hint="eastAsia"/>
              <w:bCs/>
            </w:rPr>
            <w:t>付款方式</w:t>
          </w:r>
          <w:r>
            <w:tab/>
          </w:r>
          <w:r>
            <w:fldChar w:fldCharType="begin"/>
          </w:r>
          <w:r>
            <w:instrText xml:space="preserve"> PAGEREF _Toc242533955 \h </w:instrText>
          </w:r>
          <w:r>
            <w:fldChar w:fldCharType="separate"/>
          </w:r>
          <w:r>
            <w:t>5</w:t>
          </w:r>
          <w:r>
            <w:fldChar w:fldCharType="end"/>
          </w:r>
          <w:r>
            <w:fldChar w:fldCharType="end"/>
          </w:r>
        </w:p>
        <w:p w14:paraId="1C9CDFDF">
          <w:pPr>
            <w:pStyle w:val="19"/>
            <w:tabs>
              <w:tab w:val="left" w:pos="219"/>
              <w:tab w:val="right" w:leader="dot" w:pos="8705"/>
            </w:tabs>
            <w:rPr>
              <w:rFonts w:asciiTheme="minorHAnsi" w:hAnsiTheme="minorHAnsi" w:eastAsiaTheme="minorEastAsia" w:cstheme="minorBidi"/>
              <w:b w:val="0"/>
              <w:caps w:val="0"/>
              <w:sz w:val="21"/>
              <w:szCs w:val="22"/>
            </w:rPr>
          </w:pPr>
          <w:r>
            <w:fldChar w:fldCharType="begin"/>
          </w:r>
          <w:r>
            <w:instrText xml:space="preserve"> HYPERLINK \l "_Toc242533956" </w:instrText>
          </w:r>
          <w:r>
            <w:fldChar w:fldCharType="separate"/>
          </w:r>
          <w:r>
            <w:rPr>
              <w:rStyle w:val="30"/>
            </w:rPr>
            <w:t>5.</w:t>
          </w:r>
          <w:r>
            <w:rPr>
              <w:rFonts w:asciiTheme="minorHAnsi" w:hAnsiTheme="minorHAnsi" w:eastAsiaTheme="minorEastAsia" w:cstheme="minorBidi"/>
              <w:b w:val="0"/>
              <w:caps w:val="0"/>
              <w:sz w:val="21"/>
              <w:szCs w:val="22"/>
            </w:rPr>
            <w:tab/>
          </w:r>
          <w:r>
            <w:rPr>
              <w:rStyle w:val="30"/>
              <w:rFonts w:hint="eastAsia"/>
            </w:rPr>
            <w:t>投标说明</w:t>
          </w:r>
          <w:r>
            <w:tab/>
          </w:r>
          <w:r>
            <w:fldChar w:fldCharType="begin"/>
          </w:r>
          <w:r>
            <w:instrText xml:space="preserve"> PAGEREF _Toc242533956 \h </w:instrText>
          </w:r>
          <w:r>
            <w:fldChar w:fldCharType="separate"/>
          </w:r>
          <w:r>
            <w:t>6</w:t>
          </w:r>
          <w:r>
            <w:fldChar w:fldCharType="end"/>
          </w:r>
          <w:r>
            <w:fldChar w:fldCharType="end"/>
          </w:r>
        </w:p>
        <w:p w14:paraId="1A386D85">
          <w:pPr>
            <w:pStyle w:val="21"/>
            <w:tabs>
              <w:tab w:val="right" w:leader="dot" w:pos="8705"/>
            </w:tabs>
            <w:rPr>
              <w:rFonts w:asciiTheme="minorHAnsi" w:hAnsiTheme="minorHAnsi" w:eastAsiaTheme="minorEastAsia" w:cstheme="minorBidi"/>
              <w:smallCaps w:val="0"/>
              <w:sz w:val="21"/>
              <w:szCs w:val="22"/>
            </w:rPr>
          </w:pPr>
          <w:r>
            <w:fldChar w:fldCharType="begin"/>
          </w:r>
          <w:r>
            <w:instrText xml:space="preserve"> HYPERLINK \l "_Toc242533957" </w:instrText>
          </w:r>
          <w:r>
            <w:fldChar w:fldCharType="separate"/>
          </w:r>
          <w:r>
            <w:rPr>
              <w:rStyle w:val="30"/>
            </w:rPr>
            <w:t>5.1</w:t>
          </w:r>
          <w:r>
            <w:rPr>
              <w:rStyle w:val="30"/>
              <w:rFonts w:hint="eastAsia"/>
            </w:rPr>
            <w:t>招标要求</w:t>
          </w:r>
          <w:r>
            <w:tab/>
          </w:r>
          <w:r>
            <w:fldChar w:fldCharType="begin"/>
          </w:r>
          <w:r>
            <w:instrText xml:space="preserve"> PAGEREF _Toc242533957 \h </w:instrText>
          </w:r>
          <w:r>
            <w:fldChar w:fldCharType="separate"/>
          </w:r>
          <w:r>
            <w:t>6</w:t>
          </w:r>
          <w:r>
            <w:fldChar w:fldCharType="end"/>
          </w:r>
          <w:r>
            <w:fldChar w:fldCharType="end"/>
          </w:r>
        </w:p>
        <w:p w14:paraId="6AB7C8A4">
          <w:pPr>
            <w:pStyle w:val="21"/>
            <w:tabs>
              <w:tab w:val="right" w:leader="dot" w:pos="8705"/>
            </w:tabs>
            <w:rPr>
              <w:rFonts w:asciiTheme="minorHAnsi" w:hAnsiTheme="minorHAnsi" w:eastAsiaTheme="minorEastAsia" w:cstheme="minorBidi"/>
              <w:smallCaps w:val="0"/>
              <w:sz w:val="21"/>
              <w:szCs w:val="22"/>
            </w:rPr>
          </w:pPr>
          <w:r>
            <w:fldChar w:fldCharType="begin"/>
          </w:r>
          <w:r>
            <w:instrText xml:space="preserve"> HYPERLINK \l "_Toc242533958" </w:instrText>
          </w:r>
          <w:r>
            <w:fldChar w:fldCharType="separate"/>
          </w:r>
          <w:r>
            <w:rPr>
              <w:rStyle w:val="30"/>
            </w:rPr>
            <w:t>5.2</w:t>
          </w:r>
          <w:r>
            <w:rPr>
              <w:rStyle w:val="30"/>
              <w:rFonts w:hint="eastAsia"/>
            </w:rPr>
            <w:t>投标报价</w:t>
          </w:r>
          <w:r>
            <w:tab/>
          </w:r>
          <w:r>
            <w:fldChar w:fldCharType="begin"/>
          </w:r>
          <w:r>
            <w:instrText xml:space="preserve"> PAGEREF _Toc242533958 \h </w:instrText>
          </w:r>
          <w:r>
            <w:fldChar w:fldCharType="separate"/>
          </w:r>
          <w:r>
            <w:t>7</w:t>
          </w:r>
          <w:r>
            <w:fldChar w:fldCharType="end"/>
          </w:r>
          <w:r>
            <w:fldChar w:fldCharType="end"/>
          </w:r>
          <w:r>
            <w:fldChar w:fldCharType="begin"/>
          </w:r>
          <w:r>
            <w:instrText xml:space="preserve"> HYPERLINK \l "_Toc242533960" </w:instrText>
          </w:r>
          <w:r>
            <w:fldChar w:fldCharType="separate"/>
          </w:r>
          <w:r>
            <w:fldChar w:fldCharType="end"/>
          </w:r>
        </w:p>
        <w:p w14:paraId="616309A3">
          <w:pPr>
            <w:pStyle w:val="21"/>
            <w:tabs>
              <w:tab w:val="right" w:leader="dot" w:pos="8705"/>
            </w:tabs>
            <w:rPr>
              <w:rFonts w:asciiTheme="minorHAnsi" w:hAnsiTheme="minorHAnsi" w:eastAsiaTheme="minorEastAsia" w:cstheme="minorBidi"/>
              <w:smallCaps w:val="0"/>
              <w:sz w:val="21"/>
              <w:szCs w:val="22"/>
            </w:rPr>
          </w:pPr>
          <w:r>
            <w:fldChar w:fldCharType="begin"/>
          </w:r>
          <w:r>
            <w:instrText xml:space="preserve"> HYPERLINK \l "_Toc242533964" </w:instrText>
          </w:r>
          <w:r>
            <w:fldChar w:fldCharType="separate"/>
          </w:r>
          <w:r>
            <w:rPr>
              <w:rStyle w:val="30"/>
            </w:rPr>
            <w:t>5.3</w:t>
          </w:r>
          <w:r>
            <w:rPr>
              <w:rStyle w:val="30"/>
              <w:rFonts w:hint="eastAsia"/>
            </w:rPr>
            <w:t>招标文件的组成</w:t>
          </w:r>
          <w:r>
            <w:tab/>
          </w:r>
          <w:r>
            <w:fldChar w:fldCharType="begin"/>
          </w:r>
          <w:r>
            <w:instrText xml:space="preserve"> PAGEREF _Toc242533964 \h </w:instrText>
          </w:r>
          <w:r>
            <w:fldChar w:fldCharType="separate"/>
          </w:r>
          <w:r>
            <w:t>8</w:t>
          </w:r>
          <w:r>
            <w:fldChar w:fldCharType="end"/>
          </w:r>
          <w:r>
            <w:fldChar w:fldCharType="end"/>
          </w:r>
        </w:p>
        <w:p w14:paraId="469B44CE">
          <w:pPr>
            <w:pStyle w:val="21"/>
            <w:tabs>
              <w:tab w:val="right" w:leader="dot" w:pos="8705"/>
            </w:tabs>
            <w:rPr>
              <w:rFonts w:asciiTheme="minorHAnsi" w:hAnsiTheme="minorHAnsi" w:eastAsiaTheme="minorEastAsia" w:cstheme="minorBidi"/>
              <w:smallCaps w:val="0"/>
              <w:sz w:val="21"/>
              <w:szCs w:val="22"/>
            </w:rPr>
          </w:pPr>
          <w:r>
            <w:fldChar w:fldCharType="begin"/>
          </w:r>
          <w:r>
            <w:instrText xml:space="preserve"> HYPERLINK \l "_Toc242533967" </w:instrText>
          </w:r>
          <w:r>
            <w:fldChar w:fldCharType="separate"/>
          </w:r>
          <w:r>
            <w:rPr>
              <w:rStyle w:val="30"/>
            </w:rPr>
            <w:t>5.4</w:t>
          </w:r>
          <w:r>
            <w:rPr>
              <w:rStyle w:val="30"/>
              <w:rFonts w:hint="eastAsia"/>
            </w:rPr>
            <w:t>招标文件的澄清</w:t>
          </w:r>
          <w:r>
            <w:tab/>
          </w:r>
          <w:r>
            <w:fldChar w:fldCharType="begin"/>
          </w:r>
          <w:r>
            <w:instrText xml:space="preserve"> PAGEREF _Toc242533967 \h </w:instrText>
          </w:r>
          <w:r>
            <w:fldChar w:fldCharType="separate"/>
          </w:r>
          <w:r>
            <w:t>8</w:t>
          </w:r>
          <w:r>
            <w:fldChar w:fldCharType="end"/>
          </w:r>
          <w:r>
            <w:fldChar w:fldCharType="end"/>
          </w:r>
        </w:p>
        <w:p w14:paraId="77DC7E6C">
          <w:pPr>
            <w:pStyle w:val="21"/>
            <w:tabs>
              <w:tab w:val="right" w:leader="dot" w:pos="8705"/>
            </w:tabs>
            <w:rPr>
              <w:rFonts w:asciiTheme="minorHAnsi" w:hAnsiTheme="minorHAnsi" w:eastAsiaTheme="minorEastAsia" w:cstheme="minorBidi"/>
              <w:smallCaps w:val="0"/>
              <w:sz w:val="21"/>
              <w:szCs w:val="22"/>
            </w:rPr>
          </w:pPr>
          <w:r>
            <w:fldChar w:fldCharType="begin"/>
          </w:r>
          <w:r>
            <w:instrText xml:space="preserve"> HYPERLINK \l "_Toc242533969" </w:instrText>
          </w:r>
          <w:r>
            <w:fldChar w:fldCharType="separate"/>
          </w:r>
          <w:r>
            <w:rPr>
              <w:rStyle w:val="30"/>
            </w:rPr>
            <w:t>5.5</w:t>
          </w:r>
          <w:r>
            <w:rPr>
              <w:rStyle w:val="30"/>
              <w:rFonts w:hint="eastAsia"/>
            </w:rPr>
            <w:t>招标文件的修改</w:t>
          </w:r>
          <w:r>
            <w:tab/>
          </w:r>
          <w:r>
            <w:fldChar w:fldCharType="begin"/>
          </w:r>
          <w:r>
            <w:instrText xml:space="preserve"> PAGEREF _Toc242533969 \h </w:instrText>
          </w:r>
          <w:r>
            <w:fldChar w:fldCharType="separate"/>
          </w:r>
          <w:r>
            <w:t>8</w:t>
          </w:r>
          <w:r>
            <w:fldChar w:fldCharType="end"/>
          </w:r>
          <w:r>
            <w:fldChar w:fldCharType="end"/>
          </w:r>
        </w:p>
        <w:p w14:paraId="40B99BED">
          <w:pPr>
            <w:pStyle w:val="19"/>
            <w:tabs>
              <w:tab w:val="left" w:pos="219"/>
              <w:tab w:val="right" w:leader="dot" w:pos="8705"/>
            </w:tabs>
            <w:rPr>
              <w:rFonts w:asciiTheme="minorHAnsi" w:hAnsiTheme="minorHAnsi" w:eastAsiaTheme="minorEastAsia" w:cstheme="minorBidi"/>
              <w:b w:val="0"/>
              <w:caps w:val="0"/>
              <w:sz w:val="21"/>
              <w:szCs w:val="22"/>
            </w:rPr>
          </w:pPr>
          <w:r>
            <w:fldChar w:fldCharType="begin"/>
          </w:r>
          <w:r>
            <w:instrText xml:space="preserve"> HYPERLINK \l "_Toc242533973" </w:instrText>
          </w:r>
          <w:r>
            <w:fldChar w:fldCharType="separate"/>
          </w:r>
          <w:r>
            <w:rPr>
              <w:rStyle w:val="30"/>
            </w:rPr>
            <w:t>6.</w:t>
          </w:r>
          <w:r>
            <w:rPr>
              <w:rFonts w:asciiTheme="minorHAnsi" w:hAnsiTheme="minorHAnsi" w:eastAsiaTheme="minorEastAsia" w:cstheme="minorBidi"/>
              <w:b w:val="0"/>
              <w:caps w:val="0"/>
              <w:sz w:val="21"/>
              <w:szCs w:val="22"/>
            </w:rPr>
            <w:tab/>
          </w:r>
          <w:r>
            <w:rPr>
              <w:rStyle w:val="30"/>
              <w:rFonts w:hint="eastAsia"/>
            </w:rPr>
            <w:t>投标文件的内容和要求</w:t>
          </w:r>
          <w:r>
            <w:tab/>
          </w:r>
          <w:r>
            <w:fldChar w:fldCharType="begin"/>
          </w:r>
          <w:r>
            <w:instrText xml:space="preserve"> PAGEREF _Toc242533973 \h </w:instrText>
          </w:r>
          <w:r>
            <w:fldChar w:fldCharType="separate"/>
          </w:r>
          <w:r>
            <w:t>9</w:t>
          </w:r>
          <w:r>
            <w:fldChar w:fldCharType="end"/>
          </w:r>
          <w:r>
            <w:fldChar w:fldCharType="end"/>
          </w:r>
        </w:p>
        <w:p w14:paraId="1D3C9D75">
          <w:pPr>
            <w:pStyle w:val="21"/>
            <w:tabs>
              <w:tab w:val="right" w:leader="dot" w:pos="8705"/>
            </w:tabs>
            <w:rPr>
              <w:rFonts w:asciiTheme="minorHAnsi" w:hAnsiTheme="minorHAnsi" w:eastAsiaTheme="minorEastAsia" w:cstheme="minorBidi"/>
              <w:smallCaps w:val="0"/>
              <w:sz w:val="21"/>
              <w:szCs w:val="22"/>
            </w:rPr>
          </w:pPr>
          <w:r>
            <w:fldChar w:fldCharType="begin"/>
          </w:r>
          <w:r>
            <w:instrText xml:space="preserve"> HYPERLINK \l "_Toc242533974" </w:instrText>
          </w:r>
          <w:r>
            <w:fldChar w:fldCharType="separate"/>
          </w:r>
          <w:r>
            <w:rPr>
              <w:rStyle w:val="30"/>
            </w:rPr>
            <w:t>6.1</w:t>
          </w:r>
          <w:r>
            <w:rPr>
              <w:rStyle w:val="30"/>
              <w:rFonts w:hint="eastAsia"/>
            </w:rPr>
            <w:t>投标文件计量单位</w:t>
          </w:r>
          <w:r>
            <w:tab/>
          </w:r>
          <w:r>
            <w:fldChar w:fldCharType="begin"/>
          </w:r>
          <w:r>
            <w:instrText xml:space="preserve"> PAGEREF _Toc242533974 \h </w:instrText>
          </w:r>
          <w:r>
            <w:fldChar w:fldCharType="separate"/>
          </w:r>
          <w:r>
            <w:t>9</w:t>
          </w:r>
          <w:r>
            <w:fldChar w:fldCharType="end"/>
          </w:r>
          <w:r>
            <w:fldChar w:fldCharType="end"/>
          </w:r>
        </w:p>
        <w:p w14:paraId="07F57CA8">
          <w:pPr>
            <w:pStyle w:val="21"/>
            <w:tabs>
              <w:tab w:val="right" w:leader="dot" w:pos="8705"/>
            </w:tabs>
            <w:rPr>
              <w:rFonts w:asciiTheme="minorHAnsi" w:hAnsiTheme="minorHAnsi" w:eastAsiaTheme="minorEastAsia" w:cstheme="minorBidi"/>
              <w:smallCaps w:val="0"/>
              <w:sz w:val="21"/>
              <w:szCs w:val="22"/>
            </w:rPr>
          </w:pPr>
          <w:r>
            <w:fldChar w:fldCharType="begin"/>
          </w:r>
          <w:r>
            <w:instrText xml:space="preserve"> HYPERLINK \l "_Toc242533975" </w:instrText>
          </w:r>
          <w:r>
            <w:fldChar w:fldCharType="separate"/>
          </w:r>
          <w:r>
            <w:rPr>
              <w:rStyle w:val="30"/>
            </w:rPr>
            <w:t>6.2</w:t>
          </w:r>
          <w:r>
            <w:rPr>
              <w:rStyle w:val="30"/>
              <w:rFonts w:hint="eastAsia"/>
            </w:rPr>
            <w:t>投标文件组成</w:t>
          </w:r>
          <w:r>
            <w:tab/>
          </w:r>
          <w:r>
            <w:fldChar w:fldCharType="begin"/>
          </w:r>
          <w:r>
            <w:instrText xml:space="preserve"> PAGEREF _Toc242533975 \h </w:instrText>
          </w:r>
          <w:r>
            <w:fldChar w:fldCharType="separate"/>
          </w:r>
          <w:r>
            <w:t>9</w:t>
          </w:r>
          <w:r>
            <w:fldChar w:fldCharType="end"/>
          </w:r>
          <w:r>
            <w:fldChar w:fldCharType="end"/>
          </w:r>
        </w:p>
        <w:p w14:paraId="09475A01">
          <w:pPr>
            <w:pStyle w:val="21"/>
            <w:tabs>
              <w:tab w:val="right" w:leader="dot" w:pos="8705"/>
            </w:tabs>
            <w:rPr>
              <w:rFonts w:asciiTheme="minorHAnsi" w:hAnsiTheme="minorHAnsi" w:eastAsiaTheme="minorEastAsia" w:cstheme="minorBidi"/>
              <w:smallCaps w:val="0"/>
              <w:sz w:val="21"/>
              <w:szCs w:val="22"/>
            </w:rPr>
          </w:pPr>
          <w:r>
            <w:fldChar w:fldCharType="begin"/>
          </w:r>
          <w:r>
            <w:instrText xml:space="preserve"> HYPERLINK \l "_Toc242533976" </w:instrText>
          </w:r>
          <w:r>
            <w:fldChar w:fldCharType="separate"/>
          </w:r>
          <w:r>
            <w:rPr>
              <w:rStyle w:val="30"/>
              <w:bCs/>
            </w:rPr>
            <w:t>6.2.4</w:t>
          </w:r>
          <w:r>
            <w:rPr>
              <w:rStyle w:val="30"/>
              <w:rFonts w:hint="eastAsia"/>
              <w:bCs/>
            </w:rPr>
            <w:t>投标文件格式</w:t>
          </w:r>
          <w:r>
            <w:tab/>
          </w:r>
          <w:r>
            <w:fldChar w:fldCharType="begin"/>
          </w:r>
          <w:r>
            <w:instrText xml:space="preserve"> PAGEREF _Toc242533976 \h </w:instrText>
          </w:r>
          <w:r>
            <w:fldChar w:fldCharType="separate"/>
          </w:r>
          <w:r>
            <w:t>10</w:t>
          </w:r>
          <w:r>
            <w:fldChar w:fldCharType="end"/>
          </w:r>
          <w:r>
            <w:fldChar w:fldCharType="end"/>
          </w:r>
        </w:p>
        <w:p w14:paraId="4FBEB9A7">
          <w:pPr>
            <w:pStyle w:val="21"/>
            <w:tabs>
              <w:tab w:val="right" w:leader="dot" w:pos="8705"/>
            </w:tabs>
            <w:rPr>
              <w:rFonts w:asciiTheme="minorHAnsi" w:hAnsiTheme="minorHAnsi" w:eastAsiaTheme="minorEastAsia" w:cstheme="minorBidi"/>
              <w:smallCaps w:val="0"/>
              <w:sz w:val="21"/>
              <w:szCs w:val="22"/>
            </w:rPr>
          </w:pPr>
          <w:r>
            <w:fldChar w:fldCharType="begin"/>
          </w:r>
          <w:r>
            <w:instrText xml:space="preserve"> HYPERLINK \l "_Toc242533977" </w:instrText>
          </w:r>
          <w:r>
            <w:fldChar w:fldCharType="separate"/>
          </w:r>
          <w:r>
            <w:rPr>
              <w:rStyle w:val="30"/>
              <w:bCs/>
            </w:rPr>
            <w:t>6.2.5</w:t>
          </w:r>
          <w:r>
            <w:rPr>
              <w:rStyle w:val="30"/>
              <w:rFonts w:hint="eastAsia"/>
              <w:bCs/>
            </w:rPr>
            <w:t>投标文件的装袋、密封和递交</w:t>
          </w:r>
          <w:r>
            <w:tab/>
          </w:r>
          <w:r>
            <w:fldChar w:fldCharType="begin"/>
          </w:r>
          <w:r>
            <w:instrText xml:space="preserve"> PAGEREF _Toc242533977 \h </w:instrText>
          </w:r>
          <w:r>
            <w:fldChar w:fldCharType="separate"/>
          </w:r>
          <w:r>
            <w:t>10</w:t>
          </w:r>
          <w:r>
            <w:fldChar w:fldCharType="end"/>
          </w:r>
          <w:r>
            <w:fldChar w:fldCharType="end"/>
          </w:r>
        </w:p>
        <w:p w14:paraId="624D8D49">
          <w:pPr>
            <w:pStyle w:val="21"/>
            <w:tabs>
              <w:tab w:val="right" w:leader="dot" w:pos="8705"/>
            </w:tabs>
            <w:rPr>
              <w:rFonts w:asciiTheme="minorHAnsi" w:hAnsiTheme="minorHAnsi" w:eastAsiaTheme="minorEastAsia" w:cstheme="minorBidi"/>
              <w:smallCaps w:val="0"/>
              <w:sz w:val="21"/>
              <w:szCs w:val="22"/>
            </w:rPr>
          </w:pPr>
          <w:r>
            <w:fldChar w:fldCharType="begin"/>
          </w:r>
          <w:r>
            <w:instrText xml:space="preserve"> HYPERLINK \l "_Toc242533978" </w:instrText>
          </w:r>
          <w:r>
            <w:fldChar w:fldCharType="separate"/>
          </w:r>
          <w:r>
            <w:rPr>
              <w:rStyle w:val="30"/>
              <w:bCs/>
            </w:rPr>
            <w:t>6.2.6</w:t>
          </w:r>
          <w:r>
            <w:rPr>
              <w:rStyle w:val="30"/>
              <w:rFonts w:hint="eastAsia"/>
              <w:bCs/>
            </w:rPr>
            <w:t>投标文件的澄清</w:t>
          </w:r>
          <w:r>
            <w:tab/>
          </w:r>
          <w:r>
            <w:fldChar w:fldCharType="begin"/>
          </w:r>
          <w:r>
            <w:instrText xml:space="preserve"> PAGEREF _Toc242533978 \h </w:instrText>
          </w:r>
          <w:r>
            <w:fldChar w:fldCharType="separate"/>
          </w:r>
          <w:r>
            <w:t>11</w:t>
          </w:r>
          <w:r>
            <w:fldChar w:fldCharType="end"/>
          </w:r>
          <w:r>
            <w:fldChar w:fldCharType="end"/>
          </w:r>
        </w:p>
        <w:p w14:paraId="4261E0F4">
          <w:pPr>
            <w:pStyle w:val="21"/>
            <w:tabs>
              <w:tab w:val="right" w:leader="dot" w:pos="8705"/>
            </w:tabs>
            <w:rPr>
              <w:rFonts w:asciiTheme="minorHAnsi" w:hAnsiTheme="minorHAnsi" w:eastAsiaTheme="minorEastAsia" w:cstheme="minorBidi"/>
              <w:smallCaps w:val="0"/>
              <w:sz w:val="21"/>
              <w:szCs w:val="22"/>
            </w:rPr>
          </w:pPr>
          <w:r>
            <w:fldChar w:fldCharType="begin"/>
          </w:r>
          <w:r>
            <w:instrText xml:space="preserve"> HYPERLINK \l "_Toc242533979" </w:instrText>
          </w:r>
          <w:r>
            <w:fldChar w:fldCharType="separate"/>
          </w:r>
          <w:r>
            <w:rPr>
              <w:rStyle w:val="30"/>
              <w:bCs/>
            </w:rPr>
            <w:t>6.2.7</w:t>
          </w:r>
          <w:r>
            <w:rPr>
              <w:rStyle w:val="30"/>
              <w:rFonts w:hint="eastAsia"/>
              <w:bCs/>
            </w:rPr>
            <w:t>开标</w:t>
          </w:r>
          <w:r>
            <w:tab/>
          </w:r>
          <w:r>
            <w:fldChar w:fldCharType="begin"/>
          </w:r>
          <w:r>
            <w:instrText xml:space="preserve"> PAGEREF _Toc242533979 \h </w:instrText>
          </w:r>
          <w:r>
            <w:fldChar w:fldCharType="separate"/>
          </w:r>
          <w:r>
            <w:t>11</w:t>
          </w:r>
          <w:r>
            <w:fldChar w:fldCharType="end"/>
          </w:r>
          <w:r>
            <w:fldChar w:fldCharType="end"/>
          </w:r>
        </w:p>
        <w:p w14:paraId="359CE85C">
          <w:pPr>
            <w:pStyle w:val="19"/>
            <w:tabs>
              <w:tab w:val="left" w:pos="219"/>
              <w:tab w:val="right" w:leader="dot" w:pos="8705"/>
            </w:tabs>
            <w:rPr>
              <w:rFonts w:asciiTheme="minorHAnsi" w:hAnsiTheme="minorHAnsi" w:eastAsiaTheme="minorEastAsia" w:cstheme="minorBidi"/>
              <w:b w:val="0"/>
              <w:caps w:val="0"/>
              <w:sz w:val="21"/>
              <w:szCs w:val="22"/>
            </w:rPr>
          </w:pPr>
          <w:r>
            <w:fldChar w:fldCharType="begin"/>
          </w:r>
          <w:r>
            <w:instrText xml:space="preserve"> HYPERLINK \l "_Toc242533980" </w:instrText>
          </w:r>
          <w:r>
            <w:fldChar w:fldCharType="separate"/>
          </w:r>
          <w:r>
            <w:rPr>
              <w:rStyle w:val="30"/>
            </w:rPr>
            <w:t>7.</w:t>
          </w:r>
          <w:r>
            <w:rPr>
              <w:rFonts w:asciiTheme="minorHAnsi" w:hAnsiTheme="minorHAnsi" w:eastAsiaTheme="minorEastAsia" w:cstheme="minorBidi"/>
              <w:b w:val="0"/>
              <w:caps w:val="0"/>
              <w:sz w:val="21"/>
              <w:szCs w:val="22"/>
            </w:rPr>
            <w:tab/>
          </w:r>
          <w:r>
            <w:rPr>
              <w:rStyle w:val="30"/>
              <w:rFonts w:hint="eastAsia"/>
            </w:rPr>
            <w:t>讲标及评标</w:t>
          </w:r>
          <w:r>
            <w:tab/>
          </w:r>
          <w:r>
            <w:fldChar w:fldCharType="begin"/>
          </w:r>
          <w:r>
            <w:instrText xml:space="preserve"> PAGEREF _Toc242533980 \h </w:instrText>
          </w:r>
          <w:r>
            <w:fldChar w:fldCharType="separate"/>
          </w:r>
          <w:r>
            <w:t>12</w:t>
          </w:r>
          <w:r>
            <w:fldChar w:fldCharType="end"/>
          </w:r>
          <w:r>
            <w:fldChar w:fldCharType="end"/>
          </w:r>
        </w:p>
        <w:p w14:paraId="7C00F8E1">
          <w:pPr>
            <w:pStyle w:val="19"/>
            <w:tabs>
              <w:tab w:val="right" w:leader="dot" w:pos="8705"/>
            </w:tabs>
            <w:rPr>
              <w:rFonts w:asciiTheme="minorHAnsi" w:hAnsiTheme="minorHAnsi" w:eastAsiaTheme="minorEastAsia" w:cstheme="minorBidi"/>
              <w:b w:val="0"/>
              <w:caps w:val="0"/>
              <w:sz w:val="21"/>
              <w:szCs w:val="22"/>
            </w:rPr>
          </w:pPr>
          <w:r>
            <w:fldChar w:fldCharType="begin"/>
          </w:r>
          <w:r>
            <w:instrText xml:space="preserve"> HYPERLINK \l "_Toc242533981" </w:instrText>
          </w:r>
          <w:r>
            <w:fldChar w:fldCharType="separate"/>
          </w:r>
          <w:r>
            <w:rPr>
              <w:rStyle w:val="30"/>
              <w:rFonts w:hint="eastAsia" w:cs="宋体"/>
            </w:rPr>
            <w:t>技术及业务部分</w:t>
          </w:r>
          <w:r>
            <w:tab/>
          </w:r>
          <w:r>
            <w:fldChar w:fldCharType="begin"/>
          </w:r>
          <w:r>
            <w:instrText xml:space="preserve"> PAGEREF _Toc242533981 \h </w:instrText>
          </w:r>
          <w:r>
            <w:fldChar w:fldCharType="separate"/>
          </w:r>
          <w:r>
            <w:t>17</w:t>
          </w:r>
          <w:r>
            <w:fldChar w:fldCharType="end"/>
          </w:r>
          <w:r>
            <w:fldChar w:fldCharType="end"/>
          </w:r>
        </w:p>
        <w:p w14:paraId="198C7982">
          <w:pPr>
            <w:pStyle w:val="19"/>
            <w:tabs>
              <w:tab w:val="right" w:leader="dot" w:pos="8705"/>
            </w:tabs>
            <w:rPr>
              <w:rFonts w:asciiTheme="minorHAnsi" w:hAnsiTheme="minorHAnsi" w:eastAsiaTheme="minorEastAsia" w:cstheme="minorBidi"/>
              <w:b w:val="0"/>
              <w:caps w:val="0"/>
              <w:sz w:val="21"/>
              <w:szCs w:val="22"/>
            </w:rPr>
          </w:pPr>
          <w:r>
            <w:fldChar w:fldCharType="begin"/>
          </w:r>
          <w:r>
            <w:instrText xml:space="preserve"> HYPERLINK \l "_Toc242533982" </w:instrText>
          </w:r>
          <w:r>
            <w:fldChar w:fldCharType="separate"/>
          </w:r>
          <w:r>
            <w:rPr>
              <w:rStyle w:val="30"/>
              <w:rFonts w:cs="宋体"/>
            </w:rPr>
            <w:t>1</w:t>
          </w:r>
          <w:r>
            <w:rPr>
              <w:rStyle w:val="30"/>
              <w:rFonts w:hint="eastAsia" w:cs="宋体"/>
            </w:rPr>
            <w:t xml:space="preserve"> 项目背景</w:t>
          </w:r>
          <w:r>
            <w:tab/>
          </w:r>
          <w:r>
            <w:fldChar w:fldCharType="begin"/>
          </w:r>
          <w:r>
            <w:instrText xml:space="preserve"> PAGEREF _Toc242533982 \h </w:instrText>
          </w:r>
          <w:r>
            <w:fldChar w:fldCharType="separate"/>
          </w:r>
          <w:r>
            <w:t>18</w:t>
          </w:r>
          <w:r>
            <w:fldChar w:fldCharType="end"/>
          </w:r>
          <w:r>
            <w:fldChar w:fldCharType="end"/>
          </w:r>
        </w:p>
        <w:p w14:paraId="756E86E3">
          <w:pPr>
            <w:pStyle w:val="19"/>
            <w:tabs>
              <w:tab w:val="right" w:leader="dot" w:pos="8705"/>
            </w:tabs>
            <w:rPr>
              <w:rFonts w:asciiTheme="minorHAnsi" w:hAnsiTheme="minorHAnsi" w:eastAsiaTheme="minorEastAsia" w:cstheme="minorBidi"/>
              <w:b w:val="0"/>
              <w:caps w:val="0"/>
              <w:sz w:val="21"/>
              <w:szCs w:val="22"/>
            </w:rPr>
          </w:pPr>
          <w:r>
            <w:fldChar w:fldCharType="begin"/>
          </w:r>
          <w:r>
            <w:instrText xml:space="preserve"> HYPERLINK \l "_Toc242533983" </w:instrText>
          </w:r>
          <w:r>
            <w:fldChar w:fldCharType="separate"/>
          </w:r>
          <w:r>
            <w:rPr>
              <w:rStyle w:val="30"/>
              <w:rFonts w:cs="宋体"/>
            </w:rPr>
            <w:t>2</w:t>
          </w:r>
          <w:r>
            <w:rPr>
              <w:rStyle w:val="30"/>
              <w:rFonts w:hint="eastAsia" w:cs="宋体"/>
            </w:rPr>
            <w:t xml:space="preserve"> 项目目标</w:t>
          </w:r>
          <w:r>
            <w:tab/>
          </w:r>
          <w:r>
            <w:fldChar w:fldCharType="begin"/>
          </w:r>
          <w:r>
            <w:instrText xml:space="preserve"> PAGEREF _Toc242533983 \h </w:instrText>
          </w:r>
          <w:r>
            <w:fldChar w:fldCharType="separate"/>
          </w:r>
          <w:r>
            <w:t>19</w:t>
          </w:r>
          <w:r>
            <w:fldChar w:fldCharType="end"/>
          </w:r>
          <w:r>
            <w:fldChar w:fldCharType="end"/>
          </w:r>
        </w:p>
        <w:p w14:paraId="31A99D9F">
          <w:pPr>
            <w:pStyle w:val="19"/>
            <w:tabs>
              <w:tab w:val="right" w:leader="dot" w:pos="8705"/>
            </w:tabs>
            <w:rPr>
              <w:rFonts w:asciiTheme="minorHAnsi" w:hAnsiTheme="minorHAnsi" w:eastAsiaTheme="minorEastAsia" w:cstheme="minorBidi"/>
              <w:b w:val="0"/>
              <w:caps w:val="0"/>
              <w:sz w:val="21"/>
              <w:szCs w:val="22"/>
            </w:rPr>
          </w:pPr>
          <w:r>
            <w:fldChar w:fldCharType="begin"/>
          </w:r>
          <w:r>
            <w:instrText xml:space="preserve"> HYPERLINK \l "_Toc242533984" </w:instrText>
          </w:r>
          <w:r>
            <w:fldChar w:fldCharType="separate"/>
          </w:r>
          <w:r>
            <w:rPr>
              <w:rStyle w:val="30"/>
              <w:rFonts w:cs="宋体"/>
            </w:rPr>
            <w:t>3</w:t>
          </w:r>
          <w:r>
            <w:rPr>
              <w:rStyle w:val="30"/>
              <w:rFonts w:hint="eastAsia" w:ascii="宋体" w:hAnsi="宋体" w:cs="宋体"/>
            </w:rPr>
            <w:t xml:space="preserve"> 项目范围</w:t>
          </w:r>
          <w:r>
            <w:tab/>
          </w:r>
          <w:r>
            <w:fldChar w:fldCharType="begin"/>
          </w:r>
          <w:r>
            <w:instrText xml:space="preserve"> PAGEREF _Toc242533984 \h </w:instrText>
          </w:r>
          <w:r>
            <w:fldChar w:fldCharType="separate"/>
          </w:r>
          <w:r>
            <w:t>20</w:t>
          </w:r>
          <w:r>
            <w:fldChar w:fldCharType="end"/>
          </w:r>
          <w:r>
            <w:fldChar w:fldCharType="end"/>
          </w:r>
        </w:p>
        <w:p w14:paraId="4F4007D3">
          <w:pPr>
            <w:pStyle w:val="19"/>
            <w:tabs>
              <w:tab w:val="right" w:leader="dot" w:pos="8705"/>
            </w:tabs>
            <w:rPr>
              <w:rFonts w:asciiTheme="minorHAnsi" w:hAnsiTheme="minorHAnsi" w:eastAsiaTheme="minorEastAsia" w:cstheme="minorBidi"/>
              <w:b w:val="0"/>
              <w:caps w:val="0"/>
              <w:sz w:val="21"/>
              <w:szCs w:val="22"/>
            </w:rPr>
          </w:pPr>
          <w:r>
            <w:fldChar w:fldCharType="begin"/>
          </w:r>
          <w:r>
            <w:instrText xml:space="preserve"> HYPERLINK \l "_Toc242533985" </w:instrText>
          </w:r>
          <w:r>
            <w:fldChar w:fldCharType="separate"/>
          </w:r>
          <w:r>
            <w:rPr>
              <w:rStyle w:val="30"/>
              <w:rFonts w:cs="宋体"/>
            </w:rPr>
            <w:t>4</w:t>
          </w:r>
          <w:r>
            <w:rPr>
              <w:rStyle w:val="30"/>
              <w:rFonts w:hint="eastAsia" w:cs="宋体"/>
            </w:rPr>
            <w:t xml:space="preserve"> </w:t>
          </w:r>
          <w:r>
            <w:rPr>
              <w:rStyle w:val="30"/>
              <w:rFonts w:hint="eastAsia" w:ascii="宋体" w:hAnsi="宋体" w:cs="宋体"/>
            </w:rPr>
            <w:t>项目内容</w:t>
          </w:r>
          <w:r>
            <w:tab/>
          </w:r>
          <w:r>
            <w:fldChar w:fldCharType="begin"/>
          </w:r>
          <w:r>
            <w:instrText xml:space="preserve"> PAGEREF _Toc242533985 \h </w:instrText>
          </w:r>
          <w:r>
            <w:fldChar w:fldCharType="separate"/>
          </w:r>
          <w:r>
            <w:t>21</w:t>
          </w:r>
          <w:r>
            <w:fldChar w:fldCharType="end"/>
          </w:r>
          <w:r>
            <w:fldChar w:fldCharType="end"/>
          </w:r>
        </w:p>
        <w:p w14:paraId="087B4428">
          <w:pPr>
            <w:pStyle w:val="19"/>
            <w:tabs>
              <w:tab w:val="right" w:leader="dot" w:pos="8705"/>
            </w:tabs>
            <w:rPr>
              <w:rFonts w:asciiTheme="minorHAnsi" w:hAnsiTheme="minorHAnsi" w:eastAsiaTheme="minorEastAsia" w:cstheme="minorBidi"/>
              <w:b w:val="0"/>
              <w:caps w:val="0"/>
              <w:sz w:val="21"/>
              <w:szCs w:val="22"/>
            </w:rPr>
          </w:pPr>
          <w:r>
            <w:fldChar w:fldCharType="begin"/>
          </w:r>
          <w:r>
            <w:instrText xml:space="preserve"> HYPERLINK \l "_Toc242533986" </w:instrText>
          </w:r>
          <w:r>
            <w:fldChar w:fldCharType="separate"/>
          </w:r>
          <w:r>
            <w:rPr>
              <w:rStyle w:val="30"/>
              <w:rFonts w:cs="宋体"/>
            </w:rPr>
            <w:t>5</w:t>
          </w:r>
          <w:r>
            <w:rPr>
              <w:rStyle w:val="30"/>
              <w:rFonts w:hint="eastAsia" w:cs="宋体"/>
            </w:rPr>
            <w:t xml:space="preserve"> </w:t>
          </w:r>
          <w:r>
            <w:rPr>
              <w:rStyle w:val="30"/>
              <w:rFonts w:hint="eastAsia" w:ascii="宋体" w:hAnsi="宋体" w:cs="宋体"/>
            </w:rPr>
            <w:t>项目建设计划</w:t>
          </w:r>
          <w:r>
            <w:tab/>
          </w:r>
          <w:r>
            <w:fldChar w:fldCharType="begin"/>
          </w:r>
          <w:r>
            <w:instrText xml:space="preserve"> PAGEREF _Toc242533986 \h </w:instrText>
          </w:r>
          <w:r>
            <w:fldChar w:fldCharType="separate"/>
          </w:r>
          <w:r>
            <w:t>23</w:t>
          </w:r>
          <w:r>
            <w:fldChar w:fldCharType="end"/>
          </w:r>
          <w:r>
            <w:fldChar w:fldCharType="end"/>
          </w:r>
        </w:p>
        <w:p w14:paraId="3FF0576B">
          <w:pPr>
            <w:pStyle w:val="19"/>
            <w:tabs>
              <w:tab w:val="right" w:leader="dot" w:pos="8705"/>
            </w:tabs>
            <w:rPr>
              <w:rFonts w:asciiTheme="minorHAnsi" w:hAnsiTheme="minorHAnsi" w:eastAsiaTheme="minorEastAsia" w:cstheme="minorBidi"/>
              <w:b w:val="0"/>
              <w:caps w:val="0"/>
              <w:sz w:val="21"/>
              <w:szCs w:val="22"/>
            </w:rPr>
          </w:pPr>
          <w:r>
            <w:fldChar w:fldCharType="begin"/>
          </w:r>
          <w:r>
            <w:instrText xml:space="preserve"> HYPERLINK \l "_Toc242533987" </w:instrText>
          </w:r>
          <w:r>
            <w:fldChar w:fldCharType="separate"/>
          </w:r>
          <w:r>
            <w:rPr>
              <w:rStyle w:val="30"/>
              <w:rFonts w:cs="宋体"/>
            </w:rPr>
            <w:t>6</w:t>
          </w:r>
          <w:r>
            <w:rPr>
              <w:rStyle w:val="30"/>
              <w:rFonts w:hint="eastAsia" w:cs="宋体"/>
            </w:rPr>
            <w:t xml:space="preserve"> </w:t>
          </w:r>
          <w:r>
            <w:rPr>
              <w:rStyle w:val="30"/>
              <w:rFonts w:hint="eastAsia" w:cs="宋体" w:asciiTheme="minorEastAsia" w:hAnsiTheme="minorEastAsia"/>
            </w:rPr>
            <w:t>投标文件格式</w:t>
          </w:r>
          <w:r>
            <w:tab/>
          </w:r>
          <w:r>
            <w:fldChar w:fldCharType="begin"/>
          </w:r>
          <w:r>
            <w:instrText xml:space="preserve"> PAGEREF _Toc242533987 \h </w:instrText>
          </w:r>
          <w:r>
            <w:fldChar w:fldCharType="separate"/>
          </w:r>
          <w:r>
            <w:t>24</w:t>
          </w:r>
          <w:r>
            <w:fldChar w:fldCharType="end"/>
          </w:r>
          <w:r>
            <w:fldChar w:fldCharType="end"/>
          </w:r>
        </w:p>
        <w:p w14:paraId="0E4AB3B1">
          <w:r>
            <w:rPr>
              <w:b/>
              <w:bCs/>
              <w:lang w:val="zh-CN"/>
            </w:rPr>
            <w:fldChar w:fldCharType="end"/>
          </w:r>
        </w:p>
      </w:sdtContent>
    </w:sdt>
    <w:p w14:paraId="445799A0">
      <w:pPr>
        <w:pStyle w:val="19"/>
        <w:widowControl/>
        <w:tabs>
          <w:tab w:val="right" w:leader="dot" w:pos="8705"/>
        </w:tabs>
        <w:jc w:val="center"/>
        <w:rPr>
          <w:lang w:bidi="ar"/>
        </w:rPr>
      </w:pPr>
      <w:r>
        <w:rPr>
          <w:lang w:bidi="ar"/>
        </w:rPr>
        <w:t xml:space="preserve"> </w:t>
      </w:r>
    </w:p>
    <w:p w14:paraId="419C9653">
      <w:pPr>
        <w:spacing w:line="360" w:lineRule="auto"/>
        <w:rPr>
          <w:sz w:val="24"/>
          <w:szCs w:val="22"/>
          <w:lang w:bidi="ar"/>
        </w:rPr>
        <w:sectPr>
          <w:footerReference r:id="rId3" w:type="default"/>
          <w:pgSz w:w="12242" w:h="15842"/>
          <w:pgMar w:top="1418" w:right="1752" w:bottom="1135" w:left="1418" w:header="737" w:footer="431" w:gutter="357"/>
          <w:pgNumType w:fmt="upperRoman" w:start="1"/>
          <w:cols w:space="425" w:num="1"/>
          <w:docGrid w:type="lines" w:linePitch="312" w:charSpace="0"/>
        </w:sectPr>
      </w:pPr>
    </w:p>
    <w:p w14:paraId="66C8A2B0">
      <w:pPr>
        <w:pStyle w:val="57"/>
        <w:numPr>
          <w:ilvl w:val="0"/>
          <w:numId w:val="7"/>
        </w:numPr>
        <w:rPr>
          <w:rFonts w:ascii="黑体" w:hAnsi="黑体" w:eastAsia="黑体" w:cs="宋体"/>
        </w:rPr>
      </w:pPr>
      <w:bookmarkStart w:id="39" w:name="_Toc13293"/>
      <w:bookmarkStart w:id="40" w:name="_Toc109031535"/>
      <w:bookmarkStart w:id="41" w:name="_Toc95148164"/>
      <w:bookmarkStart w:id="42" w:name="_Toc242533923"/>
      <w:bookmarkStart w:id="43" w:name="_Toc19142"/>
      <w:r>
        <w:rPr>
          <w:rFonts w:hint="eastAsia" w:ascii="黑体" w:hAnsi="黑体" w:eastAsia="黑体"/>
        </w:rPr>
        <w:t>项目名称</w:t>
      </w:r>
      <w:bookmarkEnd w:id="39"/>
      <w:bookmarkEnd w:id="40"/>
      <w:bookmarkEnd w:id="41"/>
      <w:bookmarkEnd w:id="42"/>
      <w:bookmarkEnd w:id="43"/>
    </w:p>
    <w:p w14:paraId="5DF8893E">
      <w:pPr>
        <w:pStyle w:val="58"/>
        <w:widowControl/>
        <w:ind w:firstLine="480"/>
        <w:rPr>
          <w:rFonts w:cs="宋体"/>
        </w:rPr>
      </w:pPr>
      <w:r>
        <w:rPr>
          <w:rFonts w:hint="eastAsia" w:cs="宋体"/>
        </w:rPr>
        <w:t>项目名称：</w:t>
      </w:r>
      <w:r>
        <w:rPr>
          <w:rFonts w:hint="eastAsia"/>
          <w:sz w:val="22"/>
          <w:szCs w:val="20"/>
        </w:rPr>
        <w:t>重汽汽车金融有限公司202</w:t>
      </w:r>
      <w:r>
        <w:rPr>
          <w:sz w:val="22"/>
          <w:szCs w:val="20"/>
        </w:rPr>
        <w:t>6</w:t>
      </w:r>
      <w:r>
        <w:rPr>
          <w:rFonts w:hint="eastAsia"/>
          <w:sz w:val="22"/>
          <w:szCs w:val="20"/>
        </w:rPr>
        <w:t>年度财务报表及内部控制审计项目</w:t>
      </w:r>
    </w:p>
    <w:p w14:paraId="146BA20A">
      <w:pPr>
        <w:pStyle w:val="58"/>
        <w:widowControl/>
        <w:ind w:firstLine="480"/>
      </w:pPr>
      <w:r>
        <w:rPr>
          <w:rFonts w:hint="eastAsia" w:cs="宋体"/>
        </w:rPr>
        <w:t>重汽汽车金融有限公司（以下简称招标人）就财务报表及内部控制审计项目进行招标，以“公开招标”的形式筛选出具有项目资质及承担能力的服务商。</w:t>
      </w:r>
    </w:p>
    <w:p w14:paraId="2F5A565F">
      <w:pPr>
        <w:pStyle w:val="58"/>
        <w:widowControl/>
        <w:tabs>
          <w:tab w:val="left" w:pos="3632"/>
        </w:tabs>
        <w:ind w:firstLine="480"/>
        <w:rPr>
          <w:rFonts w:cs="宋体"/>
        </w:rPr>
      </w:pPr>
      <w:r>
        <w:rPr>
          <w:rFonts w:cs="宋体"/>
        </w:rPr>
        <w:tab/>
      </w:r>
    </w:p>
    <w:p w14:paraId="3D22EBE5">
      <w:pPr>
        <w:numPr>
          <w:ilvl w:val="255"/>
          <w:numId w:val="0"/>
        </w:numPr>
        <w:spacing w:line="520" w:lineRule="exact"/>
        <w:ind w:right="2"/>
        <w:rPr>
          <w:rFonts w:ascii="宋体" w:hAnsi="Courier New" w:cs="宋体"/>
          <w:sz w:val="24"/>
          <w:szCs w:val="22"/>
          <w:lang w:bidi="ar"/>
        </w:rPr>
      </w:pPr>
      <w:bookmarkStart w:id="44" w:name="_Toc265850587"/>
    </w:p>
    <w:p w14:paraId="686C50A5">
      <w:pPr>
        <w:widowControl/>
        <w:jc w:val="left"/>
        <w:rPr>
          <w:rFonts w:ascii="宋体" w:hAnsi="Courier New" w:cs="宋体"/>
          <w:sz w:val="24"/>
          <w:szCs w:val="22"/>
          <w:lang w:bidi="ar"/>
        </w:rPr>
      </w:pPr>
      <w:r>
        <w:rPr>
          <w:rFonts w:ascii="宋体" w:hAnsi="Courier New" w:cs="宋体"/>
          <w:sz w:val="24"/>
          <w:szCs w:val="22"/>
          <w:lang w:bidi="ar"/>
        </w:rPr>
        <w:br w:type="page"/>
      </w:r>
    </w:p>
    <w:p w14:paraId="5BBC805C">
      <w:pPr>
        <w:pStyle w:val="57"/>
        <w:keepNext w:val="0"/>
        <w:widowControl/>
        <w:numPr>
          <w:ilvl w:val="0"/>
          <w:numId w:val="7"/>
        </w:numPr>
        <w:jc w:val="left"/>
        <w:rPr>
          <w:rFonts w:ascii="黑体" w:hAnsi="黑体" w:eastAsia="黑体" w:cs="宋体"/>
        </w:rPr>
      </w:pPr>
      <w:bookmarkStart w:id="45" w:name="_Toc109031536"/>
      <w:bookmarkStart w:id="46" w:name="_Toc95148165"/>
      <w:bookmarkStart w:id="47" w:name="_Toc16591"/>
      <w:bookmarkStart w:id="48" w:name="_Toc74143824"/>
      <w:bookmarkStart w:id="49" w:name="_Toc242533924"/>
      <w:bookmarkStart w:id="50" w:name="_Toc30235"/>
      <w:bookmarkStart w:id="51" w:name="_Toc50742879"/>
      <w:r>
        <w:rPr>
          <w:rFonts w:hint="eastAsia" w:ascii="黑体" w:hAnsi="黑体" w:eastAsia="黑体" w:cs="宋体"/>
        </w:rPr>
        <w:t>招标内容及形式</w:t>
      </w:r>
      <w:bookmarkEnd w:id="45"/>
      <w:bookmarkEnd w:id="46"/>
      <w:bookmarkEnd w:id="47"/>
      <w:bookmarkEnd w:id="48"/>
      <w:bookmarkEnd w:id="49"/>
      <w:bookmarkEnd w:id="50"/>
      <w:bookmarkEnd w:id="51"/>
    </w:p>
    <w:p w14:paraId="3891AACF">
      <w:pPr>
        <w:pStyle w:val="58"/>
        <w:widowControl/>
        <w:ind w:firstLine="562"/>
        <w:rPr>
          <w:rStyle w:val="70"/>
          <w:rFonts w:ascii="Calibri" w:hAnsi="Calibri"/>
          <w:b w:val="0"/>
          <w:bCs/>
          <w:szCs w:val="24"/>
        </w:rPr>
      </w:pPr>
      <w:bookmarkStart w:id="52" w:name="_Toc95148166"/>
      <w:bookmarkStart w:id="53" w:name="_Toc50742880"/>
      <w:bookmarkStart w:id="54" w:name="_Toc109031537"/>
      <w:bookmarkStart w:id="55" w:name="_Toc74143825"/>
      <w:bookmarkStart w:id="56" w:name="_Toc17577"/>
      <w:bookmarkStart w:id="57" w:name="_Toc17822"/>
      <w:bookmarkStart w:id="58" w:name="_Toc242533925"/>
      <w:r>
        <w:rPr>
          <w:rStyle w:val="70"/>
          <w:rFonts w:ascii="Calibri" w:hAnsi="Calibri"/>
          <w:bCs/>
          <w:szCs w:val="24"/>
        </w:rPr>
        <w:t>2.1</w:t>
      </w:r>
      <w:r>
        <w:rPr>
          <w:rStyle w:val="70"/>
          <w:rFonts w:hint="eastAsia" w:ascii="Calibri" w:hAnsi="Calibri"/>
          <w:bCs/>
          <w:szCs w:val="24"/>
        </w:rPr>
        <w:t>招标内容</w:t>
      </w:r>
      <w:bookmarkEnd w:id="52"/>
      <w:bookmarkEnd w:id="53"/>
      <w:bookmarkEnd w:id="54"/>
      <w:bookmarkEnd w:id="55"/>
      <w:bookmarkEnd w:id="56"/>
      <w:bookmarkEnd w:id="57"/>
      <w:bookmarkStart w:id="59" w:name="_Toc50742881"/>
      <w:bookmarkStart w:id="60" w:name="_Toc109031538"/>
      <w:bookmarkStart w:id="61" w:name="_Toc17634"/>
      <w:bookmarkStart w:id="62" w:name="_Toc942"/>
      <w:bookmarkStart w:id="63" w:name="_Toc74143826"/>
      <w:bookmarkStart w:id="64" w:name="_Toc95148167"/>
    </w:p>
    <w:p w14:paraId="59DA057F">
      <w:pPr>
        <w:pStyle w:val="58"/>
        <w:widowControl/>
        <w:ind w:firstLine="562"/>
        <w:rPr>
          <w:rStyle w:val="70"/>
          <w:rFonts w:ascii="Calibri" w:hAnsi="Calibri" w:cs="宋体"/>
          <w:bCs/>
          <w:szCs w:val="24"/>
        </w:rPr>
      </w:pPr>
      <w:r>
        <w:rPr>
          <w:rStyle w:val="70"/>
          <w:rFonts w:hint="eastAsia" w:ascii="Calibri" w:hAnsi="Calibri" w:cs="宋体"/>
          <w:bCs/>
          <w:szCs w:val="24"/>
        </w:rPr>
        <w:t>重汽汽车金融有限公司202</w:t>
      </w:r>
      <w:r>
        <w:rPr>
          <w:rStyle w:val="70"/>
          <w:rFonts w:ascii="Calibri" w:hAnsi="Calibri" w:cs="宋体"/>
          <w:bCs/>
          <w:szCs w:val="24"/>
        </w:rPr>
        <w:t>6</w:t>
      </w:r>
      <w:r>
        <w:rPr>
          <w:rStyle w:val="70"/>
          <w:rFonts w:hint="eastAsia" w:ascii="Calibri" w:hAnsi="Calibri" w:cs="宋体"/>
          <w:bCs/>
          <w:szCs w:val="24"/>
        </w:rPr>
        <w:t>年度财务报表及内部控制审计</w:t>
      </w:r>
      <w:bookmarkEnd w:id="58"/>
    </w:p>
    <w:p w14:paraId="667567DB">
      <w:pPr>
        <w:pStyle w:val="69"/>
        <w:keepNext w:val="0"/>
        <w:widowControl/>
        <w:numPr>
          <w:ilvl w:val="0"/>
          <w:numId w:val="0"/>
        </w:numPr>
        <w:ind w:left="480"/>
        <w:rPr>
          <w:rFonts w:ascii="宋体" w:hAnsi="宋体" w:cs="宋体"/>
          <w:kern w:val="0"/>
          <w:sz w:val="24"/>
          <w:szCs w:val="24"/>
        </w:rPr>
      </w:pPr>
      <w:bookmarkStart w:id="65" w:name="_Toc242533926"/>
      <w:r>
        <w:rPr>
          <w:rStyle w:val="70"/>
          <w:rFonts w:ascii="Calibri" w:hAnsi="Calibri"/>
          <w:b w:val="0"/>
          <w:bCs/>
          <w:sz w:val="24"/>
          <w:szCs w:val="24"/>
        </w:rPr>
        <w:t>2.2</w:t>
      </w:r>
      <w:r>
        <w:rPr>
          <w:rStyle w:val="70"/>
          <w:rFonts w:hint="eastAsia" w:ascii="Calibri" w:hAnsi="Calibri" w:cs="宋体"/>
          <w:b w:val="0"/>
          <w:bCs/>
          <w:sz w:val="24"/>
          <w:szCs w:val="24"/>
        </w:rPr>
        <w:t>招标形式</w:t>
      </w:r>
      <w:bookmarkEnd w:id="59"/>
      <w:r>
        <w:rPr>
          <w:rFonts w:hint="eastAsia" w:ascii="宋体" w:hAnsi="宋体" w:cs="宋体"/>
          <w:kern w:val="0"/>
          <w:sz w:val="24"/>
          <w:szCs w:val="24"/>
        </w:rPr>
        <w:t xml:space="preserve"> </w:t>
      </w:r>
      <w:r>
        <w:rPr>
          <w:rFonts w:hint="eastAsia" w:ascii="宋体" w:hAnsi="宋体" w:cs="宋体"/>
          <w:sz w:val="24"/>
          <w:szCs w:val="24"/>
        </w:rPr>
        <w:t>公开招标</w:t>
      </w:r>
      <w:bookmarkEnd w:id="60"/>
      <w:bookmarkEnd w:id="61"/>
      <w:bookmarkEnd w:id="62"/>
      <w:bookmarkEnd w:id="63"/>
      <w:bookmarkEnd w:id="64"/>
      <w:bookmarkEnd w:id="65"/>
    </w:p>
    <w:p w14:paraId="7643D7D0">
      <w:pPr>
        <w:pStyle w:val="69"/>
        <w:keepNext w:val="0"/>
        <w:widowControl/>
        <w:numPr>
          <w:ilvl w:val="0"/>
          <w:numId w:val="0"/>
        </w:numPr>
        <w:ind w:left="480"/>
        <w:rPr>
          <w:rStyle w:val="70"/>
          <w:rFonts w:ascii="Calibri" w:hAnsi="Calibri"/>
          <w:b w:val="0"/>
          <w:bCs/>
          <w:sz w:val="24"/>
          <w:szCs w:val="24"/>
        </w:rPr>
      </w:pPr>
      <w:bookmarkStart w:id="66" w:name="_Toc12693"/>
      <w:bookmarkStart w:id="67" w:name="_Toc95148168"/>
      <w:bookmarkStart w:id="68" w:name="_Toc50742882"/>
      <w:bookmarkStart w:id="69" w:name="_Toc11741"/>
      <w:bookmarkStart w:id="70" w:name="_Toc109031539"/>
      <w:bookmarkStart w:id="71" w:name="_Toc242533927"/>
      <w:bookmarkStart w:id="72" w:name="_Toc74143827"/>
      <w:r>
        <w:rPr>
          <w:rStyle w:val="70"/>
          <w:rFonts w:ascii="Calibri" w:hAnsi="Calibri"/>
          <w:b w:val="0"/>
          <w:bCs/>
          <w:sz w:val="24"/>
          <w:szCs w:val="24"/>
        </w:rPr>
        <w:t>2.3</w:t>
      </w:r>
      <w:r>
        <w:rPr>
          <w:rStyle w:val="70"/>
          <w:rFonts w:hint="eastAsia" w:ascii="Calibri" w:hAnsi="Calibri"/>
          <w:b w:val="0"/>
          <w:bCs/>
          <w:sz w:val="24"/>
          <w:szCs w:val="24"/>
        </w:rPr>
        <w:t>议程安排</w:t>
      </w:r>
      <w:bookmarkEnd w:id="66"/>
      <w:bookmarkEnd w:id="67"/>
      <w:bookmarkEnd w:id="68"/>
      <w:bookmarkEnd w:id="69"/>
      <w:bookmarkEnd w:id="70"/>
      <w:bookmarkEnd w:id="71"/>
      <w:bookmarkEnd w:id="72"/>
    </w:p>
    <w:p w14:paraId="04A0622A">
      <w:pPr>
        <w:spacing w:line="360" w:lineRule="auto"/>
        <w:ind w:firstLine="480" w:firstLineChars="200"/>
        <w:rPr>
          <w:rFonts w:cs="宋体"/>
          <w:sz w:val="24"/>
          <w:szCs w:val="22"/>
        </w:rPr>
      </w:pPr>
      <w:r>
        <w:rPr>
          <w:rFonts w:hint="eastAsia" w:cs="宋体"/>
          <w:sz w:val="24"/>
          <w:szCs w:val="22"/>
        </w:rPr>
        <w:t>1）</w:t>
      </w:r>
      <w:r>
        <w:rPr>
          <w:rFonts w:cs="宋体"/>
          <w:sz w:val="24"/>
          <w:szCs w:val="22"/>
        </w:rPr>
        <w:t>发标时间：202</w:t>
      </w:r>
      <w:r>
        <w:rPr>
          <w:rFonts w:hint="eastAsia" w:cs="宋体"/>
          <w:sz w:val="24"/>
          <w:szCs w:val="22"/>
        </w:rPr>
        <w:t>6</w:t>
      </w:r>
      <w:r>
        <w:rPr>
          <w:rFonts w:cs="宋体"/>
          <w:sz w:val="24"/>
          <w:szCs w:val="22"/>
        </w:rPr>
        <w:t>年10月</w:t>
      </w:r>
      <w:r>
        <w:rPr>
          <w:rFonts w:hint="eastAsia" w:cs="宋体"/>
          <w:sz w:val="24"/>
          <w:szCs w:val="22"/>
        </w:rPr>
        <w:t>12</w:t>
      </w:r>
      <w:r>
        <w:rPr>
          <w:rFonts w:cs="宋体"/>
          <w:sz w:val="24"/>
          <w:szCs w:val="22"/>
        </w:rPr>
        <w:t>日。</w:t>
      </w:r>
    </w:p>
    <w:p w14:paraId="172AE59C">
      <w:pPr>
        <w:spacing w:line="360" w:lineRule="auto"/>
        <w:ind w:firstLine="480" w:firstLineChars="200"/>
        <w:rPr>
          <w:rFonts w:cs="宋体"/>
          <w:sz w:val="24"/>
          <w:szCs w:val="22"/>
        </w:rPr>
      </w:pPr>
      <w:r>
        <w:rPr>
          <w:rFonts w:hint="eastAsia" w:cs="宋体"/>
          <w:sz w:val="24"/>
          <w:szCs w:val="22"/>
        </w:rPr>
        <w:t>2）</w:t>
      </w:r>
      <w:r>
        <w:rPr>
          <w:rFonts w:cs="宋体"/>
          <w:sz w:val="24"/>
          <w:szCs w:val="22"/>
        </w:rPr>
        <w:t>开标时间： 202</w:t>
      </w:r>
      <w:r>
        <w:rPr>
          <w:rFonts w:hint="eastAsia" w:cs="宋体"/>
          <w:sz w:val="24"/>
          <w:szCs w:val="22"/>
        </w:rPr>
        <w:t>6</w:t>
      </w:r>
      <w:r>
        <w:rPr>
          <w:rFonts w:cs="宋体"/>
          <w:sz w:val="24"/>
          <w:szCs w:val="22"/>
        </w:rPr>
        <w:t>年1</w:t>
      </w:r>
      <w:r>
        <w:rPr>
          <w:rFonts w:hint="eastAsia" w:cs="宋体"/>
          <w:sz w:val="24"/>
          <w:szCs w:val="22"/>
        </w:rPr>
        <w:t>1</w:t>
      </w:r>
      <w:r>
        <w:rPr>
          <w:rFonts w:cs="宋体"/>
          <w:sz w:val="24"/>
          <w:szCs w:val="22"/>
        </w:rPr>
        <w:t>月</w:t>
      </w:r>
      <w:r>
        <w:rPr>
          <w:rFonts w:hint="eastAsia" w:cs="宋体"/>
          <w:sz w:val="24"/>
          <w:szCs w:val="22"/>
        </w:rPr>
        <w:t>3</w:t>
      </w:r>
      <w:r>
        <w:rPr>
          <w:rFonts w:cs="宋体"/>
          <w:sz w:val="24"/>
          <w:szCs w:val="22"/>
        </w:rPr>
        <w:t>日</w:t>
      </w:r>
      <w:r>
        <w:rPr>
          <w:rFonts w:hint="eastAsia" w:cs="宋体"/>
          <w:sz w:val="24"/>
          <w:szCs w:val="22"/>
        </w:rPr>
        <w:t>9</w:t>
      </w:r>
      <w:r>
        <w:rPr>
          <w:rFonts w:cs="宋体"/>
          <w:sz w:val="24"/>
          <w:szCs w:val="22"/>
        </w:rPr>
        <w:t>:00，若有变动另行通知。</w:t>
      </w:r>
    </w:p>
    <w:p w14:paraId="52721C6F">
      <w:pPr>
        <w:spacing w:line="360" w:lineRule="auto"/>
        <w:ind w:firstLine="480" w:firstLineChars="200"/>
        <w:rPr>
          <w:rFonts w:cs="宋体"/>
          <w:sz w:val="24"/>
          <w:szCs w:val="22"/>
        </w:rPr>
      </w:pPr>
      <w:r>
        <w:rPr>
          <w:rFonts w:cs="宋体"/>
          <w:sz w:val="24"/>
          <w:szCs w:val="22"/>
        </w:rPr>
        <w:t>开标地点：重汽科技大厦4楼。</w:t>
      </w:r>
    </w:p>
    <w:p w14:paraId="32CEB0B3">
      <w:pPr>
        <w:spacing w:line="360" w:lineRule="auto"/>
        <w:ind w:firstLine="480" w:firstLineChars="200"/>
        <w:rPr>
          <w:rFonts w:cs="宋体"/>
          <w:sz w:val="24"/>
          <w:szCs w:val="22"/>
        </w:rPr>
      </w:pPr>
      <w:r>
        <w:rPr>
          <w:rFonts w:hint="eastAsia" w:cs="宋体"/>
          <w:sz w:val="24"/>
          <w:szCs w:val="22"/>
          <w:lang w:bidi="ar"/>
        </w:rPr>
        <w:t>3）</w:t>
      </w:r>
      <w:r>
        <w:rPr>
          <w:rFonts w:cs="宋体"/>
          <w:sz w:val="24"/>
          <w:szCs w:val="22"/>
        </w:rPr>
        <w:t>答疑时间：</w:t>
      </w:r>
      <w:r>
        <w:rPr>
          <w:rFonts w:hint="eastAsia" w:cs="宋体"/>
          <w:sz w:val="24"/>
          <w:szCs w:val="22"/>
        </w:rPr>
        <w:t>截止</w:t>
      </w:r>
      <w:r>
        <w:rPr>
          <w:rFonts w:cs="宋体"/>
          <w:sz w:val="24"/>
          <w:szCs w:val="22"/>
        </w:rPr>
        <w:t>202</w:t>
      </w:r>
      <w:r>
        <w:rPr>
          <w:rFonts w:hint="eastAsia" w:cs="宋体"/>
          <w:sz w:val="24"/>
          <w:szCs w:val="22"/>
        </w:rPr>
        <w:t>6</w:t>
      </w:r>
      <w:r>
        <w:rPr>
          <w:rFonts w:cs="宋体"/>
          <w:sz w:val="24"/>
          <w:szCs w:val="22"/>
        </w:rPr>
        <w:t>年1</w:t>
      </w:r>
      <w:r>
        <w:rPr>
          <w:rFonts w:hint="eastAsia" w:cs="宋体"/>
          <w:sz w:val="24"/>
          <w:szCs w:val="22"/>
        </w:rPr>
        <w:t>1</w:t>
      </w:r>
      <w:r>
        <w:rPr>
          <w:rFonts w:cs="宋体"/>
          <w:sz w:val="24"/>
          <w:szCs w:val="22"/>
        </w:rPr>
        <w:t>月</w:t>
      </w:r>
      <w:r>
        <w:rPr>
          <w:rFonts w:hint="eastAsia" w:cs="宋体"/>
          <w:sz w:val="24"/>
          <w:szCs w:val="22"/>
        </w:rPr>
        <w:t>3</w:t>
      </w:r>
      <w:r>
        <w:rPr>
          <w:rFonts w:cs="宋体"/>
          <w:sz w:val="24"/>
          <w:szCs w:val="22"/>
        </w:rPr>
        <w:t>日</w:t>
      </w:r>
      <w:r>
        <w:rPr>
          <w:rFonts w:hint="eastAsia" w:cs="宋体"/>
          <w:sz w:val="24"/>
          <w:szCs w:val="22"/>
        </w:rPr>
        <w:t>8</w:t>
      </w:r>
      <w:r>
        <w:rPr>
          <w:rFonts w:cs="宋体"/>
          <w:sz w:val="24"/>
          <w:szCs w:val="22"/>
        </w:rPr>
        <w:t>:00。</w:t>
      </w:r>
    </w:p>
    <w:p w14:paraId="6E81D3CB">
      <w:pPr>
        <w:spacing w:line="360" w:lineRule="auto"/>
        <w:ind w:left="1620" w:leftChars="200" w:hanging="1200" w:hangingChars="500"/>
        <w:rPr>
          <w:rFonts w:cs="宋体"/>
          <w:sz w:val="24"/>
          <w:szCs w:val="22"/>
        </w:rPr>
      </w:pPr>
      <w:r>
        <w:rPr>
          <w:rFonts w:cs="宋体"/>
          <w:sz w:val="24"/>
          <w:szCs w:val="22"/>
        </w:rPr>
        <w:t>联 系 人：</w:t>
      </w:r>
      <w:r>
        <w:rPr>
          <w:rFonts w:hint="eastAsia" w:cs="宋体"/>
          <w:sz w:val="24"/>
          <w:szCs w:val="22"/>
        </w:rPr>
        <w:t>高强</w:t>
      </w:r>
      <w:r>
        <w:rPr>
          <w:rFonts w:cs="宋体"/>
          <w:sz w:val="24"/>
          <w:szCs w:val="22"/>
        </w:rPr>
        <w:t xml:space="preserve"> </w:t>
      </w:r>
      <w:r>
        <w:rPr>
          <w:rFonts w:hint="eastAsia" w:cs="宋体"/>
          <w:sz w:val="24"/>
          <w:szCs w:val="22"/>
        </w:rPr>
        <w:t xml:space="preserve">   </w:t>
      </w:r>
      <w:r>
        <w:rPr>
          <w:rFonts w:cs="宋体"/>
          <w:sz w:val="24"/>
          <w:szCs w:val="22"/>
        </w:rPr>
        <w:t>17860601613</w:t>
      </w:r>
      <w:r>
        <w:rPr>
          <w:rFonts w:hint="eastAsia" w:cs="宋体"/>
          <w:sz w:val="24"/>
          <w:szCs w:val="22"/>
        </w:rPr>
        <w:t xml:space="preserve">      孙丽君 18769796773</w:t>
      </w:r>
    </w:p>
    <w:p w14:paraId="21B0692D">
      <w:pPr>
        <w:spacing w:line="360" w:lineRule="auto"/>
        <w:ind w:firstLine="480" w:firstLineChars="200"/>
        <w:rPr>
          <w:rFonts w:cs="宋体"/>
          <w:sz w:val="24"/>
          <w:szCs w:val="22"/>
        </w:rPr>
      </w:pPr>
      <w:r>
        <w:rPr>
          <w:rFonts w:hint="eastAsia" w:cs="宋体"/>
          <w:sz w:val="24"/>
          <w:szCs w:val="22"/>
        </w:rPr>
        <w:t>4）</w:t>
      </w:r>
      <w:r>
        <w:rPr>
          <w:rFonts w:cs="宋体"/>
          <w:sz w:val="24"/>
          <w:szCs w:val="22"/>
        </w:rPr>
        <w:t>投标文件提交截止时间：202</w:t>
      </w:r>
      <w:r>
        <w:rPr>
          <w:rFonts w:hint="eastAsia" w:cs="宋体"/>
          <w:sz w:val="24"/>
          <w:szCs w:val="22"/>
        </w:rPr>
        <w:t>6</w:t>
      </w:r>
      <w:r>
        <w:rPr>
          <w:rFonts w:cs="宋体"/>
          <w:sz w:val="24"/>
          <w:szCs w:val="22"/>
        </w:rPr>
        <w:t>年1</w:t>
      </w:r>
      <w:r>
        <w:rPr>
          <w:rFonts w:hint="eastAsia" w:cs="宋体"/>
          <w:sz w:val="24"/>
          <w:szCs w:val="22"/>
        </w:rPr>
        <w:t>1</w:t>
      </w:r>
      <w:r>
        <w:rPr>
          <w:rFonts w:cs="宋体"/>
          <w:sz w:val="24"/>
          <w:szCs w:val="22"/>
        </w:rPr>
        <w:t>月</w:t>
      </w:r>
      <w:r>
        <w:rPr>
          <w:rFonts w:hint="eastAsia" w:cs="宋体"/>
          <w:sz w:val="24"/>
          <w:szCs w:val="22"/>
        </w:rPr>
        <w:t>3</w:t>
      </w:r>
      <w:r>
        <w:rPr>
          <w:rFonts w:cs="宋体"/>
          <w:sz w:val="24"/>
          <w:szCs w:val="22"/>
        </w:rPr>
        <w:t>日</w:t>
      </w:r>
      <w:r>
        <w:rPr>
          <w:rFonts w:hint="eastAsia" w:cs="宋体"/>
          <w:sz w:val="24"/>
          <w:szCs w:val="22"/>
        </w:rPr>
        <w:t>8</w:t>
      </w:r>
      <w:r>
        <w:rPr>
          <w:rFonts w:cs="宋体"/>
          <w:sz w:val="24"/>
          <w:szCs w:val="22"/>
        </w:rPr>
        <w:t>:00。</w:t>
      </w:r>
    </w:p>
    <w:p w14:paraId="4C0CE8FC">
      <w:pPr>
        <w:spacing w:line="360" w:lineRule="auto"/>
        <w:ind w:firstLine="482" w:firstLineChars="200"/>
        <w:rPr>
          <w:rFonts w:cs="宋体"/>
          <w:b/>
          <w:bCs/>
          <w:sz w:val="24"/>
          <w:szCs w:val="22"/>
        </w:rPr>
      </w:pPr>
      <w:r>
        <w:rPr>
          <w:rFonts w:hint="eastAsia" w:cs="宋体"/>
          <w:b/>
          <w:bCs/>
          <w:sz w:val="24"/>
          <w:szCs w:val="22"/>
        </w:rPr>
        <w:t>2.4</w:t>
      </w:r>
      <w:r>
        <w:rPr>
          <w:rFonts w:cs="宋体"/>
          <w:b/>
          <w:bCs/>
          <w:sz w:val="24"/>
          <w:szCs w:val="22"/>
        </w:rPr>
        <w:t>本次招标注册、应标、澄清、报价全部操作需要登录</w:t>
      </w:r>
      <w:r>
        <w:rPr>
          <w:rFonts w:hint="eastAsia" w:cs="宋体"/>
          <w:b/>
          <w:bCs/>
          <w:sz w:val="24"/>
          <w:szCs w:val="22"/>
        </w:rPr>
        <w:t>中国重汽</w:t>
      </w:r>
      <w:r>
        <w:rPr>
          <w:rFonts w:cs="宋体"/>
          <w:b/>
          <w:bCs/>
          <w:sz w:val="24"/>
          <w:szCs w:val="22"/>
        </w:rPr>
        <w:t>E采通系统进行操作，网址如下：</w:t>
      </w:r>
      <w:r>
        <w:fldChar w:fldCharType="begin"/>
      </w:r>
      <w:r>
        <w:instrText xml:space="preserve"> HYPERLINK "http://ecaitong.sinotruk.com:8012/，请于截止日期前完成注册、应标等操作。" </w:instrText>
      </w:r>
      <w:r>
        <w:fldChar w:fldCharType="separate"/>
      </w:r>
      <w:r>
        <w:rPr>
          <w:rFonts w:hint="eastAsia" w:cs="宋体"/>
          <w:b/>
          <w:bCs/>
          <w:sz w:val="24"/>
          <w:szCs w:val="22"/>
        </w:rPr>
        <w:t>https://ecaitong.sinotruk.com:8012</w:t>
      </w:r>
      <w:r>
        <w:rPr>
          <w:rFonts w:cs="宋体"/>
          <w:b/>
          <w:bCs/>
          <w:sz w:val="24"/>
          <w:szCs w:val="22"/>
        </w:rPr>
        <w:t>，请于截止日期前完成注册、应标、投标等操作，超过截止日期未将盖章（或电子章）技术标、商务标、资质等文件上传系统的，系统自动关闭上传入口，视为放弃应标。</w:t>
      </w:r>
      <w:r>
        <w:rPr>
          <w:rFonts w:cs="宋体"/>
          <w:b/>
          <w:bCs/>
          <w:sz w:val="24"/>
          <w:szCs w:val="22"/>
        </w:rPr>
        <w:fldChar w:fldCharType="end"/>
      </w:r>
      <w:r>
        <w:rPr>
          <w:rFonts w:cs="宋体"/>
          <w:b/>
          <w:bCs/>
          <w:sz w:val="24"/>
          <w:szCs w:val="22"/>
          <w:lang w:bidi="ar"/>
        </w:rPr>
        <w:t xml:space="preserve">   </w:t>
      </w:r>
      <w:r>
        <w:rPr>
          <w:rFonts w:cs="宋体"/>
          <w:b/>
          <w:bCs/>
          <w:sz w:val="24"/>
          <w:szCs w:val="22"/>
        </w:rPr>
        <w:t xml:space="preserve">  </w:t>
      </w:r>
    </w:p>
    <w:p w14:paraId="29E97731">
      <w:pPr>
        <w:pStyle w:val="57"/>
        <w:keepNext w:val="0"/>
        <w:widowControl/>
        <w:numPr>
          <w:ilvl w:val="0"/>
          <w:numId w:val="7"/>
        </w:numPr>
        <w:rPr>
          <w:rFonts w:ascii="黑体" w:hAnsi="黑体" w:eastAsia="黑体" w:cs="宋体"/>
        </w:rPr>
      </w:pPr>
      <w:bookmarkStart w:id="73" w:name="_Toc18155"/>
      <w:bookmarkStart w:id="74" w:name="_Toc28172"/>
      <w:bookmarkStart w:id="75" w:name="_Toc109031540"/>
      <w:bookmarkStart w:id="76" w:name="_Toc74143828"/>
      <w:bookmarkStart w:id="77" w:name="_Toc50742883"/>
      <w:bookmarkStart w:id="78" w:name="_Toc95148169"/>
      <w:bookmarkStart w:id="79" w:name="_Toc242533928"/>
      <w:r>
        <w:rPr>
          <w:rFonts w:hint="eastAsia" w:ascii="黑体" w:hAnsi="黑体" w:eastAsia="黑体" w:cs="宋体"/>
        </w:rPr>
        <w:t>有关说明</w:t>
      </w:r>
      <w:bookmarkEnd w:id="73"/>
      <w:bookmarkEnd w:id="74"/>
      <w:bookmarkEnd w:id="75"/>
      <w:bookmarkEnd w:id="76"/>
      <w:bookmarkEnd w:id="77"/>
      <w:bookmarkEnd w:id="78"/>
      <w:bookmarkEnd w:id="79"/>
    </w:p>
    <w:p w14:paraId="44FE2149">
      <w:pPr>
        <w:pStyle w:val="69"/>
        <w:keepNext w:val="0"/>
        <w:widowControl/>
        <w:numPr>
          <w:ilvl w:val="1"/>
          <w:numId w:val="0"/>
        </w:numPr>
        <w:ind w:firstLine="480" w:firstLineChars="200"/>
        <w:rPr>
          <w:rStyle w:val="70"/>
          <w:rFonts w:ascii="Calibri" w:hAnsi="Calibri"/>
          <w:b w:val="0"/>
          <w:bCs/>
          <w:sz w:val="24"/>
          <w:szCs w:val="24"/>
        </w:rPr>
      </w:pPr>
      <w:bookmarkStart w:id="80" w:name="_Toc74143829"/>
      <w:bookmarkStart w:id="81" w:name="_Toc50742884"/>
      <w:bookmarkStart w:id="82" w:name="_Toc95148170"/>
      <w:bookmarkStart w:id="83" w:name="_Toc28108"/>
      <w:bookmarkStart w:id="84" w:name="_Toc270497415"/>
      <w:bookmarkStart w:id="85" w:name="_Toc18938"/>
      <w:bookmarkStart w:id="86" w:name="_Toc109031541"/>
      <w:bookmarkStart w:id="87" w:name="_Toc242533929"/>
      <w:r>
        <w:rPr>
          <w:rStyle w:val="70"/>
          <w:rFonts w:hint="eastAsia" w:ascii="Calibri" w:hAnsi="Calibri"/>
          <w:b w:val="0"/>
          <w:bCs/>
          <w:sz w:val="24"/>
          <w:szCs w:val="24"/>
        </w:rPr>
        <w:t>3.1</w:t>
      </w:r>
      <w:r>
        <w:rPr>
          <w:rStyle w:val="70"/>
          <w:rFonts w:ascii="Calibri" w:hAnsi="Calibri"/>
          <w:b w:val="0"/>
          <w:bCs/>
          <w:sz w:val="24"/>
          <w:szCs w:val="24"/>
        </w:rPr>
        <w:t>总则</w:t>
      </w:r>
      <w:bookmarkEnd w:id="80"/>
      <w:bookmarkEnd w:id="81"/>
      <w:bookmarkEnd w:id="82"/>
      <w:bookmarkEnd w:id="83"/>
      <w:bookmarkEnd w:id="84"/>
      <w:bookmarkEnd w:id="85"/>
      <w:bookmarkEnd w:id="86"/>
      <w:bookmarkEnd w:id="87"/>
    </w:p>
    <w:p w14:paraId="39C54685">
      <w:pPr>
        <w:pStyle w:val="69"/>
        <w:numPr>
          <w:ilvl w:val="1"/>
          <w:numId w:val="0"/>
        </w:numPr>
        <w:ind w:firstLine="480" w:firstLineChars="200"/>
        <w:rPr>
          <w:rStyle w:val="70"/>
          <w:rFonts w:ascii="Calibri" w:hAnsi="Calibri"/>
          <w:b w:val="0"/>
          <w:bCs/>
          <w:sz w:val="24"/>
          <w:szCs w:val="24"/>
        </w:rPr>
      </w:pPr>
      <w:bookmarkStart w:id="88" w:name="_Toc242533930"/>
      <w:bookmarkStart w:id="89" w:name="_Toc22675"/>
      <w:bookmarkStart w:id="90" w:name="_Toc22281"/>
      <w:r>
        <w:rPr>
          <w:rStyle w:val="70"/>
          <w:rFonts w:ascii="Calibri" w:hAnsi="Calibri"/>
          <w:b w:val="0"/>
          <w:bCs/>
          <w:sz w:val="24"/>
          <w:szCs w:val="24"/>
        </w:rPr>
        <w:t>根据《中华人民共和国招标投标法》、《中华人民共和国会计法》《</w:t>
      </w:r>
      <w:r>
        <w:rPr>
          <w:rStyle w:val="70"/>
          <w:rFonts w:hint="eastAsia" w:ascii="Calibri" w:hAnsi="Calibri"/>
          <w:b w:val="0"/>
          <w:bCs/>
          <w:sz w:val="24"/>
          <w:szCs w:val="24"/>
        </w:rPr>
        <w:t>中华人民共和国民法典</w:t>
      </w:r>
      <w:r>
        <w:rPr>
          <w:rStyle w:val="70"/>
          <w:rFonts w:ascii="Calibri" w:hAnsi="Calibri"/>
          <w:b w:val="0"/>
          <w:bCs/>
          <w:sz w:val="24"/>
          <w:szCs w:val="24"/>
        </w:rPr>
        <w:t>》</w:t>
      </w:r>
      <w:r>
        <w:rPr>
          <w:rFonts w:ascii="Calibri" w:hAnsi="Calibri"/>
          <w:b w:val="0"/>
          <w:bCs/>
          <w:sz w:val="24"/>
          <w:szCs w:val="24"/>
        </w:rPr>
        <w:t>《汽车金融公司管理办法》（国家金融监管总局令2023年第1号）</w:t>
      </w:r>
      <w:r>
        <w:rPr>
          <w:rFonts w:hint="eastAsia" w:ascii="Calibri" w:hAnsi="Calibri"/>
          <w:b w:val="0"/>
          <w:bCs/>
          <w:sz w:val="24"/>
          <w:szCs w:val="24"/>
        </w:rPr>
        <w:t>等</w:t>
      </w:r>
      <w:r>
        <w:rPr>
          <w:rStyle w:val="70"/>
          <w:rFonts w:ascii="Calibri" w:hAnsi="Calibri"/>
          <w:b w:val="0"/>
          <w:bCs/>
          <w:sz w:val="24"/>
          <w:szCs w:val="24"/>
        </w:rPr>
        <w:t>相关规定，对</w:t>
      </w:r>
      <w:r>
        <w:rPr>
          <w:rStyle w:val="70"/>
          <w:rFonts w:ascii="Calibri" w:hAnsi="Calibri"/>
          <w:b w:val="0"/>
          <w:bCs/>
          <w:sz w:val="24"/>
        </w:rPr>
        <w:t>重汽汽车金融有限公司</w:t>
      </w:r>
      <w:r>
        <w:rPr>
          <w:rStyle w:val="70"/>
          <w:rFonts w:hint="eastAsia" w:ascii="Calibri" w:hAnsi="Calibri"/>
          <w:b w:val="0"/>
          <w:bCs/>
          <w:sz w:val="24"/>
        </w:rPr>
        <w:t>2026年度</w:t>
      </w:r>
      <w:r>
        <w:rPr>
          <w:rStyle w:val="70"/>
          <w:rFonts w:ascii="Calibri" w:hAnsi="Calibri"/>
          <w:b w:val="0"/>
          <w:bCs/>
          <w:sz w:val="24"/>
        </w:rPr>
        <w:t>财务报表及</w:t>
      </w:r>
      <w:r>
        <w:rPr>
          <w:rStyle w:val="70"/>
          <w:rFonts w:hint="eastAsia" w:ascii="Calibri" w:hAnsi="Calibri"/>
          <w:b w:val="0"/>
          <w:bCs/>
          <w:sz w:val="24"/>
        </w:rPr>
        <w:t>内部控制审计</w:t>
      </w:r>
      <w:r>
        <w:rPr>
          <w:rStyle w:val="70"/>
          <w:rFonts w:ascii="Calibri" w:hAnsi="Calibri"/>
          <w:b w:val="0"/>
          <w:bCs/>
          <w:sz w:val="24"/>
        </w:rPr>
        <w:t>项目</w:t>
      </w:r>
      <w:r>
        <w:rPr>
          <w:rStyle w:val="70"/>
          <w:rFonts w:ascii="Calibri" w:hAnsi="Calibri"/>
          <w:b w:val="0"/>
          <w:bCs/>
          <w:sz w:val="24"/>
          <w:szCs w:val="24"/>
        </w:rPr>
        <w:t>进行招标。</w:t>
      </w:r>
      <w:bookmarkEnd w:id="88"/>
      <w:bookmarkEnd w:id="89"/>
      <w:bookmarkEnd w:id="90"/>
    </w:p>
    <w:p w14:paraId="71FB4901">
      <w:pPr>
        <w:pStyle w:val="69"/>
        <w:keepNext w:val="0"/>
        <w:widowControl/>
        <w:numPr>
          <w:ilvl w:val="1"/>
          <w:numId w:val="0"/>
        </w:numPr>
        <w:ind w:firstLine="480" w:firstLineChars="200"/>
        <w:rPr>
          <w:rStyle w:val="70"/>
          <w:rFonts w:ascii="Calibri" w:hAnsi="Calibri"/>
          <w:b w:val="0"/>
          <w:bCs/>
          <w:sz w:val="24"/>
          <w:szCs w:val="24"/>
        </w:rPr>
      </w:pPr>
      <w:bookmarkStart w:id="91" w:name="_Toc6493"/>
      <w:bookmarkStart w:id="92" w:name="_Toc74143830"/>
      <w:bookmarkStart w:id="93" w:name="_Toc3798"/>
      <w:bookmarkStart w:id="94" w:name="_Toc50742885"/>
      <w:bookmarkStart w:id="95" w:name="_Toc109031542"/>
      <w:bookmarkStart w:id="96" w:name="_Toc95148171"/>
      <w:bookmarkStart w:id="97" w:name="_Toc242533931"/>
      <w:r>
        <w:rPr>
          <w:rStyle w:val="70"/>
          <w:rFonts w:hint="eastAsia" w:ascii="Calibri" w:hAnsi="Calibri"/>
          <w:b w:val="0"/>
          <w:bCs/>
          <w:sz w:val="24"/>
          <w:szCs w:val="24"/>
        </w:rPr>
        <w:t>3.2</w:t>
      </w:r>
      <w:r>
        <w:rPr>
          <w:rStyle w:val="70"/>
          <w:rFonts w:ascii="Calibri" w:hAnsi="Calibri"/>
          <w:b w:val="0"/>
          <w:bCs/>
          <w:sz w:val="24"/>
          <w:szCs w:val="24"/>
        </w:rPr>
        <w:t>定义</w:t>
      </w:r>
      <w:bookmarkEnd w:id="91"/>
      <w:bookmarkEnd w:id="92"/>
      <w:bookmarkEnd w:id="93"/>
      <w:bookmarkEnd w:id="94"/>
      <w:bookmarkEnd w:id="95"/>
      <w:bookmarkEnd w:id="96"/>
      <w:bookmarkEnd w:id="97"/>
    </w:p>
    <w:p w14:paraId="37495C34">
      <w:pPr>
        <w:pStyle w:val="69"/>
        <w:numPr>
          <w:ilvl w:val="1"/>
          <w:numId w:val="0"/>
        </w:numPr>
        <w:ind w:firstLine="480" w:firstLineChars="200"/>
        <w:rPr>
          <w:rStyle w:val="70"/>
          <w:rFonts w:ascii="Calibri" w:hAnsi="Calibri"/>
          <w:b w:val="0"/>
          <w:bCs/>
          <w:sz w:val="24"/>
          <w:szCs w:val="24"/>
        </w:rPr>
      </w:pPr>
      <w:bookmarkStart w:id="98" w:name="_Toc22037"/>
      <w:bookmarkStart w:id="99" w:name="_Toc9586"/>
      <w:bookmarkStart w:id="100" w:name="_Toc242533932"/>
      <w:r>
        <w:rPr>
          <w:rStyle w:val="70"/>
          <w:rFonts w:hint="eastAsia" w:ascii="Calibri" w:hAnsi="Calibri"/>
          <w:b w:val="0"/>
          <w:bCs/>
          <w:sz w:val="24"/>
          <w:szCs w:val="24"/>
        </w:rPr>
        <w:t>1）</w:t>
      </w:r>
      <w:r>
        <w:rPr>
          <w:rStyle w:val="70"/>
          <w:rFonts w:ascii="Calibri" w:hAnsi="Calibri"/>
          <w:b w:val="0"/>
          <w:bCs/>
          <w:sz w:val="24"/>
          <w:szCs w:val="24"/>
        </w:rPr>
        <w:t>招标人：重汽汽车金融有限公司</w:t>
      </w:r>
      <w:bookmarkEnd w:id="98"/>
      <w:bookmarkEnd w:id="99"/>
      <w:bookmarkEnd w:id="100"/>
    </w:p>
    <w:p w14:paraId="64B15D0F">
      <w:pPr>
        <w:pStyle w:val="69"/>
        <w:numPr>
          <w:ilvl w:val="1"/>
          <w:numId w:val="0"/>
        </w:numPr>
        <w:ind w:firstLine="480" w:firstLineChars="200"/>
        <w:rPr>
          <w:rStyle w:val="70"/>
          <w:rFonts w:ascii="Calibri" w:hAnsi="Calibri"/>
          <w:b w:val="0"/>
          <w:bCs/>
          <w:sz w:val="24"/>
          <w:szCs w:val="24"/>
        </w:rPr>
      </w:pPr>
      <w:bookmarkStart w:id="101" w:name="_Toc242533933"/>
      <w:bookmarkStart w:id="102" w:name="_Toc23385"/>
      <w:bookmarkStart w:id="103" w:name="_Toc22215"/>
      <w:r>
        <w:rPr>
          <w:rStyle w:val="70"/>
          <w:rFonts w:hint="eastAsia" w:ascii="Calibri" w:hAnsi="Calibri"/>
          <w:b w:val="0"/>
          <w:bCs/>
          <w:sz w:val="24"/>
          <w:szCs w:val="24"/>
        </w:rPr>
        <w:t>2）</w:t>
      </w:r>
      <w:r>
        <w:rPr>
          <w:rStyle w:val="70"/>
          <w:rFonts w:ascii="Calibri" w:hAnsi="Calibri"/>
          <w:b w:val="0"/>
          <w:bCs/>
          <w:sz w:val="24"/>
          <w:szCs w:val="24"/>
        </w:rPr>
        <w:t>投标人：由招标人认可的符合投标资格的参加本项目投标的</w:t>
      </w:r>
      <w:r>
        <w:rPr>
          <w:rStyle w:val="70"/>
          <w:rFonts w:hint="eastAsia" w:ascii="Calibri" w:hAnsi="Calibri"/>
          <w:b w:val="0"/>
          <w:bCs/>
          <w:sz w:val="24"/>
          <w:szCs w:val="24"/>
        </w:rPr>
        <w:t>服务</w:t>
      </w:r>
      <w:r>
        <w:rPr>
          <w:rStyle w:val="70"/>
          <w:rFonts w:ascii="Calibri" w:hAnsi="Calibri"/>
          <w:b w:val="0"/>
          <w:bCs/>
          <w:sz w:val="24"/>
          <w:szCs w:val="24"/>
        </w:rPr>
        <w:t>商</w:t>
      </w:r>
      <w:bookmarkEnd w:id="101"/>
      <w:bookmarkEnd w:id="102"/>
      <w:bookmarkEnd w:id="103"/>
    </w:p>
    <w:p w14:paraId="53270B1F">
      <w:pPr>
        <w:pStyle w:val="69"/>
        <w:numPr>
          <w:ilvl w:val="1"/>
          <w:numId w:val="0"/>
        </w:numPr>
        <w:ind w:firstLine="480" w:firstLineChars="200"/>
        <w:rPr>
          <w:rStyle w:val="70"/>
          <w:rFonts w:ascii="Calibri" w:hAnsi="Calibri"/>
          <w:b w:val="0"/>
          <w:bCs/>
          <w:sz w:val="24"/>
          <w:szCs w:val="24"/>
        </w:rPr>
      </w:pPr>
      <w:bookmarkStart w:id="104" w:name="_Toc5562"/>
      <w:bookmarkStart w:id="105" w:name="_Toc12086"/>
      <w:bookmarkStart w:id="106" w:name="_Toc242533934"/>
      <w:bookmarkStart w:id="107" w:name="_Toc270497418"/>
      <w:r>
        <w:rPr>
          <w:rStyle w:val="70"/>
          <w:rFonts w:hint="eastAsia" w:ascii="Calibri" w:hAnsi="Calibri"/>
          <w:b w:val="0"/>
          <w:bCs/>
          <w:sz w:val="24"/>
          <w:szCs w:val="24"/>
        </w:rPr>
        <w:t>3）</w:t>
      </w:r>
      <w:r>
        <w:rPr>
          <w:rStyle w:val="70"/>
          <w:rFonts w:ascii="Calibri" w:hAnsi="Calibri"/>
          <w:b w:val="0"/>
          <w:bCs/>
          <w:sz w:val="24"/>
          <w:szCs w:val="24"/>
        </w:rPr>
        <w:t>产品：指投标人为本项目提供的服务及项目交付物</w:t>
      </w:r>
      <w:bookmarkEnd w:id="104"/>
      <w:bookmarkEnd w:id="105"/>
      <w:bookmarkEnd w:id="106"/>
    </w:p>
    <w:p w14:paraId="00A1FDB6">
      <w:pPr>
        <w:pStyle w:val="69"/>
        <w:numPr>
          <w:ilvl w:val="1"/>
          <w:numId w:val="0"/>
        </w:numPr>
        <w:ind w:firstLine="480" w:firstLineChars="200"/>
        <w:rPr>
          <w:rStyle w:val="70"/>
          <w:rFonts w:ascii="Calibri" w:hAnsi="Calibri"/>
          <w:b w:val="0"/>
          <w:bCs/>
          <w:sz w:val="24"/>
          <w:szCs w:val="24"/>
        </w:rPr>
      </w:pPr>
      <w:bookmarkStart w:id="108" w:name="_Toc2236"/>
      <w:bookmarkStart w:id="109" w:name="_Toc1747"/>
      <w:bookmarkStart w:id="110" w:name="_Toc242533935"/>
      <w:r>
        <w:rPr>
          <w:rStyle w:val="70"/>
          <w:rFonts w:hint="eastAsia" w:ascii="Calibri" w:hAnsi="Calibri"/>
          <w:b w:val="0"/>
          <w:bCs/>
          <w:sz w:val="24"/>
          <w:szCs w:val="24"/>
        </w:rPr>
        <w:t>4）</w:t>
      </w:r>
      <w:r>
        <w:rPr>
          <w:rStyle w:val="70"/>
          <w:rFonts w:ascii="Calibri" w:hAnsi="Calibri"/>
          <w:b w:val="0"/>
          <w:bCs/>
          <w:sz w:val="24"/>
          <w:szCs w:val="24"/>
        </w:rPr>
        <w:t>招标方式</w:t>
      </w:r>
      <w:bookmarkEnd w:id="107"/>
      <w:r>
        <w:rPr>
          <w:rStyle w:val="70"/>
          <w:rFonts w:ascii="Calibri" w:hAnsi="Calibri"/>
          <w:b w:val="0"/>
          <w:bCs/>
          <w:sz w:val="24"/>
          <w:szCs w:val="24"/>
        </w:rPr>
        <w:t>：本项目采用“</w:t>
      </w:r>
      <w:r>
        <w:rPr>
          <w:rStyle w:val="70"/>
          <w:rFonts w:ascii="Calibri" w:hAnsi="Calibri"/>
          <w:b w:val="0"/>
          <w:bCs/>
          <w:sz w:val="24"/>
        </w:rPr>
        <w:t>公开招标”</w:t>
      </w:r>
      <w:r>
        <w:rPr>
          <w:rStyle w:val="70"/>
          <w:rFonts w:ascii="Calibri" w:hAnsi="Calibri"/>
          <w:b w:val="0"/>
          <w:bCs/>
          <w:sz w:val="24"/>
          <w:szCs w:val="24"/>
        </w:rPr>
        <w:t>方式</w:t>
      </w:r>
      <w:bookmarkEnd w:id="108"/>
      <w:bookmarkEnd w:id="109"/>
      <w:bookmarkEnd w:id="110"/>
    </w:p>
    <w:p w14:paraId="0446EE7D">
      <w:pPr>
        <w:pStyle w:val="69"/>
        <w:keepNext w:val="0"/>
        <w:widowControl/>
        <w:numPr>
          <w:ilvl w:val="1"/>
          <w:numId w:val="0"/>
        </w:numPr>
        <w:ind w:firstLine="480" w:firstLineChars="200"/>
        <w:rPr>
          <w:rStyle w:val="70"/>
          <w:rFonts w:ascii="Calibri" w:hAnsi="Calibri"/>
          <w:b w:val="0"/>
          <w:bCs/>
          <w:sz w:val="24"/>
          <w:szCs w:val="24"/>
        </w:rPr>
      </w:pPr>
      <w:bookmarkStart w:id="111" w:name="_Toc74143831"/>
      <w:bookmarkStart w:id="112" w:name="_Toc270497419"/>
      <w:bookmarkStart w:id="113" w:name="_Toc242533936"/>
      <w:bookmarkStart w:id="114" w:name="_Toc19412"/>
      <w:bookmarkStart w:id="115" w:name="_Toc95148172"/>
      <w:bookmarkStart w:id="116" w:name="_Toc50742886"/>
      <w:bookmarkStart w:id="117" w:name="_Toc109031543"/>
      <w:bookmarkStart w:id="118" w:name="_Toc26140"/>
      <w:r>
        <w:rPr>
          <w:rStyle w:val="70"/>
          <w:rFonts w:hint="eastAsia" w:ascii="Calibri" w:hAnsi="Calibri"/>
          <w:b w:val="0"/>
          <w:bCs/>
          <w:sz w:val="24"/>
          <w:szCs w:val="24"/>
        </w:rPr>
        <w:t>3.3</w:t>
      </w:r>
      <w:r>
        <w:rPr>
          <w:rStyle w:val="70"/>
          <w:rFonts w:ascii="Calibri" w:hAnsi="Calibri"/>
          <w:b w:val="0"/>
          <w:bCs/>
          <w:sz w:val="24"/>
          <w:szCs w:val="24"/>
        </w:rPr>
        <w:t>项目实施方式</w:t>
      </w:r>
      <w:bookmarkEnd w:id="111"/>
      <w:bookmarkEnd w:id="112"/>
      <w:bookmarkEnd w:id="113"/>
      <w:bookmarkEnd w:id="114"/>
      <w:bookmarkEnd w:id="115"/>
      <w:bookmarkEnd w:id="116"/>
      <w:bookmarkEnd w:id="117"/>
      <w:bookmarkEnd w:id="118"/>
    </w:p>
    <w:p w14:paraId="38ACF3DA">
      <w:pPr>
        <w:pStyle w:val="69"/>
        <w:numPr>
          <w:ilvl w:val="1"/>
          <w:numId w:val="0"/>
        </w:numPr>
        <w:ind w:firstLine="480" w:firstLineChars="200"/>
        <w:rPr>
          <w:rStyle w:val="70"/>
          <w:rFonts w:ascii="Calibri" w:hAnsi="Calibri"/>
          <w:b w:val="0"/>
          <w:bCs/>
          <w:sz w:val="24"/>
        </w:rPr>
      </w:pPr>
      <w:bookmarkStart w:id="119" w:name="_Toc2295"/>
      <w:bookmarkStart w:id="120" w:name="_Toc6394"/>
      <w:bookmarkStart w:id="121" w:name="_Toc242533937"/>
      <w:r>
        <w:rPr>
          <w:rStyle w:val="70"/>
          <w:rFonts w:ascii="Calibri" w:hAnsi="Calibri"/>
          <w:b w:val="0"/>
          <w:bCs/>
          <w:sz w:val="24"/>
        </w:rPr>
        <w:t>本项目由单一供方直接投标，不得联合投标。未经招标方许可，不得以任何形式进行转包、分包。</w:t>
      </w:r>
      <w:bookmarkEnd w:id="119"/>
      <w:bookmarkEnd w:id="120"/>
      <w:bookmarkEnd w:id="121"/>
    </w:p>
    <w:p w14:paraId="75431274">
      <w:pPr>
        <w:pStyle w:val="69"/>
        <w:keepNext w:val="0"/>
        <w:widowControl/>
        <w:numPr>
          <w:ilvl w:val="1"/>
          <w:numId w:val="0"/>
        </w:numPr>
        <w:ind w:firstLine="480" w:firstLineChars="200"/>
        <w:rPr>
          <w:rStyle w:val="70"/>
          <w:rFonts w:ascii="Calibri" w:hAnsi="Calibri"/>
          <w:b w:val="0"/>
          <w:bCs/>
          <w:sz w:val="24"/>
          <w:szCs w:val="24"/>
        </w:rPr>
      </w:pPr>
      <w:bookmarkStart w:id="122" w:name="_Toc264881857"/>
      <w:bookmarkStart w:id="123" w:name="_Toc265850577"/>
      <w:bookmarkStart w:id="124" w:name="_Toc109031544"/>
      <w:bookmarkStart w:id="125" w:name="_Toc50742887"/>
      <w:bookmarkStart w:id="126" w:name="_Toc7688"/>
      <w:bookmarkStart w:id="127" w:name="_Toc95148173"/>
      <w:bookmarkStart w:id="128" w:name="_Toc234922352"/>
      <w:bookmarkStart w:id="129" w:name="_Toc74143832"/>
      <w:bookmarkStart w:id="130" w:name="_Toc5331"/>
      <w:bookmarkStart w:id="131" w:name="_Toc242533938"/>
      <w:r>
        <w:rPr>
          <w:rStyle w:val="70"/>
          <w:rFonts w:hint="eastAsia" w:ascii="Calibri" w:hAnsi="Calibri"/>
          <w:b w:val="0"/>
          <w:bCs/>
          <w:sz w:val="24"/>
          <w:szCs w:val="24"/>
        </w:rPr>
        <w:t>3.4</w:t>
      </w:r>
      <w:r>
        <w:rPr>
          <w:rStyle w:val="70"/>
          <w:rFonts w:ascii="Calibri" w:hAnsi="Calibri"/>
          <w:b w:val="0"/>
          <w:bCs/>
          <w:sz w:val="24"/>
          <w:szCs w:val="24"/>
        </w:rPr>
        <w:t>投标人须知</w:t>
      </w:r>
      <w:bookmarkEnd w:id="122"/>
      <w:bookmarkEnd w:id="123"/>
      <w:bookmarkEnd w:id="124"/>
      <w:bookmarkEnd w:id="125"/>
      <w:bookmarkEnd w:id="126"/>
      <w:bookmarkEnd w:id="127"/>
      <w:bookmarkEnd w:id="128"/>
      <w:bookmarkEnd w:id="129"/>
      <w:bookmarkEnd w:id="130"/>
      <w:bookmarkEnd w:id="131"/>
    </w:p>
    <w:p w14:paraId="4F56E485">
      <w:pPr>
        <w:pStyle w:val="69"/>
        <w:keepNext w:val="0"/>
        <w:numPr>
          <w:ilvl w:val="1"/>
          <w:numId w:val="0"/>
        </w:numPr>
        <w:ind w:firstLine="480" w:firstLineChars="200"/>
        <w:rPr>
          <w:rStyle w:val="70"/>
          <w:rFonts w:ascii="Calibri" w:hAnsi="Calibri"/>
          <w:b w:val="0"/>
          <w:bCs/>
          <w:sz w:val="24"/>
          <w:szCs w:val="24"/>
        </w:rPr>
      </w:pPr>
      <w:bookmarkStart w:id="132" w:name="_Toc17307"/>
      <w:bookmarkStart w:id="133" w:name="_Toc26264"/>
      <w:bookmarkStart w:id="134" w:name="_Toc242533939"/>
      <w:r>
        <w:rPr>
          <w:rStyle w:val="70"/>
          <w:rFonts w:hint="eastAsia" w:ascii="Calibri" w:hAnsi="Calibri"/>
          <w:b w:val="0"/>
          <w:bCs/>
          <w:sz w:val="24"/>
          <w:szCs w:val="24"/>
        </w:rPr>
        <w:t>1）</w:t>
      </w:r>
      <w:r>
        <w:rPr>
          <w:rStyle w:val="70"/>
          <w:rFonts w:ascii="Calibri" w:hAnsi="Calibri"/>
          <w:b w:val="0"/>
          <w:bCs/>
          <w:sz w:val="24"/>
          <w:szCs w:val="24"/>
        </w:rPr>
        <w:t>投标人须确保遵守国家规定的各种有关投标的规定、法规、法律文件等</w:t>
      </w:r>
      <w:bookmarkEnd w:id="132"/>
      <w:bookmarkEnd w:id="133"/>
      <w:r>
        <w:rPr>
          <w:rStyle w:val="70"/>
          <w:rFonts w:ascii="Calibri" w:hAnsi="Calibri"/>
          <w:b w:val="0"/>
          <w:bCs/>
          <w:sz w:val="24"/>
          <w:szCs w:val="24"/>
        </w:rPr>
        <w:t>；</w:t>
      </w:r>
      <w:bookmarkEnd w:id="134"/>
    </w:p>
    <w:p w14:paraId="56F31A44">
      <w:pPr>
        <w:pStyle w:val="69"/>
        <w:keepNext w:val="0"/>
        <w:numPr>
          <w:ilvl w:val="1"/>
          <w:numId w:val="0"/>
        </w:numPr>
        <w:ind w:firstLine="480" w:firstLineChars="200"/>
        <w:rPr>
          <w:rStyle w:val="70"/>
          <w:rFonts w:ascii="Calibri" w:hAnsi="Calibri"/>
          <w:b w:val="0"/>
          <w:bCs/>
          <w:sz w:val="24"/>
          <w:szCs w:val="24"/>
        </w:rPr>
      </w:pPr>
      <w:bookmarkStart w:id="135" w:name="_Toc28985"/>
      <w:bookmarkStart w:id="136" w:name="_Toc28173"/>
      <w:bookmarkStart w:id="137" w:name="_Toc242533940"/>
      <w:r>
        <w:rPr>
          <w:rStyle w:val="70"/>
          <w:rFonts w:hint="eastAsia" w:ascii="Calibri" w:hAnsi="Calibri"/>
          <w:b w:val="0"/>
          <w:bCs/>
          <w:sz w:val="24"/>
          <w:szCs w:val="24"/>
        </w:rPr>
        <w:t>2）</w:t>
      </w:r>
      <w:r>
        <w:rPr>
          <w:rStyle w:val="70"/>
          <w:rFonts w:ascii="Calibri" w:hAnsi="Calibri"/>
          <w:b w:val="0"/>
          <w:bCs/>
          <w:sz w:val="24"/>
          <w:szCs w:val="24"/>
        </w:rPr>
        <w:t>投标人须确保具有良好的商业信誉和诚实的职业道德</w:t>
      </w:r>
      <w:bookmarkEnd w:id="135"/>
      <w:bookmarkEnd w:id="136"/>
      <w:r>
        <w:rPr>
          <w:rStyle w:val="70"/>
          <w:rFonts w:ascii="Calibri" w:hAnsi="Calibri"/>
          <w:b w:val="0"/>
          <w:bCs/>
          <w:sz w:val="24"/>
          <w:szCs w:val="24"/>
        </w:rPr>
        <w:t>；</w:t>
      </w:r>
      <w:bookmarkEnd w:id="137"/>
    </w:p>
    <w:p w14:paraId="75FA40AE">
      <w:pPr>
        <w:pStyle w:val="69"/>
        <w:keepNext w:val="0"/>
        <w:numPr>
          <w:ilvl w:val="1"/>
          <w:numId w:val="0"/>
        </w:numPr>
        <w:ind w:firstLine="480" w:firstLineChars="200"/>
        <w:rPr>
          <w:rStyle w:val="70"/>
          <w:rFonts w:ascii="Calibri" w:hAnsi="Calibri"/>
          <w:b w:val="0"/>
          <w:bCs/>
          <w:sz w:val="24"/>
          <w:szCs w:val="24"/>
        </w:rPr>
      </w:pPr>
      <w:bookmarkStart w:id="138" w:name="_Toc242533941"/>
      <w:bookmarkStart w:id="139" w:name="_Toc6064"/>
      <w:bookmarkStart w:id="140" w:name="_Toc2797"/>
      <w:r>
        <w:rPr>
          <w:rStyle w:val="70"/>
          <w:rFonts w:hint="eastAsia" w:ascii="Calibri" w:hAnsi="Calibri"/>
          <w:b w:val="0"/>
          <w:bCs/>
          <w:sz w:val="24"/>
          <w:szCs w:val="24"/>
        </w:rPr>
        <w:t>3）</w:t>
      </w:r>
      <w:r>
        <w:rPr>
          <w:rStyle w:val="70"/>
          <w:rFonts w:ascii="Calibri" w:hAnsi="Calibri"/>
          <w:b w:val="0"/>
          <w:bCs/>
          <w:sz w:val="24"/>
          <w:szCs w:val="24"/>
        </w:rPr>
        <w:t>投标人应仔细阅读并理解招标文件的全部内容，并做出实质性响；。</w:t>
      </w:r>
      <w:bookmarkEnd w:id="138"/>
      <w:bookmarkEnd w:id="139"/>
      <w:bookmarkEnd w:id="140"/>
    </w:p>
    <w:p w14:paraId="566CC95E">
      <w:pPr>
        <w:pStyle w:val="69"/>
        <w:keepNext w:val="0"/>
        <w:numPr>
          <w:ilvl w:val="1"/>
          <w:numId w:val="0"/>
        </w:numPr>
        <w:ind w:firstLine="480" w:firstLineChars="200"/>
        <w:rPr>
          <w:rStyle w:val="70"/>
          <w:rFonts w:ascii="Calibri" w:hAnsi="Calibri"/>
          <w:b w:val="0"/>
          <w:bCs/>
          <w:sz w:val="24"/>
          <w:szCs w:val="24"/>
        </w:rPr>
      </w:pPr>
      <w:bookmarkStart w:id="141" w:name="_Toc22147"/>
      <w:bookmarkStart w:id="142" w:name="_Toc16077"/>
      <w:bookmarkStart w:id="143" w:name="_Toc242533942"/>
      <w:r>
        <w:rPr>
          <w:rStyle w:val="70"/>
          <w:rFonts w:hint="eastAsia" w:ascii="Calibri" w:hAnsi="Calibri"/>
          <w:b w:val="0"/>
          <w:bCs/>
          <w:sz w:val="24"/>
          <w:szCs w:val="24"/>
        </w:rPr>
        <w:t>4）</w:t>
      </w:r>
      <w:r>
        <w:rPr>
          <w:rStyle w:val="70"/>
          <w:rFonts w:ascii="Calibri" w:hAnsi="Calibri"/>
          <w:b w:val="0"/>
          <w:bCs/>
          <w:sz w:val="24"/>
          <w:szCs w:val="24"/>
        </w:rPr>
        <w:t>投标人须确保项目提供的服务及项目交付物能满足招标文件的要求</w:t>
      </w:r>
      <w:bookmarkEnd w:id="141"/>
      <w:bookmarkEnd w:id="142"/>
      <w:r>
        <w:rPr>
          <w:rStyle w:val="70"/>
          <w:rFonts w:ascii="Calibri" w:hAnsi="Calibri"/>
          <w:b w:val="0"/>
          <w:bCs/>
          <w:sz w:val="24"/>
          <w:szCs w:val="24"/>
        </w:rPr>
        <w:t>；</w:t>
      </w:r>
      <w:bookmarkEnd w:id="143"/>
    </w:p>
    <w:p w14:paraId="4C1312EC">
      <w:pPr>
        <w:pStyle w:val="69"/>
        <w:keepNext w:val="0"/>
        <w:numPr>
          <w:ilvl w:val="1"/>
          <w:numId w:val="0"/>
        </w:numPr>
        <w:ind w:firstLine="480" w:firstLineChars="200"/>
        <w:rPr>
          <w:rStyle w:val="70"/>
          <w:rFonts w:ascii="Calibri" w:hAnsi="Calibri"/>
          <w:b w:val="0"/>
          <w:bCs/>
          <w:sz w:val="24"/>
          <w:szCs w:val="24"/>
        </w:rPr>
      </w:pPr>
      <w:bookmarkStart w:id="144" w:name="_Toc16544"/>
      <w:bookmarkStart w:id="145" w:name="_Toc6480"/>
      <w:bookmarkStart w:id="146" w:name="_Toc242533943"/>
      <w:r>
        <w:rPr>
          <w:rStyle w:val="70"/>
          <w:rFonts w:hint="eastAsia" w:ascii="Calibri" w:hAnsi="Calibri"/>
          <w:b w:val="0"/>
          <w:bCs/>
          <w:sz w:val="24"/>
          <w:szCs w:val="24"/>
        </w:rPr>
        <w:t>5）</w:t>
      </w:r>
      <w:r>
        <w:rPr>
          <w:rStyle w:val="70"/>
          <w:rFonts w:ascii="Calibri" w:hAnsi="Calibri"/>
          <w:b w:val="0"/>
          <w:bCs/>
          <w:sz w:val="24"/>
          <w:szCs w:val="24"/>
        </w:rPr>
        <w:t>投标人应当按照招标文件规定的内容和要求编制投标文件</w:t>
      </w:r>
      <w:bookmarkEnd w:id="144"/>
      <w:bookmarkEnd w:id="145"/>
      <w:r>
        <w:rPr>
          <w:rStyle w:val="70"/>
          <w:rFonts w:ascii="Calibri" w:hAnsi="Calibri"/>
          <w:b w:val="0"/>
          <w:bCs/>
          <w:sz w:val="24"/>
          <w:szCs w:val="24"/>
        </w:rPr>
        <w:t>；</w:t>
      </w:r>
      <w:bookmarkEnd w:id="146"/>
    </w:p>
    <w:p w14:paraId="41591A06">
      <w:pPr>
        <w:pStyle w:val="69"/>
        <w:keepNext w:val="0"/>
        <w:numPr>
          <w:ilvl w:val="1"/>
          <w:numId w:val="0"/>
        </w:numPr>
        <w:ind w:firstLine="480" w:firstLineChars="200"/>
        <w:rPr>
          <w:rStyle w:val="70"/>
          <w:rFonts w:ascii="Calibri" w:hAnsi="Calibri"/>
          <w:b w:val="0"/>
          <w:bCs/>
          <w:sz w:val="24"/>
          <w:szCs w:val="24"/>
        </w:rPr>
      </w:pPr>
      <w:bookmarkStart w:id="147" w:name="_Toc16791"/>
      <w:bookmarkStart w:id="148" w:name="_Toc31658"/>
      <w:bookmarkStart w:id="149" w:name="_Toc242533944"/>
      <w:r>
        <w:rPr>
          <w:rStyle w:val="70"/>
          <w:rFonts w:hint="eastAsia" w:ascii="Calibri" w:hAnsi="Calibri"/>
          <w:b w:val="0"/>
          <w:bCs/>
          <w:sz w:val="24"/>
          <w:szCs w:val="24"/>
        </w:rPr>
        <w:t>6）</w:t>
      </w:r>
      <w:r>
        <w:rPr>
          <w:rStyle w:val="70"/>
          <w:rFonts w:ascii="Calibri" w:hAnsi="Calibri"/>
          <w:b w:val="0"/>
          <w:bCs/>
          <w:sz w:val="24"/>
          <w:szCs w:val="24"/>
        </w:rPr>
        <w:t>投标人须确保有能力在规定期限内完成招标文件规定的全部内容</w:t>
      </w:r>
      <w:bookmarkEnd w:id="147"/>
      <w:bookmarkEnd w:id="148"/>
      <w:r>
        <w:rPr>
          <w:rStyle w:val="70"/>
          <w:rFonts w:ascii="Calibri" w:hAnsi="Calibri"/>
          <w:b w:val="0"/>
          <w:bCs/>
          <w:sz w:val="24"/>
          <w:szCs w:val="24"/>
        </w:rPr>
        <w:t>；</w:t>
      </w:r>
      <w:bookmarkEnd w:id="149"/>
    </w:p>
    <w:p w14:paraId="6C8F068C">
      <w:pPr>
        <w:pStyle w:val="69"/>
        <w:keepNext w:val="0"/>
        <w:numPr>
          <w:ilvl w:val="1"/>
          <w:numId w:val="0"/>
        </w:numPr>
        <w:ind w:firstLine="480" w:firstLineChars="200"/>
        <w:rPr>
          <w:rStyle w:val="70"/>
          <w:rFonts w:ascii="Calibri" w:hAnsi="Calibri"/>
          <w:b w:val="0"/>
          <w:bCs/>
          <w:sz w:val="24"/>
          <w:szCs w:val="24"/>
        </w:rPr>
      </w:pPr>
      <w:bookmarkStart w:id="150" w:name="_Toc10126"/>
      <w:bookmarkStart w:id="151" w:name="_Toc16908"/>
      <w:bookmarkStart w:id="152" w:name="_Toc242533945"/>
      <w:r>
        <w:rPr>
          <w:rStyle w:val="70"/>
          <w:rFonts w:hint="eastAsia" w:ascii="Calibri" w:hAnsi="Calibri"/>
          <w:b w:val="0"/>
          <w:bCs/>
          <w:sz w:val="24"/>
          <w:szCs w:val="24"/>
        </w:rPr>
        <w:t>7）</w:t>
      </w:r>
      <w:r>
        <w:rPr>
          <w:rStyle w:val="70"/>
          <w:rFonts w:ascii="Calibri" w:hAnsi="Calibri"/>
          <w:b w:val="0"/>
          <w:bCs/>
          <w:sz w:val="24"/>
          <w:szCs w:val="24"/>
        </w:rPr>
        <w:t>投标人在收到招标文件后，如有疑问，应以书面形式向招标人提出，招标人将以书面形式予以答复，但不说明答复的来源</w:t>
      </w:r>
      <w:bookmarkEnd w:id="150"/>
      <w:bookmarkEnd w:id="151"/>
      <w:r>
        <w:rPr>
          <w:rStyle w:val="70"/>
          <w:rFonts w:ascii="Calibri" w:hAnsi="Calibri"/>
          <w:b w:val="0"/>
          <w:bCs/>
          <w:sz w:val="24"/>
          <w:szCs w:val="24"/>
        </w:rPr>
        <w:t>；</w:t>
      </w:r>
      <w:bookmarkEnd w:id="152"/>
    </w:p>
    <w:p w14:paraId="1D952D46">
      <w:pPr>
        <w:pStyle w:val="69"/>
        <w:keepNext w:val="0"/>
        <w:numPr>
          <w:ilvl w:val="1"/>
          <w:numId w:val="0"/>
        </w:numPr>
        <w:ind w:firstLine="480" w:firstLineChars="200"/>
        <w:rPr>
          <w:rStyle w:val="70"/>
          <w:rFonts w:ascii="Calibri" w:hAnsi="Calibri"/>
          <w:b w:val="0"/>
          <w:bCs/>
          <w:sz w:val="24"/>
          <w:szCs w:val="24"/>
        </w:rPr>
      </w:pPr>
      <w:bookmarkStart w:id="153" w:name="_Toc1668"/>
      <w:bookmarkStart w:id="154" w:name="_Toc7555"/>
      <w:bookmarkStart w:id="155" w:name="_Toc242533946"/>
      <w:r>
        <w:rPr>
          <w:rStyle w:val="70"/>
          <w:rFonts w:hint="eastAsia" w:ascii="Calibri" w:hAnsi="Calibri"/>
          <w:b w:val="0"/>
          <w:bCs/>
          <w:sz w:val="24"/>
          <w:szCs w:val="24"/>
        </w:rPr>
        <w:t>8）</w:t>
      </w:r>
      <w:r>
        <w:rPr>
          <w:rStyle w:val="70"/>
          <w:rFonts w:ascii="Calibri" w:hAnsi="Calibri"/>
          <w:b w:val="0"/>
          <w:bCs/>
          <w:sz w:val="24"/>
          <w:szCs w:val="24"/>
        </w:rPr>
        <w:t>在投标截止日期前，招标人都可能会以补充通知的方式修改招标文件</w:t>
      </w:r>
      <w:bookmarkEnd w:id="153"/>
      <w:bookmarkEnd w:id="154"/>
      <w:r>
        <w:rPr>
          <w:rStyle w:val="70"/>
          <w:rFonts w:ascii="Calibri" w:hAnsi="Calibri"/>
          <w:b w:val="0"/>
          <w:bCs/>
          <w:sz w:val="24"/>
          <w:szCs w:val="24"/>
        </w:rPr>
        <w:t>；</w:t>
      </w:r>
      <w:bookmarkEnd w:id="155"/>
    </w:p>
    <w:p w14:paraId="1FA5F5E2">
      <w:pPr>
        <w:pStyle w:val="69"/>
        <w:keepNext w:val="0"/>
        <w:numPr>
          <w:ilvl w:val="1"/>
          <w:numId w:val="0"/>
        </w:numPr>
        <w:ind w:firstLine="480" w:firstLineChars="200"/>
        <w:rPr>
          <w:rStyle w:val="70"/>
          <w:rFonts w:ascii="Calibri" w:hAnsi="Calibri"/>
          <w:b w:val="0"/>
          <w:bCs/>
          <w:sz w:val="24"/>
          <w:szCs w:val="24"/>
        </w:rPr>
      </w:pPr>
      <w:bookmarkStart w:id="156" w:name="_Toc23159"/>
      <w:bookmarkStart w:id="157" w:name="_Toc5312"/>
      <w:bookmarkStart w:id="158" w:name="_Toc242533947"/>
      <w:r>
        <w:rPr>
          <w:rStyle w:val="70"/>
          <w:rFonts w:hint="eastAsia" w:ascii="Calibri" w:hAnsi="Calibri"/>
          <w:b w:val="0"/>
          <w:bCs/>
          <w:sz w:val="24"/>
          <w:szCs w:val="24"/>
        </w:rPr>
        <w:t>9）</w:t>
      </w:r>
      <w:r>
        <w:rPr>
          <w:rStyle w:val="70"/>
          <w:rFonts w:ascii="Calibri" w:hAnsi="Calibri"/>
          <w:b w:val="0"/>
          <w:bCs/>
          <w:sz w:val="24"/>
          <w:szCs w:val="24"/>
        </w:rPr>
        <w:t>无论投标结果如何，投标人应承担编制投标文件、递交投标文件、考察等所涉及的一切费用</w:t>
      </w:r>
      <w:bookmarkEnd w:id="156"/>
      <w:bookmarkEnd w:id="157"/>
      <w:r>
        <w:rPr>
          <w:rStyle w:val="70"/>
          <w:rFonts w:ascii="Calibri" w:hAnsi="Calibri"/>
          <w:b w:val="0"/>
          <w:bCs/>
          <w:sz w:val="24"/>
          <w:szCs w:val="24"/>
        </w:rPr>
        <w:t>；</w:t>
      </w:r>
      <w:bookmarkEnd w:id="158"/>
    </w:p>
    <w:p w14:paraId="3D55C78E">
      <w:pPr>
        <w:pStyle w:val="69"/>
        <w:keepNext w:val="0"/>
        <w:numPr>
          <w:ilvl w:val="1"/>
          <w:numId w:val="0"/>
        </w:numPr>
        <w:ind w:firstLine="480" w:firstLineChars="200"/>
        <w:rPr>
          <w:rStyle w:val="70"/>
          <w:rFonts w:ascii="Calibri" w:hAnsi="Calibri"/>
          <w:b w:val="0"/>
          <w:bCs/>
          <w:sz w:val="24"/>
          <w:szCs w:val="24"/>
        </w:rPr>
      </w:pPr>
      <w:bookmarkStart w:id="159" w:name="_Toc25600"/>
      <w:bookmarkStart w:id="160" w:name="_Toc4006"/>
      <w:bookmarkStart w:id="161" w:name="_Toc242533948"/>
      <w:r>
        <w:rPr>
          <w:rStyle w:val="70"/>
          <w:rFonts w:hint="eastAsia" w:ascii="Calibri" w:hAnsi="Calibri"/>
          <w:b w:val="0"/>
          <w:bCs/>
          <w:sz w:val="24"/>
          <w:szCs w:val="24"/>
        </w:rPr>
        <w:t>10）</w:t>
      </w:r>
      <w:r>
        <w:rPr>
          <w:rStyle w:val="70"/>
          <w:rFonts w:ascii="Calibri" w:hAnsi="Calibri"/>
          <w:b w:val="0"/>
          <w:bCs/>
          <w:sz w:val="24"/>
          <w:szCs w:val="24"/>
        </w:rPr>
        <w:t>招标人对未中标者不</w:t>
      </w:r>
      <w:r>
        <w:rPr>
          <w:rStyle w:val="70"/>
          <w:rFonts w:hint="eastAsia" w:ascii="Calibri" w:hAnsi="Calibri"/>
          <w:b w:val="0"/>
          <w:bCs/>
          <w:sz w:val="24"/>
          <w:szCs w:val="24"/>
        </w:rPr>
        <w:t>做任何解释</w:t>
      </w:r>
      <w:bookmarkEnd w:id="159"/>
      <w:bookmarkEnd w:id="160"/>
      <w:r>
        <w:rPr>
          <w:rStyle w:val="70"/>
          <w:rFonts w:ascii="Calibri" w:hAnsi="Calibri"/>
          <w:b w:val="0"/>
          <w:bCs/>
          <w:sz w:val="24"/>
          <w:szCs w:val="24"/>
        </w:rPr>
        <w:t>；</w:t>
      </w:r>
      <w:bookmarkEnd w:id="161"/>
    </w:p>
    <w:p w14:paraId="401D56AE">
      <w:pPr>
        <w:pStyle w:val="69"/>
        <w:keepNext w:val="0"/>
        <w:numPr>
          <w:ilvl w:val="1"/>
          <w:numId w:val="0"/>
        </w:numPr>
        <w:ind w:firstLine="480" w:firstLineChars="200"/>
        <w:rPr>
          <w:rStyle w:val="70"/>
          <w:rFonts w:ascii="Calibri" w:hAnsi="Calibri"/>
          <w:b w:val="0"/>
          <w:bCs/>
          <w:sz w:val="24"/>
          <w:szCs w:val="24"/>
        </w:rPr>
      </w:pPr>
      <w:bookmarkStart w:id="162" w:name="_Toc31064"/>
      <w:bookmarkStart w:id="163" w:name="_Toc15077"/>
      <w:bookmarkStart w:id="164" w:name="_Toc242533949"/>
      <w:r>
        <w:rPr>
          <w:rStyle w:val="70"/>
          <w:rFonts w:hint="eastAsia" w:ascii="Calibri" w:hAnsi="Calibri"/>
          <w:b w:val="0"/>
          <w:bCs/>
          <w:sz w:val="24"/>
          <w:szCs w:val="24"/>
        </w:rPr>
        <w:t>11）</w:t>
      </w:r>
      <w:r>
        <w:rPr>
          <w:rStyle w:val="70"/>
          <w:rFonts w:ascii="Calibri" w:hAnsi="Calibri"/>
          <w:b w:val="0"/>
          <w:bCs/>
          <w:sz w:val="24"/>
          <w:szCs w:val="24"/>
        </w:rPr>
        <w:t>如投标方代表不是法人代表，须持有盖有法人单位公章的《法人代表授权书》</w:t>
      </w:r>
      <w:bookmarkEnd w:id="162"/>
      <w:bookmarkEnd w:id="163"/>
      <w:r>
        <w:rPr>
          <w:rStyle w:val="70"/>
          <w:rFonts w:ascii="Calibri" w:hAnsi="Calibri"/>
          <w:b w:val="0"/>
          <w:bCs/>
          <w:sz w:val="24"/>
          <w:szCs w:val="24"/>
        </w:rPr>
        <w:t>；</w:t>
      </w:r>
      <w:bookmarkEnd w:id="164"/>
    </w:p>
    <w:p w14:paraId="2F7396DE">
      <w:pPr>
        <w:pStyle w:val="69"/>
        <w:numPr>
          <w:ilvl w:val="1"/>
          <w:numId w:val="0"/>
        </w:numPr>
        <w:ind w:firstLine="480" w:firstLineChars="200"/>
        <w:rPr>
          <w:rStyle w:val="70"/>
          <w:rFonts w:ascii="Calibri" w:hAnsi="Calibri"/>
          <w:b/>
          <w:sz w:val="24"/>
          <w:szCs w:val="24"/>
        </w:rPr>
      </w:pPr>
      <w:bookmarkStart w:id="165" w:name="_Toc2947"/>
      <w:bookmarkStart w:id="166" w:name="_Toc32168"/>
      <w:bookmarkStart w:id="167" w:name="_Toc242533950"/>
      <w:r>
        <w:rPr>
          <w:rStyle w:val="70"/>
          <w:rFonts w:hint="eastAsia" w:ascii="Calibri" w:hAnsi="Calibri"/>
          <w:b w:val="0"/>
          <w:sz w:val="24"/>
          <w:szCs w:val="24"/>
        </w:rPr>
        <w:t>12）</w:t>
      </w:r>
      <w:r>
        <w:rPr>
          <w:rStyle w:val="70"/>
          <w:rFonts w:ascii="Calibri" w:hAnsi="Calibri"/>
          <w:b w:val="0"/>
          <w:sz w:val="24"/>
          <w:szCs w:val="24"/>
        </w:rPr>
        <w:t>讲标方案除上传至</w:t>
      </w:r>
      <w:r>
        <w:rPr>
          <w:rStyle w:val="70"/>
          <w:rFonts w:hint="eastAsia" w:ascii="Calibri" w:hAnsi="Calibri"/>
          <w:b w:val="0"/>
          <w:sz w:val="24"/>
          <w:szCs w:val="24"/>
        </w:rPr>
        <w:t>中国</w:t>
      </w:r>
      <w:r>
        <w:rPr>
          <w:rStyle w:val="70"/>
          <w:rFonts w:ascii="Calibri" w:hAnsi="Calibri"/>
          <w:b w:val="0"/>
          <w:sz w:val="24"/>
          <w:szCs w:val="24"/>
        </w:rPr>
        <w:t>重汽E采通平台外，还需存储在U盘中并单独装入密封袋，随投标材料一并提供，投标人在讲标时，须由拟担任招标项目建设的项目经理及项目组成员讲标。若中标，非经招标人同意，项目经理及项目组成员不得在项目建设中途更换。</w:t>
      </w:r>
      <w:bookmarkEnd w:id="165"/>
      <w:bookmarkEnd w:id="166"/>
      <w:bookmarkEnd w:id="167"/>
    </w:p>
    <w:p w14:paraId="1AA104EC">
      <w:pPr>
        <w:pStyle w:val="57"/>
        <w:numPr>
          <w:ilvl w:val="0"/>
          <w:numId w:val="7"/>
        </w:numPr>
        <w:rPr>
          <w:rFonts w:ascii="黑体" w:hAnsi="黑体" w:eastAsia="黑体"/>
        </w:rPr>
      </w:pPr>
      <w:bookmarkStart w:id="168" w:name="_Toc95148174"/>
      <w:bookmarkStart w:id="169" w:name="_Toc50742888"/>
      <w:bookmarkStart w:id="170" w:name="_Toc3054"/>
      <w:bookmarkStart w:id="171" w:name="_Toc14653"/>
      <w:bookmarkStart w:id="172" w:name="_Toc109031545"/>
      <w:bookmarkStart w:id="173" w:name="_Toc74143833"/>
      <w:bookmarkStart w:id="174" w:name="_Toc242533951"/>
      <w:r>
        <w:rPr>
          <w:rFonts w:hint="eastAsia" w:ascii="黑体" w:hAnsi="黑体" w:eastAsia="黑体"/>
        </w:rPr>
        <w:t>交货及付款</w:t>
      </w:r>
      <w:bookmarkEnd w:id="168"/>
      <w:bookmarkEnd w:id="169"/>
      <w:bookmarkEnd w:id="170"/>
      <w:bookmarkEnd w:id="171"/>
      <w:bookmarkEnd w:id="172"/>
      <w:bookmarkEnd w:id="173"/>
      <w:bookmarkEnd w:id="174"/>
    </w:p>
    <w:p w14:paraId="59B05B42">
      <w:pPr>
        <w:pStyle w:val="69"/>
        <w:keepNext w:val="0"/>
        <w:widowControl/>
        <w:numPr>
          <w:ilvl w:val="1"/>
          <w:numId w:val="0"/>
        </w:numPr>
        <w:ind w:firstLine="480" w:firstLineChars="200"/>
        <w:rPr>
          <w:rStyle w:val="70"/>
          <w:rFonts w:ascii="Calibri" w:hAnsi="Calibri"/>
          <w:b w:val="0"/>
          <w:bCs/>
          <w:sz w:val="24"/>
          <w:szCs w:val="24"/>
        </w:rPr>
      </w:pPr>
      <w:bookmarkStart w:id="175" w:name="_Toc109031546"/>
      <w:bookmarkStart w:id="176" w:name="_Toc11348"/>
      <w:bookmarkStart w:id="177" w:name="_Toc14298"/>
      <w:bookmarkStart w:id="178" w:name="_Toc242533952"/>
      <w:r>
        <w:rPr>
          <w:rStyle w:val="70"/>
          <w:rFonts w:ascii="Calibri" w:hAnsi="Calibri"/>
          <w:b w:val="0"/>
          <w:bCs/>
          <w:sz w:val="24"/>
          <w:szCs w:val="24"/>
        </w:rPr>
        <w:t>4.1项目实施时间：</w:t>
      </w:r>
      <w:bookmarkEnd w:id="175"/>
      <w:r>
        <w:rPr>
          <w:rStyle w:val="70"/>
          <w:rFonts w:hint="eastAsia" w:ascii="Calibri" w:hAnsi="Calibri"/>
          <w:b w:val="0"/>
          <w:bCs/>
          <w:sz w:val="24"/>
          <w:szCs w:val="24"/>
        </w:rPr>
        <w:t>确定中标人后，2026年11月开始实施</w:t>
      </w:r>
      <w:bookmarkEnd w:id="176"/>
      <w:bookmarkEnd w:id="177"/>
      <w:r>
        <w:rPr>
          <w:rStyle w:val="70"/>
          <w:rFonts w:hint="eastAsia" w:ascii="Calibri" w:hAnsi="Calibri"/>
          <w:b w:val="0"/>
          <w:bCs/>
          <w:sz w:val="24"/>
          <w:szCs w:val="24"/>
        </w:rPr>
        <w:t>。</w:t>
      </w:r>
      <w:bookmarkEnd w:id="178"/>
    </w:p>
    <w:p w14:paraId="4CAE6729">
      <w:pPr>
        <w:pStyle w:val="69"/>
        <w:keepNext w:val="0"/>
        <w:widowControl/>
        <w:numPr>
          <w:ilvl w:val="1"/>
          <w:numId w:val="0"/>
        </w:numPr>
        <w:ind w:firstLine="480" w:firstLineChars="200"/>
        <w:rPr>
          <w:rStyle w:val="70"/>
          <w:rFonts w:ascii="Calibri" w:hAnsi="Calibri"/>
          <w:b w:val="0"/>
          <w:bCs/>
          <w:sz w:val="24"/>
          <w:szCs w:val="24"/>
        </w:rPr>
      </w:pPr>
      <w:bookmarkStart w:id="179" w:name="_Toc109031547"/>
      <w:bookmarkStart w:id="180" w:name="_Toc3385"/>
      <w:bookmarkStart w:id="181" w:name="_Toc242533953"/>
      <w:bookmarkStart w:id="182" w:name="_Toc30399"/>
      <w:r>
        <w:rPr>
          <w:rStyle w:val="70"/>
          <w:rFonts w:ascii="Calibri" w:hAnsi="Calibri"/>
          <w:b w:val="0"/>
          <w:bCs/>
          <w:sz w:val="24"/>
          <w:szCs w:val="24"/>
        </w:rPr>
        <w:t>4.2实施地点：招标人指定地点</w:t>
      </w:r>
      <w:bookmarkEnd w:id="179"/>
      <w:r>
        <w:rPr>
          <w:rStyle w:val="70"/>
          <w:rFonts w:hint="eastAsia" w:ascii="Calibri" w:hAnsi="Calibri"/>
          <w:b w:val="0"/>
          <w:bCs/>
          <w:sz w:val="24"/>
          <w:szCs w:val="24"/>
        </w:rPr>
        <w:t>。</w:t>
      </w:r>
      <w:bookmarkEnd w:id="180"/>
      <w:bookmarkEnd w:id="181"/>
      <w:bookmarkEnd w:id="182"/>
    </w:p>
    <w:p w14:paraId="561D11B0">
      <w:pPr>
        <w:pStyle w:val="69"/>
        <w:keepNext w:val="0"/>
        <w:widowControl/>
        <w:numPr>
          <w:ilvl w:val="1"/>
          <w:numId w:val="0"/>
        </w:numPr>
        <w:ind w:firstLine="480" w:firstLineChars="200"/>
        <w:rPr>
          <w:rStyle w:val="70"/>
          <w:rFonts w:ascii="Calibri" w:hAnsi="Calibri"/>
          <w:b w:val="0"/>
          <w:bCs/>
          <w:sz w:val="24"/>
          <w:szCs w:val="24"/>
        </w:rPr>
      </w:pPr>
      <w:bookmarkStart w:id="183" w:name="_Toc109031548"/>
      <w:bookmarkStart w:id="184" w:name="_Toc242533954"/>
      <w:bookmarkStart w:id="185" w:name="_Toc30971"/>
      <w:bookmarkStart w:id="186" w:name="_Toc21378"/>
      <w:r>
        <w:rPr>
          <w:rStyle w:val="70"/>
          <w:rFonts w:ascii="Calibri" w:hAnsi="Calibri"/>
          <w:b w:val="0"/>
          <w:bCs/>
          <w:sz w:val="24"/>
          <w:szCs w:val="24"/>
        </w:rPr>
        <w:t>4.3交货方式：</w:t>
      </w:r>
      <w:r>
        <w:rPr>
          <w:rStyle w:val="70"/>
          <w:rFonts w:hint="eastAsia" w:ascii="Calibri" w:hAnsi="Calibri"/>
          <w:b w:val="0"/>
          <w:bCs/>
          <w:sz w:val="24"/>
          <w:szCs w:val="24"/>
        </w:rPr>
        <w:t>出具财务报表及内部控制审计报告、审计管理建议书、提供内部控制管理工具并配合</w:t>
      </w:r>
      <w:bookmarkEnd w:id="183"/>
      <w:r>
        <w:rPr>
          <w:rStyle w:val="70"/>
          <w:rFonts w:hint="eastAsia" w:ascii="Calibri" w:hAnsi="Calibri"/>
          <w:b w:val="0"/>
          <w:bCs/>
          <w:sz w:val="24"/>
          <w:szCs w:val="24"/>
        </w:rPr>
        <w:t>完成监管举行的双方或三方会谈。</w:t>
      </w:r>
      <w:bookmarkEnd w:id="184"/>
      <w:bookmarkEnd w:id="185"/>
      <w:bookmarkEnd w:id="186"/>
    </w:p>
    <w:p w14:paraId="32BC5AC7">
      <w:pPr>
        <w:pStyle w:val="59"/>
        <w:widowControl/>
        <w:numPr>
          <w:ilvl w:val="0"/>
          <w:numId w:val="0"/>
        </w:numPr>
        <w:ind w:firstLine="562" w:firstLineChars="200"/>
      </w:pPr>
      <w:bookmarkStart w:id="187" w:name="_Toc5012"/>
      <w:bookmarkStart w:id="188" w:name="_Toc3217"/>
      <w:bookmarkStart w:id="189" w:name="_Toc242533955"/>
      <w:r>
        <w:rPr>
          <w:rStyle w:val="70"/>
          <w:rFonts w:ascii="Calibri" w:hAnsi="Calibri"/>
          <w:bCs/>
          <w:szCs w:val="24"/>
        </w:rPr>
        <w:t>4.4付款方式：银行转账</w:t>
      </w:r>
      <w:bookmarkEnd w:id="187"/>
      <w:bookmarkEnd w:id="188"/>
      <w:r>
        <w:rPr>
          <w:rStyle w:val="70"/>
          <w:rFonts w:hint="eastAsia" w:ascii="Calibri" w:hAnsi="Calibri"/>
          <w:bCs/>
          <w:szCs w:val="24"/>
        </w:rPr>
        <w:t>。</w:t>
      </w:r>
      <w:bookmarkEnd w:id="189"/>
      <w:r>
        <w:rPr>
          <w:rFonts w:ascii="宋体" w:hAnsi="宋体" w:cs="宋体"/>
          <w:kern w:val="0"/>
        </w:rPr>
        <w:t>完成全部项目服务内容，提交全部正式成果文件并开具合法有效的增值税专用发票，验收合格后，一次性支付全部合同价款。</w:t>
      </w:r>
    </w:p>
    <w:p w14:paraId="42CDDA68">
      <w:pPr>
        <w:pStyle w:val="57"/>
        <w:numPr>
          <w:ilvl w:val="0"/>
          <w:numId w:val="7"/>
        </w:numPr>
        <w:rPr>
          <w:rFonts w:ascii="黑体" w:hAnsi="黑体" w:eastAsia="黑体"/>
        </w:rPr>
      </w:pPr>
      <w:bookmarkStart w:id="190" w:name="_Toc103005940"/>
      <w:bookmarkEnd w:id="190"/>
      <w:bookmarkStart w:id="191" w:name="_Toc103005941"/>
      <w:bookmarkEnd w:id="191"/>
      <w:bookmarkStart w:id="192" w:name="_Toc103007773"/>
      <w:bookmarkEnd w:id="192"/>
      <w:bookmarkStart w:id="193" w:name="_Toc103007772"/>
      <w:bookmarkEnd w:id="193"/>
      <w:bookmarkStart w:id="194" w:name="_Toc24657"/>
      <w:bookmarkStart w:id="195" w:name="_Toc50742889"/>
      <w:bookmarkStart w:id="196" w:name="_Toc20401"/>
      <w:bookmarkStart w:id="197" w:name="_Toc95148175"/>
      <w:bookmarkStart w:id="198" w:name="_Toc74143834"/>
      <w:bookmarkStart w:id="199" w:name="_Toc242533956"/>
      <w:bookmarkStart w:id="200" w:name="_Toc109031549"/>
      <w:r>
        <w:rPr>
          <w:rFonts w:hint="eastAsia" w:ascii="黑体" w:hAnsi="黑体" w:eastAsia="黑体"/>
        </w:rPr>
        <w:t>投标说明</w:t>
      </w:r>
      <w:bookmarkEnd w:id="194"/>
      <w:bookmarkEnd w:id="195"/>
      <w:bookmarkEnd w:id="196"/>
      <w:bookmarkEnd w:id="197"/>
      <w:bookmarkEnd w:id="198"/>
      <w:bookmarkEnd w:id="199"/>
      <w:bookmarkEnd w:id="200"/>
    </w:p>
    <w:p w14:paraId="4053583A">
      <w:pPr>
        <w:pStyle w:val="69"/>
        <w:keepNext w:val="0"/>
        <w:widowControl/>
        <w:numPr>
          <w:ilvl w:val="1"/>
          <w:numId w:val="0"/>
        </w:numPr>
        <w:ind w:firstLine="480" w:firstLineChars="200"/>
        <w:rPr>
          <w:rStyle w:val="70"/>
          <w:rFonts w:ascii="Calibri" w:hAnsi="Calibri"/>
          <w:b/>
          <w:sz w:val="24"/>
          <w:szCs w:val="24"/>
        </w:rPr>
      </w:pPr>
      <w:bookmarkStart w:id="201" w:name="_Toc74143835"/>
      <w:bookmarkStart w:id="202" w:name="_Toc24955"/>
      <w:bookmarkStart w:id="203" w:name="_Toc95148176"/>
      <w:bookmarkStart w:id="204" w:name="_Toc109031550"/>
      <w:bookmarkStart w:id="205" w:name="_Toc32212"/>
      <w:bookmarkStart w:id="206" w:name="_Toc242533957"/>
      <w:bookmarkStart w:id="207" w:name="_Toc50742890"/>
      <w:r>
        <w:rPr>
          <w:rStyle w:val="70"/>
          <w:rFonts w:hint="eastAsia" w:ascii="Calibri" w:hAnsi="Calibri"/>
          <w:b w:val="0"/>
          <w:sz w:val="24"/>
          <w:szCs w:val="24"/>
        </w:rPr>
        <w:t>5.1</w:t>
      </w:r>
      <w:r>
        <w:rPr>
          <w:rStyle w:val="70"/>
          <w:rFonts w:ascii="Calibri" w:hAnsi="Calibri"/>
          <w:b w:val="0"/>
          <w:sz w:val="24"/>
          <w:szCs w:val="24"/>
        </w:rPr>
        <w:t>招标要求</w:t>
      </w:r>
      <w:bookmarkEnd w:id="201"/>
      <w:bookmarkEnd w:id="202"/>
      <w:bookmarkEnd w:id="203"/>
      <w:bookmarkEnd w:id="204"/>
      <w:bookmarkEnd w:id="205"/>
      <w:bookmarkEnd w:id="206"/>
      <w:bookmarkEnd w:id="207"/>
    </w:p>
    <w:tbl>
      <w:tblPr>
        <w:tblStyle w:val="25"/>
        <w:tblW w:w="90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2105"/>
        <w:gridCol w:w="6258"/>
      </w:tblGrid>
      <w:tr w14:paraId="6529C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A3BAB67">
            <w:pPr>
              <w:jc w:val="center"/>
              <w:rPr>
                <w:rFonts w:ascii="宋体" w:hAnsi="宋体" w:cs="宋体"/>
                <w:b/>
                <w:color w:val="000000"/>
                <w:szCs w:val="21"/>
              </w:rPr>
            </w:pPr>
            <w:r>
              <w:rPr>
                <w:rFonts w:hint="eastAsia" w:ascii="宋体" w:hAnsi="宋体" w:cs="宋体"/>
                <w:b/>
                <w:color w:val="000000"/>
                <w:szCs w:val="21"/>
              </w:rPr>
              <w:t>序号</w:t>
            </w:r>
          </w:p>
        </w:tc>
        <w:tc>
          <w:tcPr>
            <w:tcW w:w="2105" w:type="dxa"/>
            <w:tcBorders>
              <w:top w:val="single" w:color="auto" w:sz="4" w:space="0"/>
              <w:left w:val="single" w:color="auto" w:sz="4" w:space="0"/>
              <w:bottom w:val="single" w:color="auto" w:sz="4" w:space="0"/>
              <w:right w:val="single" w:color="auto" w:sz="4" w:space="0"/>
            </w:tcBorders>
            <w:shd w:val="clear" w:color="auto" w:fill="auto"/>
            <w:vAlign w:val="center"/>
          </w:tcPr>
          <w:p w14:paraId="6EFDEB2F">
            <w:pPr>
              <w:jc w:val="center"/>
              <w:rPr>
                <w:rFonts w:ascii="宋体" w:hAnsi="宋体" w:cs="宋体"/>
                <w:b/>
                <w:color w:val="000000"/>
                <w:szCs w:val="21"/>
              </w:rPr>
            </w:pPr>
            <w:r>
              <w:rPr>
                <w:rFonts w:hint="eastAsia" w:ascii="宋体" w:hAnsi="宋体" w:cs="宋体"/>
                <w:b/>
                <w:color w:val="000000"/>
                <w:szCs w:val="21"/>
              </w:rPr>
              <w:t>内容</w:t>
            </w:r>
          </w:p>
        </w:tc>
        <w:tc>
          <w:tcPr>
            <w:tcW w:w="6258" w:type="dxa"/>
            <w:tcBorders>
              <w:top w:val="single" w:color="auto" w:sz="4" w:space="0"/>
              <w:left w:val="single" w:color="auto" w:sz="4" w:space="0"/>
              <w:bottom w:val="single" w:color="auto" w:sz="4" w:space="0"/>
              <w:right w:val="single" w:color="auto" w:sz="4" w:space="0"/>
            </w:tcBorders>
            <w:shd w:val="clear" w:color="auto" w:fill="auto"/>
            <w:vAlign w:val="center"/>
          </w:tcPr>
          <w:p w14:paraId="04617A31">
            <w:pPr>
              <w:jc w:val="center"/>
              <w:rPr>
                <w:rFonts w:ascii="宋体" w:hAnsi="宋体" w:cs="宋体"/>
                <w:b/>
                <w:color w:val="000000"/>
                <w:szCs w:val="21"/>
              </w:rPr>
            </w:pPr>
            <w:r>
              <w:rPr>
                <w:rFonts w:hint="eastAsia" w:ascii="宋体" w:hAnsi="宋体" w:cs="宋体"/>
                <w:b/>
                <w:color w:val="000000"/>
                <w:szCs w:val="21"/>
              </w:rPr>
              <w:t>说明与要求</w:t>
            </w:r>
          </w:p>
        </w:tc>
      </w:tr>
      <w:tr w14:paraId="58987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511D98F">
            <w:pPr>
              <w:jc w:val="center"/>
              <w:rPr>
                <w:rFonts w:ascii="宋体" w:hAnsi="宋体" w:cs="宋体"/>
                <w:b/>
                <w:color w:val="000000"/>
                <w:szCs w:val="21"/>
              </w:rPr>
            </w:pPr>
            <w:r>
              <w:rPr>
                <w:rFonts w:hint="eastAsia" w:ascii="宋体" w:hAnsi="宋体" w:cs="宋体"/>
                <w:b/>
                <w:color w:val="000000"/>
                <w:szCs w:val="21"/>
              </w:rPr>
              <w:t>1</w:t>
            </w:r>
          </w:p>
        </w:tc>
        <w:tc>
          <w:tcPr>
            <w:tcW w:w="2105" w:type="dxa"/>
            <w:tcBorders>
              <w:top w:val="single" w:color="auto" w:sz="4" w:space="0"/>
              <w:left w:val="single" w:color="auto" w:sz="4" w:space="0"/>
              <w:bottom w:val="single" w:color="auto" w:sz="4" w:space="0"/>
              <w:right w:val="single" w:color="auto" w:sz="4" w:space="0"/>
            </w:tcBorders>
            <w:shd w:val="clear" w:color="auto" w:fill="auto"/>
            <w:vAlign w:val="center"/>
          </w:tcPr>
          <w:p w14:paraId="47C934E9">
            <w:pPr>
              <w:pStyle w:val="62"/>
              <w:keepNext w:val="0"/>
              <w:keepLines w:val="0"/>
              <w:tabs>
                <w:tab w:val="left" w:pos="420"/>
              </w:tabs>
              <w:spacing w:before="0" w:after="0"/>
              <w:ind w:left="0" w:leftChars="0" w:firstLine="205" w:firstLineChars="98"/>
              <w:jc w:val="center"/>
              <w:rPr>
                <w:rFonts w:ascii="宋体" w:hAnsi="宋体" w:eastAsia="宋体" w:cs="宋体"/>
                <w:b w:val="0"/>
                <w:color w:val="000000"/>
                <w:sz w:val="21"/>
                <w:szCs w:val="21"/>
              </w:rPr>
            </w:pPr>
            <w:r>
              <w:rPr>
                <w:rFonts w:hint="eastAsia" w:ascii="宋体" w:hAnsi="宋体" w:eastAsia="宋体" w:cs="宋体"/>
                <w:b w:val="0"/>
                <w:color w:val="000000"/>
                <w:sz w:val="21"/>
                <w:szCs w:val="21"/>
              </w:rPr>
              <w:t>招标人名称</w:t>
            </w:r>
          </w:p>
        </w:tc>
        <w:tc>
          <w:tcPr>
            <w:tcW w:w="6258" w:type="dxa"/>
            <w:tcBorders>
              <w:top w:val="single" w:color="auto" w:sz="4" w:space="0"/>
              <w:left w:val="single" w:color="auto" w:sz="4" w:space="0"/>
              <w:bottom w:val="single" w:color="auto" w:sz="4" w:space="0"/>
              <w:right w:val="single" w:color="auto" w:sz="4" w:space="0"/>
            </w:tcBorders>
            <w:shd w:val="clear" w:color="auto" w:fill="auto"/>
            <w:vAlign w:val="center"/>
          </w:tcPr>
          <w:p w14:paraId="6F373AFF">
            <w:pPr>
              <w:pStyle w:val="77"/>
              <w:ind w:firstLine="420"/>
              <w:jc w:val="center"/>
            </w:pPr>
            <w:r>
              <w:rPr>
                <w:rFonts w:hint="eastAsia" w:eastAsia="宋体" w:cs="宋体"/>
                <w:color w:val="000000" w:themeColor="text1"/>
                <w:sz w:val="21"/>
                <w:szCs w:val="21"/>
                <w14:textFill>
                  <w14:solidFill>
                    <w14:schemeClr w14:val="tx1"/>
                  </w14:solidFill>
                </w14:textFill>
              </w:rPr>
              <w:t>重汽汽车金融有限公司</w:t>
            </w:r>
          </w:p>
        </w:tc>
      </w:tr>
      <w:tr w14:paraId="33ADD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A716795">
            <w:pPr>
              <w:jc w:val="center"/>
              <w:rPr>
                <w:rFonts w:ascii="宋体" w:hAnsi="宋体" w:cs="宋体"/>
                <w:b/>
                <w:color w:val="000000"/>
                <w:szCs w:val="21"/>
              </w:rPr>
            </w:pPr>
            <w:r>
              <w:rPr>
                <w:rFonts w:hint="eastAsia" w:ascii="宋体" w:hAnsi="宋体" w:cs="宋体"/>
                <w:b/>
                <w:color w:val="000000"/>
                <w:szCs w:val="21"/>
              </w:rPr>
              <w:t>2</w:t>
            </w:r>
          </w:p>
        </w:tc>
        <w:tc>
          <w:tcPr>
            <w:tcW w:w="2105" w:type="dxa"/>
            <w:tcBorders>
              <w:top w:val="single" w:color="auto" w:sz="4" w:space="0"/>
              <w:left w:val="single" w:color="auto" w:sz="4" w:space="0"/>
              <w:bottom w:val="single" w:color="auto" w:sz="4" w:space="0"/>
              <w:right w:val="single" w:color="auto" w:sz="4" w:space="0"/>
            </w:tcBorders>
            <w:shd w:val="clear" w:color="auto" w:fill="auto"/>
            <w:vAlign w:val="center"/>
          </w:tcPr>
          <w:p w14:paraId="50CA990C">
            <w:pPr>
              <w:jc w:val="left"/>
              <w:rPr>
                <w:rFonts w:ascii="宋体" w:hAnsi="宋体" w:cs="宋体"/>
                <w:color w:val="000000"/>
                <w:szCs w:val="21"/>
              </w:rPr>
            </w:pPr>
            <w:r>
              <w:rPr>
                <w:rFonts w:hint="eastAsia" w:ascii="宋体" w:hAnsi="宋体" w:cs="宋体"/>
                <w:color w:val="000000"/>
                <w:szCs w:val="21"/>
              </w:rPr>
              <w:t>投标人资质要求</w:t>
            </w:r>
          </w:p>
        </w:tc>
        <w:tc>
          <w:tcPr>
            <w:tcW w:w="6258" w:type="dxa"/>
            <w:tcBorders>
              <w:top w:val="single" w:color="auto" w:sz="4" w:space="0"/>
              <w:left w:val="single" w:color="auto" w:sz="4" w:space="0"/>
              <w:bottom w:val="single" w:color="auto" w:sz="4" w:space="0"/>
              <w:right w:val="single" w:color="auto" w:sz="4" w:space="0"/>
            </w:tcBorders>
            <w:shd w:val="clear" w:color="auto" w:fill="auto"/>
            <w:vAlign w:val="center"/>
          </w:tcPr>
          <w:p w14:paraId="7B001703">
            <w:pPr>
              <w:rPr>
                <w:rFonts w:ascii="宋体" w:hAnsi="宋体" w:cs="宋体"/>
                <w:szCs w:val="21"/>
              </w:rPr>
            </w:pPr>
            <w:r>
              <w:rPr>
                <w:rFonts w:hint="eastAsia" w:ascii="宋体" w:hAnsi="宋体" w:cs="宋体"/>
                <w:szCs w:val="21"/>
              </w:rPr>
              <w:t>（1）</w:t>
            </w:r>
            <w:r>
              <w:rPr>
                <w:rFonts w:ascii="宋体" w:hAnsi="宋体" w:cs="宋体"/>
                <w:szCs w:val="21"/>
              </w:rPr>
              <w:t>投标人须是在中国境内注册成立的会计师事务所</w:t>
            </w:r>
            <w:r>
              <w:rPr>
                <w:rFonts w:hint="eastAsia" w:ascii="宋体" w:hAnsi="宋体" w:cs="宋体"/>
                <w:szCs w:val="21"/>
              </w:rPr>
              <w:t>，具有独立承担民事责任能力，</w:t>
            </w:r>
            <w:r>
              <w:rPr>
                <w:rFonts w:ascii="宋体" w:hAnsi="宋体" w:cs="宋体"/>
                <w:szCs w:val="21"/>
              </w:rPr>
              <w:t>持有经年检有效的营业执照、执业证书</w:t>
            </w:r>
            <w:r>
              <w:rPr>
                <w:rFonts w:hint="eastAsia" w:ascii="宋体" w:hAnsi="宋体" w:cs="宋体"/>
                <w:szCs w:val="21"/>
              </w:rPr>
              <w:t>；</w:t>
            </w:r>
            <w:r>
              <w:rPr>
                <w:rFonts w:ascii="宋体" w:hAnsi="宋体" w:cs="宋体"/>
                <w:szCs w:val="21"/>
              </w:rPr>
              <w:t>投标人具有证监会颁发的证券相关业务许可证（提供证明材料），符合《中华人民共和国证券法》相关规定；</w:t>
            </w:r>
          </w:p>
          <w:p w14:paraId="25DFB3AF">
            <w:pPr>
              <w:rPr>
                <w:rFonts w:ascii="宋体" w:hAnsi="宋体" w:cs="宋体"/>
                <w:szCs w:val="21"/>
              </w:rPr>
            </w:pPr>
            <w:r>
              <w:rPr>
                <w:rFonts w:hint="eastAsia" w:ascii="宋体" w:hAnsi="宋体" w:cs="宋体"/>
                <w:szCs w:val="21"/>
              </w:rPr>
              <w:t>（2）具有健全规范的内部管理制度和质量控制体系；</w:t>
            </w:r>
          </w:p>
          <w:p w14:paraId="4F049CDA">
            <w:pPr>
              <w:rPr>
                <w:rFonts w:ascii="宋体" w:hAnsi="宋体" w:cs="宋体"/>
                <w:szCs w:val="21"/>
              </w:rPr>
            </w:pPr>
            <w:r>
              <w:rPr>
                <w:rFonts w:hint="eastAsia" w:ascii="宋体" w:hAnsi="宋体" w:cs="宋体"/>
                <w:szCs w:val="21"/>
              </w:rPr>
              <w:t>（3） 投标人具有良好的商业信誉，且未被“中国执行信息公开网”列入失信被执行人；</w:t>
            </w:r>
          </w:p>
          <w:p w14:paraId="19812C9B">
            <w:pPr>
              <w:rPr>
                <w:rFonts w:ascii="宋体" w:hAnsi="宋体" w:cs="宋体"/>
                <w:szCs w:val="21"/>
              </w:rPr>
            </w:pPr>
            <w:r>
              <w:rPr>
                <w:rFonts w:hint="eastAsia" w:ascii="宋体" w:hAnsi="宋体" w:cs="宋体"/>
                <w:szCs w:val="21"/>
              </w:rPr>
              <w:t>（4）投标人派出的此项目审计团队须具有大型国有企业年度决算审计服务经验；</w:t>
            </w:r>
          </w:p>
          <w:p w14:paraId="72D5B78D">
            <w:pPr>
              <w:rPr>
                <w:rFonts w:ascii="宋体" w:hAnsi="宋体" w:cs="宋体"/>
                <w:szCs w:val="21"/>
              </w:rPr>
            </w:pPr>
            <w:r>
              <w:rPr>
                <w:rFonts w:hint="eastAsia" w:ascii="宋体" w:hAnsi="宋体" w:cs="宋体"/>
                <w:szCs w:val="21"/>
              </w:rPr>
              <w:t xml:space="preserve">（5）投标人须具有履行合同所必需的专业技术能力、执业注册会计师人数； </w:t>
            </w:r>
          </w:p>
          <w:p w14:paraId="0B0B4585">
            <w:pPr>
              <w:rPr>
                <w:rFonts w:ascii="宋体" w:hAnsi="宋体" w:cs="宋体"/>
                <w:szCs w:val="21"/>
              </w:rPr>
            </w:pPr>
            <w:r>
              <w:rPr>
                <w:rFonts w:hint="eastAsia" w:ascii="宋体" w:hAnsi="宋体" w:cs="宋体"/>
                <w:szCs w:val="21"/>
              </w:rPr>
              <w:t>（6）投标人收入规模须处于行业领先水平，按照中国证券监督管理委员会公布的《2025年度会计师事务所从事证券服务业务有关信息》，收入排名前15名（含）；</w:t>
            </w:r>
          </w:p>
          <w:p w14:paraId="35EDAB8D">
            <w:pPr>
              <w:rPr>
                <w:rFonts w:ascii="宋体" w:hAnsi="宋体" w:cs="宋体"/>
                <w:szCs w:val="21"/>
              </w:rPr>
            </w:pPr>
            <w:r>
              <w:rPr>
                <w:rFonts w:hint="eastAsia" w:ascii="宋体" w:hAnsi="宋体" w:cs="宋体"/>
                <w:szCs w:val="21"/>
              </w:rPr>
              <w:t>（7）拟派项目负责人和现场负责人经验丰富，且现场负责人须为执业经验10年以上的注册会计师；</w:t>
            </w:r>
          </w:p>
          <w:p w14:paraId="1179901D">
            <w:pPr>
              <w:rPr>
                <w:rFonts w:ascii="宋体" w:hAnsi="宋体" w:cs="宋体"/>
                <w:szCs w:val="21"/>
              </w:rPr>
            </w:pPr>
            <w:r>
              <w:rPr>
                <w:rFonts w:hint="eastAsia" w:ascii="宋体" w:hAnsi="宋体" w:cs="宋体"/>
                <w:szCs w:val="21"/>
              </w:rPr>
              <w:t>（8）投标人的直接或间接股东、法定代表人、董事、监事、高管非重汽员工及其亲属；</w:t>
            </w:r>
          </w:p>
          <w:p w14:paraId="4A08E78A">
            <w:pPr>
              <w:rPr>
                <w:rFonts w:ascii="宋体" w:hAnsi="宋体" w:cs="宋体"/>
                <w:szCs w:val="21"/>
              </w:rPr>
            </w:pPr>
            <w:r>
              <w:rPr>
                <w:rFonts w:hint="eastAsia" w:ascii="宋体" w:hAnsi="宋体" w:cs="宋体"/>
                <w:szCs w:val="21"/>
              </w:rPr>
              <w:t>（9）投标人之间必须具备充分的竞争关系。详见6.2节</w:t>
            </w:r>
          </w:p>
        </w:tc>
      </w:tr>
      <w:tr w14:paraId="66BD9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42060AF">
            <w:pPr>
              <w:jc w:val="center"/>
              <w:rPr>
                <w:rFonts w:ascii="宋体" w:hAnsi="宋体" w:cs="宋体"/>
                <w:b/>
                <w:color w:val="000000"/>
                <w:szCs w:val="21"/>
              </w:rPr>
            </w:pPr>
            <w:r>
              <w:rPr>
                <w:rFonts w:hint="eastAsia" w:ascii="宋体" w:hAnsi="宋体" w:cs="宋体"/>
                <w:b/>
                <w:color w:val="000000"/>
                <w:szCs w:val="21"/>
              </w:rPr>
              <w:t>3</w:t>
            </w:r>
          </w:p>
        </w:tc>
        <w:tc>
          <w:tcPr>
            <w:tcW w:w="2105" w:type="dxa"/>
            <w:tcBorders>
              <w:top w:val="single" w:color="auto" w:sz="4" w:space="0"/>
              <w:left w:val="single" w:color="auto" w:sz="4" w:space="0"/>
              <w:bottom w:val="single" w:color="auto" w:sz="4" w:space="0"/>
              <w:right w:val="single" w:color="auto" w:sz="4" w:space="0"/>
            </w:tcBorders>
            <w:shd w:val="clear" w:color="auto" w:fill="auto"/>
            <w:vAlign w:val="center"/>
          </w:tcPr>
          <w:p w14:paraId="0982F013">
            <w:pPr>
              <w:rPr>
                <w:rFonts w:ascii="宋体" w:hAnsi="宋体" w:cs="宋体"/>
                <w:color w:val="000000"/>
                <w:szCs w:val="21"/>
              </w:rPr>
            </w:pPr>
            <w:r>
              <w:rPr>
                <w:rFonts w:hint="eastAsia" w:ascii="宋体" w:hAnsi="宋体" w:cs="宋体"/>
                <w:color w:val="000000"/>
                <w:szCs w:val="21"/>
              </w:rPr>
              <w:t>是否允许代理商投标</w:t>
            </w:r>
          </w:p>
        </w:tc>
        <w:tc>
          <w:tcPr>
            <w:tcW w:w="6258" w:type="dxa"/>
            <w:tcBorders>
              <w:top w:val="single" w:color="auto" w:sz="4" w:space="0"/>
              <w:left w:val="single" w:color="auto" w:sz="4" w:space="0"/>
              <w:bottom w:val="single" w:color="auto" w:sz="4" w:space="0"/>
              <w:right w:val="single" w:color="auto" w:sz="4" w:space="0"/>
            </w:tcBorders>
            <w:shd w:val="clear" w:color="auto" w:fill="auto"/>
            <w:vAlign w:val="center"/>
          </w:tcPr>
          <w:p w14:paraId="780A5356">
            <w:pPr>
              <w:jc w:val="left"/>
              <w:rPr>
                <w:rFonts w:ascii="宋体" w:hAnsi="宋体" w:cs="宋体"/>
                <w:bCs/>
                <w:color w:val="000000"/>
                <w:szCs w:val="21"/>
              </w:rPr>
            </w:pPr>
            <w:r>
              <w:rPr>
                <w:rFonts w:hint="eastAsia" w:ascii="宋体" w:hAnsi="宋体" w:cs="宋体"/>
                <w:bCs/>
                <w:color w:val="000000"/>
                <w:szCs w:val="21"/>
              </w:rPr>
              <w:t>否</w:t>
            </w:r>
          </w:p>
        </w:tc>
      </w:tr>
      <w:tr w14:paraId="4AB12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CDEB3E5">
            <w:pPr>
              <w:jc w:val="center"/>
              <w:rPr>
                <w:rFonts w:ascii="宋体" w:hAnsi="宋体" w:cs="宋体"/>
                <w:b/>
                <w:color w:val="000000"/>
                <w:szCs w:val="21"/>
              </w:rPr>
            </w:pPr>
            <w:r>
              <w:rPr>
                <w:rFonts w:hint="eastAsia" w:ascii="宋体" w:hAnsi="宋体" w:cs="宋体"/>
                <w:b/>
                <w:color w:val="000000"/>
                <w:szCs w:val="21"/>
              </w:rPr>
              <w:t>4</w:t>
            </w:r>
          </w:p>
        </w:tc>
        <w:tc>
          <w:tcPr>
            <w:tcW w:w="2105" w:type="dxa"/>
            <w:tcBorders>
              <w:top w:val="single" w:color="auto" w:sz="4" w:space="0"/>
              <w:left w:val="single" w:color="auto" w:sz="4" w:space="0"/>
              <w:bottom w:val="single" w:color="auto" w:sz="4" w:space="0"/>
              <w:right w:val="single" w:color="auto" w:sz="4" w:space="0"/>
            </w:tcBorders>
            <w:shd w:val="clear" w:color="auto" w:fill="auto"/>
            <w:vAlign w:val="center"/>
          </w:tcPr>
          <w:p w14:paraId="4C2AA6CA">
            <w:pPr>
              <w:jc w:val="left"/>
              <w:rPr>
                <w:rFonts w:ascii="宋体" w:hAnsi="宋体" w:cs="宋体"/>
                <w:color w:val="000000"/>
                <w:szCs w:val="21"/>
              </w:rPr>
            </w:pPr>
            <w:r>
              <w:rPr>
                <w:rFonts w:hint="eastAsia" w:ascii="宋体" w:hAnsi="宋体" w:cs="宋体"/>
                <w:color w:val="000000"/>
                <w:szCs w:val="21"/>
              </w:rPr>
              <w:t>投标人应提交的</w:t>
            </w:r>
          </w:p>
          <w:p w14:paraId="42BC2B77">
            <w:pPr>
              <w:jc w:val="left"/>
              <w:rPr>
                <w:rFonts w:ascii="宋体" w:hAnsi="宋体" w:cs="宋体"/>
                <w:color w:val="000000"/>
                <w:szCs w:val="21"/>
              </w:rPr>
            </w:pPr>
            <w:r>
              <w:rPr>
                <w:rFonts w:hint="eastAsia" w:ascii="宋体" w:hAnsi="宋体" w:cs="宋体"/>
                <w:color w:val="000000"/>
                <w:szCs w:val="21"/>
              </w:rPr>
              <w:t>商务文件</w:t>
            </w:r>
          </w:p>
        </w:tc>
        <w:tc>
          <w:tcPr>
            <w:tcW w:w="6258" w:type="dxa"/>
            <w:tcBorders>
              <w:top w:val="single" w:color="auto" w:sz="4" w:space="0"/>
              <w:left w:val="single" w:color="auto" w:sz="4" w:space="0"/>
              <w:bottom w:val="single" w:color="auto" w:sz="4" w:space="0"/>
              <w:right w:val="single" w:color="auto" w:sz="4" w:space="0"/>
            </w:tcBorders>
            <w:shd w:val="clear" w:color="auto" w:fill="auto"/>
            <w:vAlign w:val="center"/>
          </w:tcPr>
          <w:p w14:paraId="464858C7">
            <w:pPr>
              <w:tabs>
                <w:tab w:val="left" w:pos="556"/>
              </w:tabs>
              <w:jc w:val="left"/>
              <w:rPr>
                <w:rFonts w:ascii="宋体" w:hAnsi="宋体" w:cs="宋体"/>
                <w:color w:val="000000"/>
                <w:szCs w:val="21"/>
              </w:rPr>
            </w:pPr>
            <w:r>
              <w:rPr>
                <w:rFonts w:hint="eastAsia" w:ascii="宋体" w:hAnsi="宋体" w:cs="宋体"/>
                <w:color w:val="000000"/>
                <w:szCs w:val="21"/>
              </w:rPr>
              <w:t>（1）投标函</w:t>
            </w:r>
            <w:r>
              <w:rPr>
                <w:rFonts w:hint="eastAsia" w:ascii="宋体" w:hAnsi="宋体" w:cs="宋体"/>
                <w:color w:val="000000"/>
                <w:szCs w:val="21"/>
              </w:rPr>
              <w:cr/>
            </w:r>
            <w:r>
              <w:rPr>
                <w:rFonts w:hint="eastAsia" w:ascii="宋体" w:hAnsi="宋体" w:cs="宋体"/>
                <w:color w:val="000000"/>
                <w:szCs w:val="21"/>
              </w:rPr>
              <w:t>（2）开标一览表</w:t>
            </w:r>
            <w:r>
              <w:rPr>
                <w:rFonts w:hint="eastAsia" w:ascii="宋体" w:hAnsi="宋体" w:cs="宋体"/>
                <w:color w:val="000000"/>
                <w:szCs w:val="21"/>
              </w:rPr>
              <w:cr/>
            </w:r>
            <w:r>
              <w:rPr>
                <w:rFonts w:hint="eastAsia" w:ascii="宋体" w:hAnsi="宋体" w:cs="宋体"/>
                <w:color w:val="000000"/>
                <w:szCs w:val="21"/>
              </w:rPr>
              <w:t xml:space="preserve">（3）商务条款偏离表                                 </w:t>
            </w:r>
            <w:r>
              <w:rPr>
                <w:rFonts w:hint="eastAsia" w:ascii="宋体" w:hAnsi="宋体" w:cs="宋体"/>
                <w:color w:val="000000"/>
                <w:szCs w:val="21"/>
              </w:rPr>
              <w:cr/>
            </w:r>
            <w:r>
              <w:rPr>
                <w:rFonts w:hint="eastAsia" w:ascii="宋体" w:hAnsi="宋体" w:cs="宋体"/>
                <w:color w:val="000000"/>
                <w:szCs w:val="21"/>
              </w:rPr>
              <w:t>（4）服务承诺及优惠条件</w:t>
            </w:r>
          </w:p>
          <w:p w14:paraId="3FC403D5">
            <w:pPr>
              <w:tabs>
                <w:tab w:val="left" w:pos="556"/>
              </w:tabs>
              <w:jc w:val="left"/>
              <w:rPr>
                <w:rFonts w:ascii="宋体" w:hAnsi="宋体" w:cs="宋体"/>
                <w:color w:val="000000"/>
                <w:szCs w:val="21"/>
              </w:rPr>
            </w:pPr>
            <w:r>
              <w:rPr>
                <w:rFonts w:hint="eastAsia" w:ascii="宋体" w:hAnsi="宋体" w:cs="宋体"/>
                <w:color w:val="000000"/>
                <w:szCs w:val="21"/>
              </w:rPr>
              <w:t>（5）其它需要说明的事项   详见6.2节</w:t>
            </w:r>
          </w:p>
        </w:tc>
      </w:tr>
      <w:tr w14:paraId="29803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7F0E220">
            <w:pPr>
              <w:jc w:val="center"/>
              <w:rPr>
                <w:rFonts w:ascii="宋体" w:hAnsi="宋体" w:cs="宋体"/>
                <w:b/>
                <w:color w:val="000000"/>
                <w:szCs w:val="21"/>
              </w:rPr>
            </w:pPr>
            <w:r>
              <w:rPr>
                <w:rFonts w:hint="eastAsia" w:ascii="宋体" w:hAnsi="宋体" w:cs="宋体"/>
                <w:b/>
                <w:color w:val="000000"/>
                <w:szCs w:val="21"/>
              </w:rPr>
              <w:t>5</w:t>
            </w:r>
          </w:p>
        </w:tc>
        <w:tc>
          <w:tcPr>
            <w:tcW w:w="2105" w:type="dxa"/>
            <w:tcBorders>
              <w:top w:val="single" w:color="auto" w:sz="4" w:space="0"/>
              <w:left w:val="single" w:color="auto" w:sz="4" w:space="0"/>
              <w:bottom w:val="single" w:color="auto" w:sz="4" w:space="0"/>
              <w:right w:val="single" w:color="auto" w:sz="4" w:space="0"/>
            </w:tcBorders>
            <w:shd w:val="clear" w:color="auto" w:fill="auto"/>
            <w:vAlign w:val="center"/>
          </w:tcPr>
          <w:p w14:paraId="1C3FB383">
            <w:pPr>
              <w:jc w:val="left"/>
              <w:rPr>
                <w:rFonts w:ascii="宋体" w:hAnsi="宋体" w:cs="宋体"/>
                <w:color w:val="000000"/>
                <w:szCs w:val="21"/>
              </w:rPr>
            </w:pPr>
            <w:r>
              <w:rPr>
                <w:rFonts w:hint="eastAsia" w:ascii="宋体" w:hAnsi="宋体" w:cs="宋体"/>
                <w:color w:val="000000"/>
                <w:szCs w:val="21"/>
              </w:rPr>
              <w:t>服务说明</w:t>
            </w:r>
          </w:p>
        </w:tc>
        <w:tc>
          <w:tcPr>
            <w:tcW w:w="6258" w:type="dxa"/>
            <w:tcBorders>
              <w:top w:val="single" w:color="auto" w:sz="4" w:space="0"/>
              <w:left w:val="single" w:color="auto" w:sz="4" w:space="0"/>
              <w:bottom w:val="single" w:color="auto" w:sz="4" w:space="0"/>
              <w:right w:val="single" w:color="auto" w:sz="4" w:space="0"/>
            </w:tcBorders>
            <w:shd w:val="clear" w:color="auto" w:fill="auto"/>
            <w:vAlign w:val="center"/>
          </w:tcPr>
          <w:p w14:paraId="3CE71140">
            <w:pPr>
              <w:tabs>
                <w:tab w:val="left" w:pos="2532"/>
              </w:tabs>
              <w:jc w:val="left"/>
              <w:rPr>
                <w:rFonts w:ascii="宋体" w:hAnsi="宋体" w:cs="宋体"/>
                <w:szCs w:val="21"/>
              </w:rPr>
            </w:pPr>
            <w:r>
              <w:rPr>
                <w:rFonts w:hint="eastAsia" w:ascii="宋体" w:hAnsi="宋体" w:cs="宋体"/>
                <w:kern w:val="0"/>
                <w:szCs w:val="21"/>
              </w:rPr>
              <w:t>投标人</w:t>
            </w:r>
            <w:r>
              <w:rPr>
                <w:rFonts w:hint="eastAsia" w:ascii="宋体" w:hAnsi="宋体" w:cs="宋体"/>
                <w:kern w:val="0"/>
              </w:rPr>
              <w:t>有完善的服务组织体系，能提供高效的、专业的审计服务，具备汽车金融公司、财务公司、银行、租赁公司等财务报表及内部控制审计工作经验。</w:t>
            </w:r>
          </w:p>
        </w:tc>
      </w:tr>
      <w:tr w14:paraId="6577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817910F">
            <w:pPr>
              <w:jc w:val="center"/>
              <w:rPr>
                <w:rFonts w:ascii="宋体" w:hAnsi="宋体" w:cs="宋体"/>
                <w:b/>
                <w:color w:val="000000"/>
                <w:szCs w:val="21"/>
              </w:rPr>
            </w:pPr>
            <w:r>
              <w:rPr>
                <w:rFonts w:hint="eastAsia" w:ascii="宋体" w:hAnsi="宋体" w:cs="宋体"/>
                <w:b/>
                <w:color w:val="000000"/>
                <w:szCs w:val="21"/>
              </w:rPr>
              <w:t>6</w:t>
            </w:r>
          </w:p>
        </w:tc>
        <w:tc>
          <w:tcPr>
            <w:tcW w:w="2105" w:type="dxa"/>
            <w:tcBorders>
              <w:top w:val="single" w:color="auto" w:sz="4" w:space="0"/>
              <w:left w:val="single" w:color="auto" w:sz="4" w:space="0"/>
              <w:bottom w:val="single" w:color="auto" w:sz="4" w:space="0"/>
              <w:right w:val="single" w:color="auto" w:sz="4" w:space="0"/>
            </w:tcBorders>
            <w:shd w:val="clear" w:color="auto" w:fill="auto"/>
            <w:vAlign w:val="center"/>
          </w:tcPr>
          <w:p w14:paraId="49E65E72">
            <w:pPr>
              <w:jc w:val="left"/>
              <w:rPr>
                <w:rFonts w:ascii="宋体" w:hAnsi="宋体" w:cs="宋体"/>
                <w:color w:val="000000"/>
                <w:szCs w:val="21"/>
              </w:rPr>
            </w:pPr>
            <w:r>
              <w:rPr>
                <w:rFonts w:hint="eastAsia" w:ascii="宋体" w:hAnsi="宋体" w:cs="宋体"/>
                <w:color w:val="000000"/>
                <w:szCs w:val="21"/>
              </w:rPr>
              <w:t>投标人应提交的</w:t>
            </w:r>
          </w:p>
          <w:p w14:paraId="60F0A530">
            <w:pPr>
              <w:jc w:val="left"/>
              <w:rPr>
                <w:rFonts w:ascii="宋体" w:hAnsi="宋体" w:cs="宋体"/>
                <w:color w:val="000000"/>
                <w:szCs w:val="21"/>
              </w:rPr>
            </w:pPr>
            <w:r>
              <w:rPr>
                <w:rFonts w:hint="eastAsia" w:ascii="宋体" w:hAnsi="宋体" w:cs="宋体"/>
                <w:color w:val="000000"/>
                <w:szCs w:val="21"/>
              </w:rPr>
              <w:t>技术文件</w:t>
            </w:r>
          </w:p>
        </w:tc>
        <w:tc>
          <w:tcPr>
            <w:tcW w:w="6258" w:type="dxa"/>
            <w:tcBorders>
              <w:top w:val="single" w:color="auto" w:sz="4" w:space="0"/>
              <w:left w:val="single" w:color="auto" w:sz="4" w:space="0"/>
              <w:bottom w:val="single" w:color="auto" w:sz="4" w:space="0"/>
              <w:right w:val="single" w:color="auto" w:sz="4" w:space="0"/>
            </w:tcBorders>
            <w:shd w:val="clear" w:color="auto" w:fill="auto"/>
            <w:vAlign w:val="center"/>
          </w:tcPr>
          <w:p w14:paraId="6BB79A95">
            <w:pPr>
              <w:rPr>
                <w:rFonts w:ascii="宋体" w:hAnsi="宋体" w:cs="宋体"/>
                <w:color w:val="000000"/>
                <w:szCs w:val="21"/>
              </w:rPr>
            </w:pPr>
            <w:r>
              <w:rPr>
                <w:rFonts w:hint="eastAsia" w:ascii="宋体" w:hAnsi="宋体" w:cs="宋体"/>
                <w:color w:val="000000"/>
                <w:szCs w:val="21"/>
              </w:rPr>
              <w:t>（1）项目实施方案</w:t>
            </w:r>
          </w:p>
          <w:p w14:paraId="189F7AB3">
            <w:pPr>
              <w:rPr>
                <w:rFonts w:ascii="宋体" w:hAnsi="宋体" w:cs="宋体"/>
                <w:color w:val="000000"/>
                <w:szCs w:val="21"/>
              </w:rPr>
            </w:pPr>
            <w:r>
              <w:rPr>
                <w:rFonts w:hint="eastAsia" w:ascii="宋体" w:hAnsi="宋体" w:cs="宋体"/>
                <w:color w:val="000000"/>
                <w:szCs w:val="21"/>
              </w:rPr>
              <w:t>（2）关于汽车金融公司、财务公司、银行</w:t>
            </w:r>
            <w:r>
              <w:rPr>
                <w:rFonts w:hint="eastAsia" w:ascii="宋体" w:hAnsi="宋体" w:cs="宋体"/>
                <w:kern w:val="0"/>
              </w:rPr>
              <w:t>、租赁公司</w:t>
            </w:r>
            <w:r>
              <w:rPr>
                <w:rFonts w:hint="eastAsia" w:ascii="宋体" w:hAnsi="宋体" w:cs="宋体"/>
                <w:color w:val="000000"/>
                <w:szCs w:val="21"/>
              </w:rPr>
              <w:t>等财务报表及内部控制审计等项目相关案例</w:t>
            </w:r>
          </w:p>
          <w:p w14:paraId="54C94EAB">
            <w:pPr>
              <w:rPr>
                <w:rFonts w:ascii="宋体" w:hAnsi="宋体" w:cs="宋体"/>
                <w:color w:val="000000"/>
                <w:szCs w:val="21"/>
              </w:rPr>
            </w:pPr>
            <w:r>
              <w:rPr>
                <w:rFonts w:hint="eastAsia" w:ascii="宋体" w:hAnsi="宋体" w:cs="宋体"/>
                <w:color w:val="000000"/>
                <w:szCs w:val="21"/>
              </w:rPr>
              <w:t>（3）技术规格、参数偏离表</w:t>
            </w:r>
            <w:r>
              <w:rPr>
                <w:rFonts w:hint="eastAsia" w:ascii="宋体" w:hAnsi="宋体" w:cs="宋体"/>
                <w:color w:val="000000"/>
                <w:szCs w:val="21"/>
              </w:rPr>
              <w:cr/>
            </w:r>
            <w:r>
              <w:rPr>
                <w:rFonts w:hint="eastAsia" w:ascii="宋体" w:hAnsi="宋体" w:cs="宋体"/>
                <w:color w:val="000000"/>
                <w:szCs w:val="21"/>
              </w:rPr>
              <w:t>（4）投标报名表</w:t>
            </w:r>
          </w:p>
          <w:p w14:paraId="7653FCA4">
            <w:pPr>
              <w:rPr>
                <w:rFonts w:ascii="宋体" w:hAnsi="宋体" w:cs="宋体"/>
                <w:color w:val="000000"/>
                <w:szCs w:val="21"/>
              </w:rPr>
            </w:pPr>
            <w:r>
              <w:rPr>
                <w:rFonts w:hint="eastAsia" w:ascii="宋体" w:hAnsi="宋体" w:cs="宋体"/>
                <w:color w:val="000000"/>
                <w:szCs w:val="21"/>
              </w:rPr>
              <w:t>（5）承诺函</w:t>
            </w:r>
          </w:p>
          <w:p w14:paraId="3ABD625A">
            <w:pPr>
              <w:rPr>
                <w:rFonts w:ascii="宋体" w:hAnsi="宋体" w:cs="宋体"/>
                <w:color w:val="000000"/>
                <w:szCs w:val="21"/>
              </w:rPr>
            </w:pPr>
            <w:r>
              <w:rPr>
                <w:rFonts w:hint="eastAsia" w:ascii="宋体" w:hAnsi="宋体" w:cs="宋体"/>
                <w:color w:val="000000"/>
                <w:szCs w:val="21"/>
              </w:rPr>
              <w:t>（6）投标人自行编写的技术文件</w:t>
            </w:r>
          </w:p>
          <w:p w14:paraId="74EE4C4D">
            <w:pPr>
              <w:tabs>
                <w:tab w:val="left" w:pos="556"/>
              </w:tabs>
              <w:rPr>
                <w:rFonts w:ascii="宋体" w:hAnsi="宋体" w:cs="宋体"/>
                <w:color w:val="000000"/>
                <w:szCs w:val="21"/>
              </w:rPr>
            </w:pPr>
            <w:r>
              <w:rPr>
                <w:rFonts w:hint="eastAsia" w:ascii="宋体" w:hAnsi="宋体" w:cs="宋体"/>
                <w:color w:val="000000"/>
                <w:szCs w:val="21"/>
              </w:rPr>
              <w:t>（7）投标人认为需要提供的其他说明和资料  详见6.2节</w:t>
            </w:r>
          </w:p>
        </w:tc>
      </w:tr>
      <w:tr w14:paraId="4EE58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9DB72DB">
            <w:pPr>
              <w:jc w:val="center"/>
              <w:rPr>
                <w:rFonts w:ascii="宋体" w:hAnsi="宋体" w:cs="宋体"/>
                <w:b/>
                <w:color w:val="000000"/>
                <w:szCs w:val="21"/>
              </w:rPr>
            </w:pPr>
            <w:r>
              <w:rPr>
                <w:rFonts w:hint="eastAsia" w:ascii="宋体" w:hAnsi="宋体" w:cs="宋体"/>
                <w:b/>
                <w:color w:val="000000"/>
                <w:szCs w:val="21"/>
              </w:rPr>
              <w:t>7</w:t>
            </w:r>
          </w:p>
        </w:tc>
        <w:tc>
          <w:tcPr>
            <w:tcW w:w="2105" w:type="dxa"/>
            <w:tcBorders>
              <w:top w:val="single" w:color="auto" w:sz="4" w:space="0"/>
              <w:left w:val="single" w:color="auto" w:sz="4" w:space="0"/>
              <w:bottom w:val="single" w:color="auto" w:sz="4" w:space="0"/>
              <w:right w:val="single" w:color="auto" w:sz="4" w:space="0"/>
            </w:tcBorders>
            <w:shd w:val="clear" w:color="auto" w:fill="auto"/>
            <w:vAlign w:val="center"/>
          </w:tcPr>
          <w:p w14:paraId="70039EE2">
            <w:pPr>
              <w:jc w:val="left"/>
              <w:rPr>
                <w:rFonts w:ascii="宋体" w:hAnsi="宋体" w:cs="宋体"/>
                <w:color w:val="000000"/>
                <w:szCs w:val="21"/>
              </w:rPr>
            </w:pPr>
            <w:r>
              <w:rPr>
                <w:rFonts w:hint="eastAsia" w:ascii="宋体" w:hAnsi="宋体" w:cs="宋体"/>
                <w:color w:val="000000"/>
                <w:szCs w:val="21"/>
              </w:rPr>
              <w:t>投标人自行编写的</w:t>
            </w:r>
          </w:p>
          <w:p w14:paraId="2D225742">
            <w:pPr>
              <w:jc w:val="left"/>
              <w:rPr>
                <w:rFonts w:ascii="宋体" w:hAnsi="宋体" w:cs="宋体"/>
                <w:color w:val="000000"/>
                <w:szCs w:val="21"/>
              </w:rPr>
            </w:pPr>
            <w:r>
              <w:rPr>
                <w:rFonts w:hint="eastAsia" w:ascii="宋体" w:hAnsi="宋体" w:cs="宋体"/>
                <w:color w:val="000000"/>
                <w:szCs w:val="21"/>
              </w:rPr>
              <w:t>技术文件应包含内容</w:t>
            </w:r>
          </w:p>
        </w:tc>
        <w:tc>
          <w:tcPr>
            <w:tcW w:w="6258" w:type="dxa"/>
            <w:tcBorders>
              <w:top w:val="single" w:color="auto" w:sz="4" w:space="0"/>
              <w:left w:val="single" w:color="auto" w:sz="4" w:space="0"/>
              <w:bottom w:val="single" w:color="auto" w:sz="4" w:space="0"/>
              <w:right w:val="single" w:color="auto" w:sz="4" w:space="0"/>
            </w:tcBorders>
            <w:shd w:val="clear" w:color="auto" w:fill="auto"/>
            <w:vAlign w:val="center"/>
          </w:tcPr>
          <w:p w14:paraId="22E5FC62">
            <w:pPr>
              <w:numPr>
                <w:ilvl w:val="0"/>
                <w:numId w:val="8"/>
              </w:numPr>
              <w:tabs>
                <w:tab w:val="left" w:pos="556"/>
                <w:tab w:val="left" w:pos="612"/>
              </w:tabs>
              <w:ind w:left="556" w:hanging="567"/>
              <w:rPr>
                <w:rFonts w:ascii="宋体" w:hAnsi="宋体" w:cs="宋体"/>
                <w:color w:val="000000"/>
                <w:szCs w:val="21"/>
              </w:rPr>
            </w:pPr>
            <w:r>
              <w:rPr>
                <w:rFonts w:hint="eastAsia" w:ascii="宋体" w:hAnsi="宋体" w:cs="宋体"/>
                <w:color w:val="000000"/>
                <w:szCs w:val="21"/>
              </w:rPr>
              <w:t>项目实施方案</w:t>
            </w:r>
          </w:p>
          <w:p w14:paraId="668D432B">
            <w:pPr>
              <w:numPr>
                <w:ilvl w:val="0"/>
                <w:numId w:val="8"/>
              </w:numPr>
              <w:tabs>
                <w:tab w:val="left" w:pos="556"/>
                <w:tab w:val="left" w:pos="612"/>
              </w:tabs>
              <w:ind w:left="556" w:hanging="567"/>
              <w:rPr>
                <w:rFonts w:ascii="宋体" w:hAnsi="宋体" w:cs="宋体"/>
                <w:color w:val="000000"/>
                <w:szCs w:val="21"/>
              </w:rPr>
            </w:pPr>
            <w:r>
              <w:rPr>
                <w:rFonts w:hint="eastAsia" w:ascii="宋体" w:hAnsi="宋体" w:cs="宋体"/>
                <w:color w:val="000000"/>
                <w:szCs w:val="21"/>
              </w:rPr>
              <w:t>投标人所提供的服务，应符合本文件提出的要求，如果投标人对技术规格提出合理建议或更改，应在《</w:t>
            </w:r>
            <w:r>
              <w:rPr>
                <w:rFonts w:hint="eastAsia" w:cs="宋体"/>
              </w:rPr>
              <w:t>技术规格、参数偏离表</w:t>
            </w:r>
            <w:r>
              <w:rPr>
                <w:rFonts w:hint="eastAsia" w:ascii="宋体" w:hAnsi="宋体" w:cs="宋体"/>
                <w:color w:val="000000"/>
                <w:szCs w:val="21"/>
              </w:rPr>
              <w:t>》中注明</w:t>
            </w:r>
          </w:p>
          <w:p w14:paraId="39A7ED14">
            <w:pPr>
              <w:numPr>
                <w:ilvl w:val="0"/>
                <w:numId w:val="8"/>
              </w:numPr>
              <w:tabs>
                <w:tab w:val="left" w:pos="556"/>
                <w:tab w:val="left" w:pos="612"/>
              </w:tabs>
              <w:ind w:left="556" w:hanging="567"/>
              <w:rPr>
                <w:rFonts w:ascii="宋体" w:hAnsi="宋体" w:cs="宋体"/>
                <w:color w:val="000000"/>
                <w:szCs w:val="21"/>
              </w:rPr>
            </w:pPr>
            <w:r>
              <w:rPr>
                <w:rFonts w:hint="eastAsia" w:ascii="宋体" w:hAnsi="宋体" w:cs="宋体"/>
                <w:color w:val="000000"/>
                <w:szCs w:val="21"/>
              </w:rPr>
              <w:t>其他需要说明的问题</w:t>
            </w:r>
          </w:p>
        </w:tc>
      </w:tr>
      <w:tr w14:paraId="084AE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15A2691">
            <w:pPr>
              <w:jc w:val="center"/>
              <w:rPr>
                <w:rFonts w:ascii="宋体" w:hAnsi="宋体" w:cs="宋体"/>
                <w:b/>
                <w:color w:val="000000"/>
                <w:szCs w:val="21"/>
              </w:rPr>
            </w:pPr>
            <w:r>
              <w:rPr>
                <w:rFonts w:hint="eastAsia" w:ascii="宋体" w:hAnsi="宋体" w:cs="宋体"/>
                <w:b/>
                <w:color w:val="000000"/>
                <w:szCs w:val="21"/>
              </w:rPr>
              <w:t>8</w:t>
            </w:r>
          </w:p>
        </w:tc>
        <w:tc>
          <w:tcPr>
            <w:tcW w:w="2105" w:type="dxa"/>
            <w:tcBorders>
              <w:top w:val="single" w:color="auto" w:sz="4" w:space="0"/>
              <w:left w:val="single" w:color="auto" w:sz="4" w:space="0"/>
              <w:bottom w:val="single" w:color="auto" w:sz="4" w:space="0"/>
              <w:right w:val="single" w:color="auto" w:sz="4" w:space="0"/>
            </w:tcBorders>
            <w:shd w:val="clear" w:color="auto" w:fill="auto"/>
            <w:vAlign w:val="center"/>
          </w:tcPr>
          <w:p w14:paraId="552FCCE4">
            <w:pPr>
              <w:rPr>
                <w:rFonts w:ascii="宋体" w:hAnsi="宋体" w:cs="宋体"/>
                <w:color w:val="000000"/>
                <w:szCs w:val="21"/>
              </w:rPr>
            </w:pPr>
            <w:r>
              <w:rPr>
                <w:rFonts w:hint="eastAsia" w:ascii="宋体" w:hAnsi="宋体" w:cs="宋体"/>
                <w:color w:val="000000"/>
                <w:szCs w:val="21"/>
              </w:rPr>
              <w:t>是否允许投标人将项目非主体、非关键性工作交由他人完成</w:t>
            </w:r>
          </w:p>
        </w:tc>
        <w:tc>
          <w:tcPr>
            <w:tcW w:w="6258" w:type="dxa"/>
            <w:tcBorders>
              <w:top w:val="single" w:color="auto" w:sz="4" w:space="0"/>
              <w:left w:val="single" w:color="auto" w:sz="4" w:space="0"/>
              <w:bottom w:val="single" w:color="auto" w:sz="4" w:space="0"/>
              <w:right w:val="single" w:color="auto" w:sz="4" w:space="0"/>
            </w:tcBorders>
            <w:shd w:val="clear" w:color="auto" w:fill="auto"/>
            <w:vAlign w:val="center"/>
          </w:tcPr>
          <w:p w14:paraId="4DF9FCEF">
            <w:pPr>
              <w:rPr>
                <w:rFonts w:ascii="宋体" w:hAnsi="宋体" w:cs="宋体"/>
                <w:bCs/>
                <w:color w:val="000000"/>
                <w:szCs w:val="21"/>
              </w:rPr>
            </w:pPr>
            <w:r>
              <w:rPr>
                <w:rFonts w:hint="eastAsia" w:ascii="宋体" w:hAnsi="宋体" w:cs="宋体"/>
                <w:bCs/>
                <w:color w:val="000000"/>
                <w:szCs w:val="21"/>
              </w:rPr>
              <w:t>否</w:t>
            </w:r>
          </w:p>
        </w:tc>
      </w:tr>
      <w:tr w14:paraId="6256B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034518E">
            <w:pPr>
              <w:jc w:val="center"/>
              <w:rPr>
                <w:rFonts w:ascii="宋体" w:hAnsi="宋体" w:cs="宋体"/>
                <w:b/>
                <w:color w:val="000000"/>
                <w:szCs w:val="21"/>
              </w:rPr>
            </w:pPr>
            <w:r>
              <w:rPr>
                <w:rFonts w:hint="eastAsia" w:ascii="宋体" w:hAnsi="宋体" w:cs="宋体"/>
                <w:b/>
                <w:color w:val="000000"/>
                <w:szCs w:val="21"/>
              </w:rPr>
              <w:t>9</w:t>
            </w:r>
          </w:p>
        </w:tc>
        <w:tc>
          <w:tcPr>
            <w:tcW w:w="2105" w:type="dxa"/>
            <w:tcBorders>
              <w:top w:val="single" w:color="auto" w:sz="4" w:space="0"/>
              <w:left w:val="single" w:color="auto" w:sz="4" w:space="0"/>
              <w:bottom w:val="single" w:color="auto" w:sz="4" w:space="0"/>
              <w:right w:val="single" w:color="auto" w:sz="4" w:space="0"/>
            </w:tcBorders>
            <w:shd w:val="clear" w:color="auto" w:fill="auto"/>
            <w:vAlign w:val="center"/>
          </w:tcPr>
          <w:p w14:paraId="37C68B28">
            <w:pPr>
              <w:rPr>
                <w:rFonts w:ascii="宋体" w:hAnsi="宋体" w:cs="宋体"/>
                <w:color w:val="000000"/>
                <w:szCs w:val="21"/>
              </w:rPr>
            </w:pPr>
            <w:r>
              <w:rPr>
                <w:rFonts w:hint="eastAsia" w:ascii="宋体" w:hAnsi="宋体" w:cs="宋体"/>
                <w:color w:val="000000"/>
                <w:szCs w:val="21"/>
              </w:rPr>
              <w:t>投标文件份数</w:t>
            </w:r>
          </w:p>
        </w:tc>
        <w:tc>
          <w:tcPr>
            <w:tcW w:w="6258" w:type="dxa"/>
            <w:tcBorders>
              <w:top w:val="single" w:color="auto" w:sz="4" w:space="0"/>
              <w:left w:val="single" w:color="auto" w:sz="4" w:space="0"/>
              <w:bottom w:val="single" w:color="auto" w:sz="4" w:space="0"/>
              <w:right w:val="single" w:color="auto" w:sz="4" w:space="0"/>
            </w:tcBorders>
            <w:shd w:val="clear" w:color="auto" w:fill="auto"/>
            <w:vAlign w:val="center"/>
          </w:tcPr>
          <w:p w14:paraId="396EAB12">
            <w:pPr>
              <w:rPr>
                <w:rFonts w:ascii="宋体" w:hAnsi="宋体" w:cs="宋体"/>
                <w:color w:val="000000"/>
                <w:szCs w:val="21"/>
              </w:rPr>
            </w:pPr>
            <w:r>
              <w:rPr>
                <w:rFonts w:hint="eastAsia" w:ascii="宋体" w:hAnsi="宋体" w:cs="宋体"/>
                <w:color w:val="000000"/>
                <w:szCs w:val="21"/>
              </w:rPr>
              <w:t>详见6.2节</w:t>
            </w:r>
          </w:p>
        </w:tc>
      </w:tr>
      <w:tr w14:paraId="7B1B3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7E2E11B">
            <w:pPr>
              <w:jc w:val="center"/>
              <w:rPr>
                <w:rFonts w:ascii="宋体" w:hAnsi="宋体" w:cs="宋体"/>
                <w:b/>
                <w:color w:val="000000"/>
                <w:szCs w:val="21"/>
              </w:rPr>
            </w:pPr>
            <w:bookmarkStart w:id="208" w:name="_Toc109031551"/>
            <w:bookmarkStart w:id="209" w:name="_Toc50742892"/>
            <w:bookmarkStart w:id="210" w:name="_Toc74143836"/>
            <w:bookmarkStart w:id="211" w:name="_Toc15661"/>
            <w:bookmarkStart w:id="212" w:name="_Toc95148177"/>
            <w:bookmarkStart w:id="213" w:name="_Toc18311"/>
            <w:r>
              <w:rPr>
                <w:rFonts w:hint="eastAsia" w:ascii="宋体" w:hAnsi="宋体" w:cs="宋体"/>
                <w:b/>
                <w:color w:val="000000"/>
                <w:szCs w:val="21"/>
              </w:rPr>
              <w:t>10</w:t>
            </w:r>
          </w:p>
        </w:tc>
        <w:tc>
          <w:tcPr>
            <w:tcW w:w="2105" w:type="dxa"/>
            <w:tcBorders>
              <w:top w:val="single" w:color="auto" w:sz="4" w:space="0"/>
              <w:left w:val="single" w:color="auto" w:sz="4" w:space="0"/>
              <w:bottom w:val="single" w:color="auto" w:sz="4" w:space="0"/>
              <w:right w:val="single" w:color="auto" w:sz="4" w:space="0"/>
            </w:tcBorders>
            <w:shd w:val="clear" w:color="auto" w:fill="auto"/>
            <w:vAlign w:val="center"/>
          </w:tcPr>
          <w:p w14:paraId="57B617A6">
            <w:pPr>
              <w:rPr>
                <w:rFonts w:ascii="宋体" w:hAnsi="宋体" w:cs="宋体"/>
                <w:color w:val="000000"/>
                <w:szCs w:val="21"/>
              </w:rPr>
            </w:pPr>
            <w:r>
              <w:rPr>
                <w:rFonts w:hint="eastAsia" w:ascii="宋体" w:hAnsi="宋体" w:cs="宋体"/>
                <w:color w:val="000000"/>
                <w:szCs w:val="21"/>
              </w:rPr>
              <w:t>投标保证金</w:t>
            </w:r>
          </w:p>
        </w:tc>
        <w:tc>
          <w:tcPr>
            <w:tcW w:w="6258" w:type="dxa"/>
            <w:tcBorders>
              <w:top w:val="single" w:color="auto" w:sz="4" w:space="0"/>
              <w:left w:val="single" w:color="auto" w:sz="4" w:space="0"/>
              <w:bottom w:val="single" w:color="auto" w:sz="4" w:space="0"/>
              <w:right w:val="single" w:color="auto" w:sz="4" w:space="0"/>
            </w:tcBorders>
            <w:shd w:val="clear" w:color="auto" w:fill="auto"/>
            <w:vAlign w:val="center"/>
          </w:tcPr>
          <w:p w14:paraId="7DE0AEF1">
            <w:pPr>
              <w:numPr>
                <w:ilvl w:val="255"/>
                <w:numId w:val="0"/>
              </w:numPr>
              <w:tabs>
                <w:tab w:val="left" w:pos="556"/>
                <w:tab w:val="left" w:pos="612"/>
              </w:tabs>
              <w:ind w:left="-11"/>
              <w:rPr>
                <w:rFonts w:ascii="宋体" w:hAnsi="宋体" w:cs="宋体"/>
                <w:color w:val="000000"/>
                <w:szCs w:val="21"/>
              </w:rPr>
            </w:pPr>
            <w:r>
              <w:rPr>
                <w:rFonts w:hint="eastAsia" w:ascii="宋体" w:hAnsi="宋体" w:cs="宋体"/>
                <w:color w:val="000000"/>
                <w:szCs w:val="21"/>
              </w:rPr>
              <w:t>（1）投标保证金：应标审核通过后交纳投标保证金；</w:t>
            </w:r>
          </w:p>
          <w:p w14:paraId="0C5A05EA">
            <w:pPr>
              <w:numPr>
                <w:ilvl w:val="255"/>
                <w:numId w:val="0"/>
              </w:numPr>
              <w:tabs>
                <w:tab w:val="left" w:pos="556"/>
                <w:tab w:val="left" w:pos="612"/>
              </w:tabs>
              <w:ind w:left="-11"/>
              <w:rPr>
                <w:rFonts w:ascii="宋体" w:hAnsi="宋体" w:cs="宋体"/>
                <w:color w:val="000000"/>
                <w:szCs w:val="21"/>
              </w:rPr>
            </w:pPr>
            <w:r>
              <w:rPr>
                <w:rFonts w:hint="eastAsia" w:ascii="宋体" w:hAnsi="宋体" w:cs="宋体"/>
                <w:color w:val="000000"/>
                <w:szCs w:val="21"/>
              </w:rPr>
              <w:t>（2）投标保证金的形式：电汇或网银(需从投标人基本账户中转出)；</w:t>
            </w:r>
          </w:p>
          <w:p w14:paraId="1EDAFB1C">
            <w:pPr>
              <w:numPr>
                <w:ilvl w:val="255"/>
                <w:numId w:val="0"/>
              </w:numPr>
              <w:tabs>
                <w:tab w:val="left" w:pos="556"/>
                <w:tab w:val="left" w:pos="612"/>
              </w:tabs>
              <w:ind w:left="-11"/>
              <w:rPr>
                <w:rFonts w:ascii="宋体" w:hAnsi="宋体" w:cs="宋体"/>
                <w:color w:val="000000"/>
                <w:szCs w:val="21"/>
              </w:rPr>
            </w:pPr>
            <w:r>
              <w:rPr>
                <w:rFonts w:hint="eastAsia" w:ascii="宋体" w:hAnsi="宋体" w:cs="宋体"/>
                <w:color w:val="000000"/>
                <w:szCs w:val="21"/>
              </w:rPr>
              <w:t>（3）投标保证金的金额：人民币 5000元；</w:t>
            </w:r>
          </w:p>
          <w:p w14:paraId="75AB7C18">
            <w:pPr>
              <w:numPr>
                <w:ilvl w:val="255"/>
                <w:numId w:val="0"/>
              </w:numPr>
              <w:tabs>
                <w:tab w:val="left" w:pos="556"/>
                <w:tab w:val="left" w:pos="612"/>
              </w:tabs>
              <w:ind w:left="-11"/>
              <w:rPr>
                <w:rFonts w:ascii="宋体" w:hAnsi="宋体" w:cs="宋体"/>
                <w:color w:val="000000"/>
                <w:szCs w:val="21"/>
              </w:rPr>
            </w:pPr>
            <w:r>
              <w:rPr>
                <w:rFonts w:hint="eastAsia" w:ascii="宋体" w:hAnsi="宋体" w:cs="宋体"/>
                <w:color w:val="000000"/>
                <w:szCs w:val="21"/>
              </w:rPr>
              <w:t>（4）投标保证金收款账户信息：</w:t>
            </w:r>
          </w:p>
          <w:p w14:paraId="4963FA46">
            <w:pPr>
              <w:numPr>
                <w:ilvl w:val="255"/>
                <w:numId w:val="0"/>
              </w:numPr>
              <w:tabs>
                <w:tab w:val="left" w:pos="556"/>
                <w:tab w:val="left" w:pos="612"/>
              </w:tabs>
              <w:ind w:left="-11"/>
              <w:rPr>
                <w:rFonts w:ascii="宋体" w:hAnsi="宋体" w:cs="宋体"/>
                <w:color w:val="000000"/>
                <w:szCs w:val="21"/>
              </w:rPr>
            </w:pPr>
            <w:r>
              <w:rPr>
                <w:rFonts w:hint="eastAsia" w:ascii="宋体" w:hAnsi="宋体" w:cs="宋体"/>
                <w:color w:val="000000"/>
                <w:szCs w:val="21"/>
              </w:rPr>
              <w:t>户名：重汽汽车金融有限公司</w:t>
            </w:r>
          </w:p>
          <w:p w14:paraId="57147FA0">
            <w:pPr>
              <w:numPr>
                <w:ilvl w:val="255"/>
                <w:numId w:val="0"/>
              </w:numPr>
              <w:tabs>
                <w:tab w:val="left" w:pos="556"/>
                <w:tab w:val="left" w:pos="612"/>
              </w:tabs>
              <w:ind w:left="-11"/>
              <w:rPr>
                <w:rFonts w:ascii="宋体" w:hAnsi="宋体" w:cs="宋体"/>
                <w:color w:val="000000"/>
                <w:szCs w:val="21"/>
              </w:rPr>
            </w:pPr>
            <w:r>
              <w:rPr>
                <w:rFonts w:hint="eastAsia" w:ascii="宋体" w:hAnsi="宋体" w:cs="宋体"/>
                <w:color w:val="000000"/>
                <w:szCs w:val="21"/>
              </w:rPr>
              <w:t>账号：8112501412100610655</w:t>
            </w:r>
          </w:p>
          <w:p w14:paraId="7A8056E1">
            <w:pPr>
              <w:numPr>
                <w:ilvl w:val="255"/>
                <w:numId w:val="0"/>
              </w:numPr>
              <w:tabs>
                <w:tab w:val="left" w:pos="556"/>
                <w:tab w:val="left" w:pos="612"/>
              </w:tabs>
              <w:ind w:left="-11"/>
              <w:rPr>
                <w:rFonts w:ascii="宋体" w:hAnsi="宋体" w:cs="宋体"/>
                <w:color w:val="000000"/>
                <w:szCs w:val="21"/>
              </w:rPr>
            </w:pPr>
            <w:r>
              <w:rPr>
                <w:rFonts w:hint="eastAsia" w:ascii="宋体" w:hAnsi="宋体" w:cs="宋体"/>
                <w:color w:val="000000"/>
                <w:szCs w:val="21"/>
              </w:rPr>
              <w:t>开户行：中信银行济南舜耕支行</w:t>
            </w:r>
          </w:p>
          <w:p w14:paraId="2E67E6FE">
            <w:pPr>
              <w:numPr>
                <w:ilvl w:val="255"/>
                <w:numId w:val="0"/>
              </w:numPr>
              <w:tabs>
                <w:tab w:val="left" w:pos="556"/>
                <w:tab w:val="left" w:pos="612"/>
              </w:tabs>
              <w:ind w:left="-11"/>
              <w:rPr>
                <w:rFonts w:ascii="宋体" w:hAnsi="宋体" w:cs="宋体"/>
                <w:color w:val="000000"/>
                <w:szCs w:val="21"/>
              </w:rPr>
            </w:pPr>
            <w:r>
              <w:rPr>
                <w:rFonts w:hint="eastAsia" w:ascii="宋体" w:hAnsi="宋体" w:cs="宋体"/>
                <w:color w:val="000000"/>
                <w:szCs w:val="21"/>
              </w:rPr>
              <w:t>联行号：302451037264</w:t>
            </w:r>
          </w:p>
          <w:p w14:paraId="7BD217C7">
            <w:pPr>
              <w:numPr>
                <w:ilvl w:val="255"/>
                <w:numId w:val="0"/>
              </w:numPr>
              <w:tabs>
                <w:tab w:val="left" w:pos="556"/>
                <w:tab w:val="left" w:pos="612"/>
              </w:tabs>
              <w:ind w:left="-11"/>
              <w:rPr>
                <w:rFonts w:ascii="宋体" w:hAnsi="宋体" w:cs="宋体"/>
                <w:color w:val="000000"/>
                <w:szCs w:val="21"/>
              </w:rPr>
            </w:pPr>
            <w:r>
              <w:rPr>
                <w:rFonts w:hint="eastAsia" w:ascii="宋体" w:hAnsi="宋体" w:cs="宋体"/>
                <w:color w:val="000000"/>
                <w:szCs w:val="21"/>
              </w:rPr>
              <w:t>（5）汇款备注信息：投标保证金-重汽汽金年报及内控外部审计-（五个字以内投标公司简称）</w:t>
            </w:r>
          </w:p>
          <w:p w14:paraId="18589FF5">
            <w:pPr>
              <w:numPr>
                <w:ilvl w:val="255"/>
                <w:numId w:val="0"/>
              </w:numPr>
              <w:tabs>
                <w:tab w:val="left" w:pos="556"/>
                <w:tab w:val="left" w:pos="612"/>
              </w:tabs>
              <w:ind w:left="-11"/>
              <w:rPr>
                <w:rFonts w:ascii="宋体" w:hAnsi="宋体" w:cs="宋体"/>
                <w:color w:val="000000"/>
                <w:szCs w:val="21"/>
              </w:rPr>
            </w:pPr>
            <w:bookmarkStart w:id="214" w:name="_Hlk66372682"/>
            <w:r>
              <w:rPr>
                <w:rFonts w:hint="eastAsia" w:ascii="宋体" w:hAnsi="宋体" w:cs="宋体"/>
                <w:color w:val="000000"/>
                <w:szCs w:val="21"/>
              </w:rPr>
              <w:t>（6）</w:t>
            </w:r>
            <w:r>
              <w:rPr>
                <w:rFonts w:hint="eastAsia" w:ascii="宋体" w:hAnsi="宋体" w:cs="宋体"/>
                <w:b/>
                <w:color w:val="000000"/>
                <w:szCs w:val="21"/>
              </w:rPr>
              <w:t>投标保证金收取截止时间：2026年</w:t>
            </w:r>
            <w:r>
              <w:rPr>
                <w:rFonts w:ascii="宋体" w:hAnsi="宋体" w:cs="宋体"/>
                <w:b/>
                <w:color w:val="000000"/>
                <w:szCs w:val="21"/>
              </w:rPr>
              <w:t>1</w:t>
            </w:r>
            <w:r>
              <w:rPr>
                <w:rFonts w:hint="eastAsia" w:ascii="宋体" w:hAnsi="宋体" w:cs="宋体"/>
                <w:b/>
                <w:color w:val="000000"/>
                <w:szCs w:val="21"/>
              </w:rPr>
              <w:t>0月31日17:00时。</w:t>
            </w:r>
          </w:p>
          <w:bookmarkEnd w:id="214"/>
          <w:p w14:paraId="4FBE4534">
            <w:pPr>
              <w:numPr>
                <w:ilvl w:val="255"/>
                <w:numId w:val="0"/>
              </w:numPr>
              <w:tabs>
                <w:tab w:val="left" w:pos="556"/>
                <w:tab w:val="left" w:pos="612"/>
              </w:tabs>
              <w:ind w:left="-11"/>
              <w:rPr>
                <w:rFonts w:ascii="宋体" w:hAnsi="宋体" w:cs="宋体"/>
                <w:color w:val="000000"/>
                <w:szCs w:val="21"/>
              </w:rPr>
            </w:pPr>
            <w:r>
              <w:rPr>
                <w:rFonts w:hint="eastAsia" w:ascii="宋体" w:hAnsi="宋体" w:cs="宋体"/>
                <w:color w:val="000000"/>
                <w:szCs w:val="21"/>
              </w:rPr>
              <w:t>（7）说明：招标人按照财务制度退款，在确定中标人后，按投标人所提供的账户信息一个付款周期内退还投标保证金（本金，不计息）。投标人在向招标人出示《投标保证金缴纳凭证》后方可进行投标。</w:t>
            </w:r>
          </w:p>
          <w:p w14:paraId="57EAA57A">
            <w:pPr>
              <w:numPr>
                <w:ilvl w:val="255"/>
                <w:numId w:val="0"/>
              </w:numPr>
              <w:tabs>
                <w:tab w:val="left" w:pos="556"/>
                <w:tab w:val="left" w:pos="612"/>
              </w:tabs>
              <w:ind w:left="-11"/>
              <w:rPr>
                <w:rFonts w:ascii="宋体" w:hAnsi="宋体" w:cs="宋体"/>
                <w:color w:val="000000"/>
                <w:szCs w:val="21"/>
              </w:rPr>
            </w:pPr>
            <w:r>
              <w:rPr>
                <w:rFonts w:hint="eastAsia" w:ascii="宋体" w:hAnsi="宋体" w:cs="宋体"/>
                <w:color w:val="000000"/>
                <w:szCs w:val="21"/>
              </w:rPr>
              <w:t>（8）</w:t>
            </w:r>
            <w:r>
              <w:rPr>
                <w:rFonts w:ascii="宋体" w:hAnsi="宋体" w:cs="宋体"/>
                <w:color w:val="000000"/>
                <w:szCs w:val="21"/>
              </w:rPr>
              <w:t>发生以下情况时，</w:t>
            </w:r>
            <w:r>
              <w:rPr>
                <w:rFonts w:hint="eastAsia" w:ascii="宋体" w:hAnsi="宋体" w:cs="宋体"/>
                <w:color w:val="000000"/>
                <w:szCs w:val="21"/>
              </w:rPr>
              <w:t>投标</w:t>
            </w:r>
            <w:r>
              <w:rPr>
                <w:rFonts w:ascii="宋体" w:hAnsi="宋体" w:cs="宋体"/>
                <w:color w:val="000000"/>
                <w:szCs w:val="21"/>
              </w:rPr>
              <w:t>保证金</w:t>
            </w:r>
            <w:r>
              <w:rPr>
                <w:rFonts w:hint="eastAsia" w:ascii="宋体" w:hAnsi="宋体" w:cs="宋体"/>
                <w:color w:val="000000"/>
                <w:szCs w:val="21"/>
              </w:rPr>
              <w:t>不予返还</w:t>
            </w:r>
            <w:r>
              <w:rPr>
                <w:rFonts w:ascii="宋体" w:hAnsi="宋体" w:cs="宋体"/>
                <w:color w:val="000000"/>
                <w:szCs w:val="21"/>
              </w:rPr>
              <w:t>：</w:t>
            </w:r>
            <w:r>
              <w:rPr>
                <w:rFonts w:ascii="宋体" w:hAnsi="宋体" w:cs="宋体"/>
                <w:color w:val="000000"/>
                <w:szCs w:val="21"/>
              </w:rPr>
              <w:br w:type="textWrapping"/>
            </w:r>
            <w:r>
              <w:rPr>
                <w:rFonts w:hint="eastAsia" w:ascii="宋体" w:hAnsi="宋体" w:cs="宋体"/>
                <w:color w:val="000000"/>
                <w:szCs w:val="21"/>
              </w:rPr>
              <w:t>a.投标人</w:t>
            </w:r>
            <w:r>
              <w:rPr>
                <w:rFonts w:ascii="宋体" w:hAnsi="宋体" w:cs="宋体"/>
                <w:color w:val="000000"/>
                <w:szCs w:val="21"/>
              </w:rPr>
              <w:t>在提交</w:t>
            </w:r>
            <w:r>
              <w:rPr>
                <w:rFonts w:hint="eastAsia" w:ascii="宋体" w:hAnsi="宋体" w:cs="宋体"/>
                <w:color w:val="000000"/>
                <w:szCs w:val="21"/>
              </w:rPr>
              <w:t>投标</w:t>
            </w:r>
            <w:r>
              <w:rPr>
                <w:rFonts w:ascii="宋体" w:hAnsi="宋体" w:cs="宋体"/>
                <w:color w:val="000000"/>
                <w:szCs w:val="21"/>
              </w:rPr>
              <w:t>文件截止时间后撤回</w:t>
            </w:r>
            <w:r>
              <w:rPr>
                <w:rFonts w:hint="eastAsia" w:ascii="宋体" w:hAnsi="宋体" w:cs="宋体"/>
                <w:color w:val="000000"/>
                <w:szCs w:val="21"/>
              </w:rPr>
              <w:t>投标</w:t>
            </w:r>
            <w:r>
              <w:rPr>
                <w:rFonts w:ascii="宋体" w:hAnsi="宋体" w:cs="宋体"/>
                <w:color w:val="000000"/>
                <w:szCs w:val="21"/>
              </w:rPr>
              <w:t>文件的；</w:t>
            </w:r>
            <w:r>
              <w:rPr>
                <w:rFonts w:ascii="宋体" w:hAnsi="宋体" w:cs="宋体"/>
                <w:color w:val="000000"/>
                <w:szCs w:val="21"/>
              </w:rPr>
              <w:br w:type="textWrapping"/>
            </w:r>
            <w:r>
              <w:rPr>
                <w:rFonts w:hint="eastAsia" w:ascii="宋体" w:hAnsi="宋体" w:cs="宋体"/>
                <w:color w:val="000000"/>
                <w:szCs w:val="21"/>
              </w:rPr>
              <w:t>b.投标人</w:t>
            </w:r>
            <w:r>
              <w:rPr>
                <w:rFonts w:ascii="宋体" w:hAnsi="宋体" w:cs="宋体"/>
                <w:color w:val="000000"/>
                <w:szCs w:val="21"/>
              </w:rPr>
              <w:t>在</w:t>
            </w:r>
            <w:r>
              <w:rPr>
                <w:rFonts w:hint="eastAsia" w:ascii="宋体" w:hAnsi="宋体" w:cs="宋体"/>
                <w:color w:val="000000"/>
                <w:szCs w:val="21"/>
              </w:rPr>
              <w:t>投标</w:t>
            </w:r>
            <w:r>
              <w:rPr>
                <w:rFonts w:ascii="宋体" w:hAnsi="宋体" w:cs="宋体"/>
                <w:color w:val="000000"/>
                <w:szCs w:val="21"/>
              </w:rPr>
              <w:t>文件中提供虚假材料的；</w:t>
            </w:r>
            <w:r>
              <w:rPr>
                <w:rFonts w:ascii="宋体" w:hAnsi="宋体" w:cs="宋体"/>
                <w:color w:val="000000"/>
                <w:szCs w:val="21"/>
              </w:rPr>
              <w:br w:type="textWrapping"/>
            </w:r>
            <w:r>
              <w:rPr>
                <w:rFonts w:hint="eastAsia" w:ascii="宋体" w:hAnsi="宋体" w:cs="宋体"/>
                <w:color w:val="000000"/>
                <w:szCs w:val="21"/>
              </w:rPr>
              <w:t>c.</w:t>
            </w:r>
            <w:r>
              <w:rPr>
                <w:rFonts w:ascii="宋体" w:hAnsi="宋体" w:cs="宋体"/>
                <w:color w:val="000000"/>
                <w:szCs w:val="21"/>
              </w:rPr>
              <w:t>除因不可抗力或谈判文件认可的情形以外，成交</w:t>
            </w:r>
            <w:r>
              <w:rPr>
                <w:rFonts w:hint="eastAsia" w:ascii="宋体" w:hAnsi="宋体" w:cs="宋体"/>
                <w:color w:val="000000"/>
                <w:szCs w:val="21"/>
              </w:rPr>
              <w:t>投标人</w:t>
            </w:r>
            <w:r>
              <w:rPr>
                <w:rFonts w:ascii="宋体" w:hAnsi="宋体" w:cs="宋体"/>
                <w:color w:val="000000"/>
                <w:szCs w:val="21"/>
              </w:rPr>
              <w:t>不与</w:t>
            </w:r>
            <w:r>
              <w:rPr>
                <w:rFonts w:hint="eastAsia" w:ascii="宋体" w:hAnsi="宋体" w:cs="宋体"/>
                <w:color w:val="000000"/>
                <w:szCs w:val="21"/>
              </w:rPr>
              <w:t>招标</w:t>
            </w:r>
            <w:r>
              <w:rPr>
                <w:rFonts w:ascii="宋体" w:hAnsi="宋体" w:cs="宋体"/>
                <w:color w:val="000000"/>
                <w:szCs w:val="21"/>
              </w:rPr>
              <w:t>人签订合同的；</w:t>
            </w:r>
            <w:r>
              <w:rPr>
                <w:rFonts w:ascii="宋体" w:hAnsi="宋体" w:cs="宋体"/>
                <w:color w:val="000000"/>
                <w:szCs w:val="21"/>
              </w:rPr>
              <w:br w:type="textWrapping"/>
            </w:r>
            <w:r>
              <w:rPr>
                <w:rFonts w:hint="eastAsia" w:ascii="宋体" w:hAnsi="宋体" w:cs="宋体"/>
                <w:color w:val="000000"/>
                <w:szCs w:val="21"/>
              </w:rPr>
              <w:t>d.投标人</w:t>
            </w:r>
            <w:r>
              <w:rPr>
                <w:rFonts w:ascii="宋体" w:hAnsi="宋体" w:cs="宋体"/>
                <w:color w:val="000000"/>
                <w:szCs w:val="21"/>
              </w:rPr>
              <w:t>与</w:t>
            </w:r>
            <w:r>
              <w:rPr>
                <w:rFonts w:hint="eastAsia" w:ascii="宋体" w:hAnsi="宋体" w:cs="宋体"/>
                <w:color w:val="000000"/>
                <w:szCs w:val="21"/>
              </w:rPr>
              <w:t>招标</w:t>
            </w:r>
            <w:r>
              <w:rPr>
                <w:rFonts w:ascii="宋体" w:hAnsi="宋体" w:cs="宋体"/>
                <w:color w:val="000000"/>
                <w:szCs w:val="21"/>
              </w:rPr>
              <w:t>人、其他</w:t>
            </w:r>
            <w:r>
              <w:rPr>
                <w:rFonts w:hint="eastAsia" w:ascii="宋体" w:hAnsi="宋体" w:cs="宋体"/>
                <w:color w:val="000000"/>
                <w:szCs w:val="21"/>
              </w:rPr>
              <w:t>投标人</w:t>
            </w:r>
            <w:r>
              <w:rPr>
                <w:rFonts w:ascii="宋体" w:hAnsi="宋体" w:cs="宋体"/>
                <w:color w:val="000000"/>
                <w:szCs w:val="21"/>
              </w:rPr>
              <w:t>恶意串通、围标、陪标的；</w:t>
            </w:r>
            <w:r>
              <w:rPr>
                <w:rFonts w:ascii="宋体" w:hAnsi="宋体" w:cs="宋体"/>
                <w:color w:val="000000"/>
                <w:szCs w:val="21"/>
              </w:rPr>
              <w:br w:type="textWrapping"/>
            </w:r>
            <w:r>
              <w:rPr>
                <w:rFonts w:hint="eastAsia" w:ascii="宋体" w:hAnsi="宋体" w:cs="宋体"/>
                <w:color w:val="000000"/>
                <w:szCs w:val="21"/>
              </w:rPr>
              <w:t>e.投标人</w:t>
            </w:r>
            <w:r>
              <w:rPr>
                <w:rFonts w:ascii="宋体" w:hAnsi="宋体" w:cs="宋体"/>
                <w:color w:val="000000"/>
                <w:szCs w:val="21"/>
              </w:rPr>
              <w:t>有违约违规行为或被投诉、举报的，在调查处理期间，保证金暂不退还，待调查处理结束后按有关规定处理</w:t>
            </w:r>
            <w:r>
              <w:rPr>
                <w:rFonts w:hint="eastAsia" w:ascii="宋体" w:hAnsi="宋体" w:cs="宋体"/>
                <w:color w:val="000000"/>
                <w:szCs w:val="21"/>
              </w:rPr>
              <w:t>；</w:t>
            </w:r>
            <w:r>
              <w:rPr>
                <w:rFonts w:ascii="宋体" w:hAnsi="宋体" w:cs="宋体"/>
                <w:color w:val="000000"/>
                <w:szCs w:val="21"/>
              </w:rPr>
              <w:br w:type="textWrapping"/>
            </w:r>
            <w:r>
              <w:rPr>
                <w:rFonts w:hint="eastAsia" w:ascii="宋体" w:hAnsi="宋体" w:cs="宋体"/>
                <w:color w:val="000000"/>
                <w:szCs w:val="21"/>
              </w:rPr>
              <w:t>f.</w:t>
            </w:r>
            <w:r>
              <w:rPr>
                <w:rFonts w:ascii="宋体" w:hAnsi="宋体" w:cs="宋体"/>
                <w:color w:val="000000"/>
                <w:szCs w:val="21"/>
              </w:rPr>
              <w:t>截至开标前3天，投标人无正当理由、未以书面形式向招标人递交说明而在投标截止日不来投标的</w:t>
            </w:r>
            <w:r>
              <w:rPr>
                <w:rFonts w:hint="eastAsia" w:ascii="宋体" w:hAnsi="宋体" w:cs="宋体"/>
                <w:color w:val="000000"/>
                <w:szCs w:val="21"/>
              </w:rPr>
              <w:t>；</w:t>
            </w:r>
            <w:r>
              <w:rPr>
                <w:rFonts w:ascii="宋体" w:hAnsi="宋体" w:cs="宋体"/>
                <w:color w:val="000000"/>
                <w:szCs w:val="21"/>
              </w:rPr>
              <w:br w:type="textWrapping"/>
            </w:r>
            <w:r>
              <w:rPr>
                <w:rFonts w:hint="eastAsia" w:ascii="宋体" w:hAnsi="宋体" w:cs="宋体"/>
                <w:color w:val="000000"/>
                <w:szCs w:val="21"/>
              </w:rPr>
              <w:t>g.</w:t>
            </w:r>
            <w:r>
              <w:rPr>
                <w:rFonts w:ascii="宋体" w:hAnsi="宋体" w:cs="宋体"/>
                <w:color w:val="000000"/>
                <w:szCs w:val="21"/>
              </w:rPr>
              <w:t>自中标通知书发出之日起30日内，中标人无正当理由投标人无正当签订合同的</w:t>
            </w:r>
            <w:r>
              <w:rPr>
                <w:rFonts w:hint="eastAsia" w:ascii="宋体" w:hAnsi="宋体" w:cs="宋体"/>
                <w:color w:val="000000"/>
                <w:szCs w:val="21"/>
              </w:rPr>
              <w:t>。</w:t>
            </w:r>
          </w:p>
          <w:p w14:paraId="44816BD6">
            <w:pPr>
              <w:numPr>
                <w:ilvl w:val="255"/>
                <w:numId w:val="0"/>
              </w:numPr>
              <w:tabs>
                <w:tab w:val="left" w:pos="556"/>
                <w:tab w:val="left" w:pos="612"/>
              </w:tabs>
              <w:ind w:left="-11"/>
              <w:rPr>
                <w:rFonts w:ascii="宋体" w:hAnsi="宋体" w:cs="宋体"/>
                <w:color w:val="000000"/>
                <w:szCs w:val="21"/>
              </w:rPr>
            </w:pPr>
          </w:p>
          <w:p w14:paraId="78582FA9">
            <w:pPr>
              <w:numPr>
                <w:ilvl w:val="255"/>
                <w:numId w:val="0"/>
              </w:numPr>
              <w:tabs>
                <w:tab w:val="left" w:pos="556"/>
                <w:tab w:val="left" w:pos="612"/>
              </w:tabs>
              <w:ind w:left="-11"/>
              <w:rPr>
                <w:rFonts w:ascii="宋体" w:hAnsi="宋体" w:cs="宋体"/>
                <w:color w:val="000000"/>
                <w:szCs w:val="21"/>
              </w:rPr>
            </w:pPr>
          </w:p>
        </w:tc>
      </w:tr>
    </w:tbl>
    <w:p w14:paraId="4D48C7B7">
      <w:pPr>
        <w:pStyle w:val="69"/>
        <w:keepNext w:val="0"/>
        <w:widowControl/>
        <w:numPr>
          <w:ilvl w:val="1"/>
          <w:numId w:val="0"/>
        </w:numPr>
        <w:ind w:firstLine="480" w:firstLineChars="200"/>
        <w:rPr>
          <w:rStyle w:val="70"/>
          <w:rFonts w:ascii="Calibri" w:hAnsi="Calibri"/>
          <w:b/>
          <w:sz w:val="24"/>
          <w:szCs w:val="24"/>
        </w:rPr>
      </w:pPr>
      <w:bookmarkStart w:id="215" w:name="_Toc242533958"/>
      <w:r>
        <w:rPr>
          <w:rStyle w:val="70"/>
          <w:rFonts w:hint="eastAsia" w:ascii="Calibri" w:hAnsi="Calibri"/>
          <w:b w:val="0"/>
          <w:sz w:val="24"/>
          <w:szCs w:val="24"/>
        </w:rPr>
        <w:t>5.2</w:t>
      </w:r>
      <w:r>
        <w:rPr>
          <w:rStyle w:val="70"/>
          <w:rFonts w:ascii="Calibri" w:hAnsi="Calibri"/>
          <w:b w:val="0"/>
          <w:sz w:val="24"/>
          <w:szCs w:val="24"/>
        </w:rPr>
        <w:t>投标报价</w:t>
      </w:r>
      <w:bookmarkEnd w:id="208"/>
      <w:bookmarkEnd w:id="209"/>
      <w:bookmarkEnd w:id="210"/>
      <w:bookmarkEnd w:id="211"/>
      <w:bookmarkEnd w:id="212"/>
      <w:bookmarkEnd w:id="213"/>
      <w:bookmarkEnd w:id="215"/>
    </w:p>
    <w:p w14:paraId="4CEF25AA">
      <w:pPr>
        <w:pStyle w:val="69"/>
        <w:numPr>
          <w:ilvl w:val="1"/>
          <w:numId w:val="0"/>
        </w:numPr>
        <w:ind w:firstLine="480" w:firstLineChars="200"/>
        <w:rPr>
          <w:rStyle w:val="70"/>
          <w:rFonts w:ascii="Calibri" w:hAnsi="Calibri"/>
          <w:b w:val="0"/>
          <w:bCs/>
          <w:sz w:val="24"/>
          <w:szCs w:val="24"/>
        </w:rPr>
      </w:pPr>
      <w:bookmarkStart w:id="216" w:name="_Toc30092"/>
      <w:bookmarkStart w:id="217" w:name="_Toc20277"/>
      <w:bookmarkStart w:id="218" w:name="_Toc242533959"/>
      <w:r>
        <w:rPr>
          <w:rStyle w:val="70"/>
          <w:rFonts w:ascii="Calibri" w:hAnsi="Calibri"/>
          <w:b w:val="0"/>
          <w:bCs/>
          <w:sz w:val="24"/>
          <w:szCs w:val="24"/>
        </w:rPr>
        <w:t>1）本次招投标为</w:t>
      </w:r>
      <w:r>
        <w:rPr>
          <w:rStyle w:val="70"/>
          <w:rFonts w:ascii="Calibri" w:hAnsi="Calibri"/>
          <w:b w:val="0"/>
          <w:sz w:val="24"/>
          <w:szCs w:val="24"/>
        </w:rPr>
        <w:t>公开招标</w:t>
      </w:r>
      <w:r>
        <w:rPr>
          <w:rStyle w:val="70"/>
          <w:rFonts w:ascii="Calibri" w:hAnsi="Calibri"/>
          <w:b w:val="0"/>
          <w:bCs/>
          <w:sz w:val="24"/>
          <w:szCs w:val="24"/>
        </w:rPr>
        <w:t>，投标总报价应包括实施服务、税费等全部费用</w:t>
      </w:r>
      <w:bookmarkEnd w:id="216"/>
      <w:bookmarkEnd w:id="217"/>
      <w:r>
        <w:rPr>
          <w:rStyle w:val="70"/>
          <w:rFonts w:ascii="Calibri" w:hAnsi="Calibri"/>
          <w:b w:val="0"/>
          <w:bCs/>
          <w:sz w:val="24"/>
          <w:szCs w:val="24"/>
        </w:rPr>
        <w:t>；</w:t>
      </w:r>
      <w:bookmarkEnd w:id="218"/>
    </w:p>
    <w:p w14:paraId="191701B0">
      <w:pPr>
        <w:pStyle w:val="69"/>
        <w:numPr>
          <w:ilvl w:val="1"/>
          <w:numId w:val="0"/>
        </w:numPr>
        <w:ind w:firstLine="480" w:firstLineChars="200"/>
        <w:rPr>
          <w:rStyle w:val="70"/>
          <w:rFonts w:ascii="Calibri" w:hAnsi="Calibri"/>
          <w:b w:val="0"/>
          <w:bCs/>
          <w:sz w:val="24"/>
          <w:szCs w:val="24"/>
        </w:rPr>
      </w:pPr>
      <w:bookmarkStart w:id="219" w:name="_Toc29647"/>
      <w:bookmarkStart w:id="220" w:name="_Toc8630"/>
      <w:bookmarkStart w:id="221" w:name="_Toc242533960"/>
      <w:r>
        <w:rPr>
          <w:rStyle w:val="70"/>
          <w:rFonts w:hint="eastAsia" w:ascii="Calibri" w:hAnsi="Calibri"/>
          <w:b w:val="0"/>
          <w:bCs/>
          <w:sz w:val="24"/>
          <w:szCs w:val="24"/>
        </w:rPr>
        <w:t>2</w:t>
      </w:r>
      <w:r>
        <w:rPr>
          <w:rStyle w:val="70"/>
          <w:rFonts w:ascii="Calibri" w:hAnsi="Calibri"/>
          <w:b w:val="0"/>
          <w:bCs/>
          <w:sz w:val="24"/>
          <w:szCs w:val="24"/>
        </w:rPr>
        <w:t>）所有参加投标的单位必须结合自身的实际情况，对此次招标项目服务周期与实施难度的估量以及所制定的实施组织计划，以实际产生的费用，据实报价</w:t>
      </w:r>
      <w:bookmarkEnd w:id="219"/>
      <w:bookmarkEnd w:id="220"/>
      <w:r>
        <w:rPr>
          <w:rStyle w:val="70"/>
          <w:rFonts w:ascii="Calibri" w:hAnsi="Calibri"/>
          <w:b w:val="0"/>
          <w:bCs/>
          <w:sz w:val="24"/>
          <w:szCs w:val="24"/>
        </w:rPr>
        <w:t>；</w:t>
      </w:r>
      <w:bookmarkEnd w:id="221"/>
    </w:p>
    <w:p w14:paraId="64544C2C">
      <w:pPr>
        <w:pStyle w:val="69"/>
        <w:numPr>
          <w:ilvl w:val="1"/>
          <w:numId w:val="0"/>
        </w:numPr>
        <w:ind w:firstLine="480" w:firstLineChars="200"/>
        <w:rPr>
          <w:rStyle w:val="70"/>
          <w:rFonts w:ascii="Calibri" w:hAnsi="Calibri"/>
          <w:b w:val="0"/>
          <w:bCs/>
          <w:sz w:val="24"/>
          <w:szCs w:val="24"/>
        </w:rPr>
      </w:pPr>
      <w:bookmarkStart w:id="222" w:name="_Toc8955"/>
      <w:bookmarkStart w:id="223" w:name="_Toc26778"/>
      <w:bookmarkStart w:id="224" w:name="_Toc242533961"/>
      <w:r>
        <w:rPr>
          <w:rStyle w:val="70"/>
          <w:rFonts w:hint="eastAsia" w:ascii="Calibri" w:hAnsi="Calibri"/>
          <w:b w:val="0"/>
          <w:bCs/>
          <w:sz w:val="24"/>
          <w:szCs w:val="24"/>
        </w:rPr>
        <w:t>3</w:t>
      </w:r>
      <w:r>
        <w:rPr>
          <w:rStyle w:val="70"/>
          <w:rFonts w:ascii="Calibri" w:hAnsi="Calibri"/>
          <w:b w:val="0"/>
          <w:bCs/>
          <w:sz w:val="24"/>
          <w:szCs w:val="24"/>
        </w:rPr>
        <w:t>）</w:t>
      </w:r>
      <w:r>
        <w:rPr>
          <w:rStyle w:val="70"/>
          <w:rFonts w:hint="eastAsia" w:ascii="Calibri" w:hAnsi="Calibri"/>
          <w:b w:val="0"/>
          <w:bCs/>
          <w:sz w:val="24"/>
          <w:szCs w:val="24"/>
        </w:rPr>
        <w:t>投标人</w:t>
      </w:r>
      <w:r>
        <w:rPr>
          <w:rStyle w:val="70"/>
          <w:rFonts w:ascii="Calibri" w:hAnsi="Calibri"/>
          <w:b w:val="0"/>
          <w:bCs/>
          <w:sz w:val="24"/>
          <w:szCs w:val="24"/>
        </w:rPr>
        <w:t>免费提供的项目，应先填写该项目的实际价格，并注明免费。此项不计入总报价</w:t>
      </w:r>
      <w:bookmarkEnd w:id="222"/>
      <w:bookmarkEnd w:id="223"/>
      <w:r>
        <w:rPr>
          <w:rStyle w:val="70"/>
          <w:rFonts w:ascii="Calibri" w:hAnsi="Calibri"/>
          <w:b w:val="0"/>
          <w:bCs/>
          <w:sz w:val="24"/>
          <w:szCs w:val="24"/>
        </w:rPr>
        <w:t>；</w:t>
      </w:r>
      <w:bookmarkEnd w:id="224"/>
    </w:p>
    <w:p w14:paraId="75070C0A">
      <w:pPr>
        <w:pStyle w:val="69"/>
        <w:numPr>
          <w:ilvl w:val="1"/>
          <w:numId w:val="0"/>
        </w:numPr>
        <w:ind w:firstLine="480" w:firstLineChars="200"/>
        <w:rPr>
          <w:rStyle w:val="70"/>
          <w:rFonts w:ascii="Calibri" w:hAnsi="Calibri"/>
          <w:b w:val="0"/>
          <w:bCs/>
          <w:sz w:val="24"/>
          <w:szCs w:val="24"/>
        </w:rPr>
      </w:pPr>
      <w:bookmarkStart w:id="225" w:name="_Toc4135"/>
      <w:bookmarkStart w:id="226" w:name="_Toc3789"/>
      <w:bookmarkStart w:id="227" w:name="_Toc242533962"/>
      <w:r>
        <w:rPr>
          <w:rStyle w:val="70"/>
          <w:rFonts w:hint="eastAsia" w:ascii="Calibri" w:hAnsi="Calibri"/>
          <w:b w:val="0"/>
          <w:bCs/>
          <w:sz w:val="24"/>
          <w:szCs w:val="24"/>
        </w:rPr>
        <w:t>4</w:t>
      </w:r>
      <w:r>
        <w:rPr>
          <w:rStyle w:val="70"/>
          <w:rFonts w:ascii="Calibri" w:hAnsi="Calibri"/>
          <w:b w:val="0"/>
          <w:bCs/>
          <w:sz w:val="24"/>
          <w:szCs w:val="24"/>
        </w:rPr>
        <w:t>）项目的报价货币单位为：人民币</w:t>
      </w:r>
      <w:bookmarkEnd w:id="225"/>
      <w:bookmarkEnd w:id="226"/>
      <w:r>
        <w:rPr>
          <w:rStyle w:val="70"/>
          <w:rFonts w:ascii="Calibri" w:hAnsi="Calibri"/>
          <w:b w:val="0"/>
          <w:bCs/>
          <w:sz w:val="24"/>
          <w:szCs w:val="24"/>
        </w:rPr>
        <w:t>；</w:t>
      </w:r>
      <w:bookmarkEnd w:id="227"/>
    </w:p>
    <w:p w14:paraId="3D6AE9E3">
      <w:pPr>
        <w:pStyle w:val="69"/>
        <w:numPr>
          <w:ilvl w:val="1"/>
          <w:numId w:val="0"/>
        </w:numPr>
        <w:ind w:firstLine="480" w:firstLineChars="200"/>
        <w:rPr>
          <w:rStyle w:val="70"/>
          <w:rFonts w:ascii="Calibri" w:hAnsi="Calibri"/>
          <w:b w:val="0"/>
          <w:bCs/>
          <w:sz w:val="24"/>
          <w:szCs w:val="24"/>
        </w:rPr>
      </w:pPr>
      <w:bookmarkStart w:id="228" w:name="_Toc16000"/>
      <w:bookmarkStart w:id="229" w:name="_Toc14794"/>
      <w:bookmarkStart w:id="230" w:name="_Toc242533963"/>
      <w:r>
        <w:rPr>
          <w:rStyle w:val="70"/>
          <w:rFonts w:hint="eastAsia" w:ascii="Calibri" w:hAnsi="Calibri"/>
          <w:b w:val="0"/>
          <w:bCs/>
          <w:sz w:val="24"/>
          <w:szCs w:val="24"/>
        </w:rPr>
        <w:t>5</w:t>
      </w:r>
      <w:r>
        <w:rPr>
          <w:rStyle w:val="70"/>
          <w:rFonts w:ascii="Calibri" w:hAnsi="Calibri"/>
          <w:b w:val="0"/>
          <w:bCs/>
          <w:sz w:val="24"/>
          <w:szCs w:val="24"/>
        </w:rPr>
        <w:t>）最后磋商报价在合同执行过程中是固定不变的，不得以任何理由予以变更。</w:t>
      </w:r>
      <w:bookmarkEnd w:id="228"/>
      <w:bookmarkEnd w:id="229"/>
      <w:bookmarkEnd w:id="230"/>
    </w:p>
    <w:p w14:paraId="57A2E793">
      <w:pPr>
        <w:pStyle w:val="69"/>
        <w:keepNext w:val="0"/>
        <w:widowControl/>
        <w:numPr>
          <w:ilvl w:val="1"/>
          <w:numId w:val="0"/>
        </w:numPr>
        <w:ind w:firstLine="480" w:firstLineChars="200"/>
        <w:rPr>
          <w:rStyle w:val="70"/>
          <w:rFonts w:ascii="Calibri" w:hAnsi="Calibri"/>
          <w:b/>
          <w:sz w:val="24"/>
          <w:szCs w:val="24"/>
        </w:rPr>
      </w:pPr>
      <w:bookmarkStart w:id="231" w:name="_Toc109031552"/>
      <w:bookmarkStart w:id="232" w:name="_Toc242533964"/>
      <w:bookmarkStart w:id="233" w:name="_Toc74143837"/>
      <w:bookmarkStart w:id="234" w:name="_Toc95148178"/>
      <w:bookmarkStart w:id="235" w:name="_Toc14181"/>
      <w:bookmarkStart w:id="236" w:name="_Toc7717"/>
      <w:bookmarkStart w:id="237" w:name="_Toc50742893"/>
      <w:r>
        <w:rPr>
          <w:rStyle w:val="70"/>
          <w:rFonts w:hint="eastAsia" w:ascii="Calibri" w:hAnsi="Calibri"/>
          <w:b w:val="0"/>
          <w:sz w:val="24"/>
          <w:szCs w:val="24"/>
        </w:rPr>
        <w:t>5.3</w:t>
      </w:r>
      <w:r>
        <w:rPr>
          <w:rStyle w:val="70"/>
          <w:rFonts w:ascii="Calibri" w:hAnsi="Calibri"/>
          <w:b w:val="0"/>
          <w:sz w:val="24"/>
          <w:szCs w:val="24"/>
        </w:rPr>
        <w:t>招标文件的组成</w:t>
      </w:r>
      <w:bookmarkEnd w:id="231"/>
      <w:bookmarkEnd w:id="232"/>
      <w:bookmarkEnd w:id="233"/>
      <w:bookmarkEnd w:id="234"/>
      <w:bookmarkEnd w:id="235"/>
      <w:bookmarkEnd w:id="236"/>
      <w:bookmarkEnd w:id="237"/>
    </w:p>
    <w:p w14:paraId="35C8B2B3">
      <w:pPr>
        <w:pStyle w:val="69"/>
        <w:numPr>
          <w:ilvl w:val="1"/>
          <w:numId w:val="0"/>
        </w:numPr>
        <w:ind w:firstLine="480" w:firstLineChars="200"/>
        <w:rPr>
          <w:rStyle w:val="70"/>
          <w:rFonts w:ascii="Calibri" w:hAnsi="Calibri"/>
          <w:b w:val="0"/>
          <w:bCs/>
          <w:sz w:val="24"/>
          <w:szCs w:val="24"/>
        </w:rPr>
      </w:pPr>
      <w:bookmarkStart w:id="238" w:name="_Toc28429"/>
      <w:bookmarkStart w:id="239" w:name="_Toc10264"/>
      <w:bookmarkStart w:id="240" w:name="_Toc242533965"/>
      <w:r>
        <w:rPr>
          <w:rStyle w:val="70"/>
          <w:rFonts w:ascii="Calibri" w:hAnsi="Calibri"/>
          <w:b w:val="0"/>
          <w:bCs/>
          <w:sz w:val="24"/>
          <w:szCs w:val="24"/>
        </w:rPr>
        <w:t>1）招标文件由招标文件总目录所列内容组成</w:t>
      </w:r>
      <w:bookmarkEnd w:id="238"/>
      <w:bookmarkEnd w:id="239"/>
      <w:r>
        <w:rPr>
          <w:rStyle w:val="70"/>
          <w:rFonts w:ascii="Calibri" w:hAnsi="Calibri"/>
          <w:b w:val="0"/>
          <w:bCs/>
          <w:sz w:val="24"/>
          <w:szCs w:val="24"/>
        </w:rPr>
        <w:t>；</w:t>
      </w:r>
      <w:bookmarkEnd w:id="240"/>
    </w:p>
    <w:p w14:paraId="3CA72492">
      <w:pPr>
        <w:pStyle w:val="69"/>
        <w:numPr>
          <w:ilvl w:val="1"/>
          <w:numId w:val="0"/>
        </w:numPr>
        <w:ind w:firstLine="480" w:firstLineChars="200"/>
        <w:rPr>
          <w:rStyle w:val="70"/>
          <w:rFonts w:ascii="Calibri" w:hAnsi="Calibri"/>
          <w:b w:val="0"/>
          <w:bCs/>
          <w:sz w:val="24"/>
          <w:szCs w:val="24"/>
        </w:rPr>
      </w:pPr>
      <w:bookmarkStart w:id="241" w:name="_Toc14494"/>
      <w:bookmarkStart w:id="242" w:name="_Toc20047"/>
      <w:bookmarkStart w:id="243" w:name="_Toc242533966"/>
      <w:r>
        <w:rPr>
          <w:rStyle w:val="70"/>
          <w:rFonts w:ascii="Calibri" w:hAnsi="Calibri"/>
          <w:b w:val="0"/>
          <w:bCs/>
          <w:sz w:val="24"/>
          <w:szCs w:val="24"/>
        </w:rPr>
        <w:t>2）投标人详细阅读招标文件的全部内容，不按招标文件的要求提供的投标文件和资料，可能导致投标被拒绝</w:t>
      </w:r>
      <w:bookmarkEnd w:id="241"/>
      <w:bookmarkEnd w:id="242"/>
      <w:r>
        <w:rPr>
          <w:rStyle w:val="70"/>
          <w:rFonts w:ascii="Calibri" w:hAnsi="Calibri"/>
          <w:b w:val="0"/>
          <w:bCs/>
          <w:sz w:val="24"/>
          <w:szCs w:val="24"/>
        </w:rPr>
        <w:t>。</w:t>
      </w:r>
      <w:bookmarkEnd w:id="243"/>
    </w:p>
    <w:p w14:paraId="779455BE">
      <w:pPr>
        <w:pStyle w:val="69"/>
        <w:keepNext w:val="0"/>
        <w:widowControl/>
        <w:numPr>
          <w:ilvl w:val="1"/>
          <w:numId w:val="0"/>
        </w:numPr>
        <w:ind w:firstLine="480" w:firstLineChars="200"/>
        <w:rPr>
          <w:rStyle w:val="70"/>
          <w:rFonts w:ascii="Calibri" w:hAnsi="Calibri"/>
          <w:b/>
          <w:sz w:val="24"/>
          <w:szCs w:val="24"/>
        </w:rPr>
      </w:pPr>
      <w:bookmarkStart w:id="244" w:name="_Toc533413548"/>
      <w:bookmarkStart w:id="245" w:name="_Toc95148179"/>
      <w:bookmarkStart w:id="246" w:name="_Toc534087348"/>
      <w:bookmarkStart w:id="247" w:name="_Toc4968"/>
      <w:bookmarkStart w:id="248" w:name="_Toc533998779"/>
      <w:bookmarkStart w:id="249" w:name="_Toc109031553"/>
      <w:bookmarkStart w:id="250" w:name="_Toc50742894"/>
      <w:bookmarkStart w:id="251" w:name="_Toc242533967"/>
      <w:bookmarkStart w:id="252" w:name="_Toc74143838"/>
      <w:bookmarkStart w:id="253" w:name="_Toc536867084"/>
      <w:bookmarkStart w:id="254" w:name="_Toc533413149"/>
      <w:bookmarkStart w:id="255" w:name="_Toc17537"/>
      <w:r>
        <w:rPr>
          <w:rStyle w:val="70"/>
          <w:rFonts w:hint="eastAsia" w:ascii="Calibri" w:hAnsi="Calibri"/>
          <w:b w:val="0"/>
          <w:sz w:val="24"/>
          <w:szCs w:val="24"/>
        </w:rPr>
        <w:t>5.4</w:t>
      </w:r>
      <w:r>
        <w:rPr>
          <w:rStyle w:val="70"/>
          <w:rFonts w:ascii="Calibri" w:hAnsi="Calibri"/>
          <w:b w:val="0"/>
          <w:sz w:val="24"/>
          <w:szCs w:val="24"/>
        </w:rPr>
        <w:t>招标文件的澄清</w:t>
      </w:r>
      <w:bookmarkEnd w:id="244"/>
      <w:bookmarkEnd w:id="245"/>
      <w:bookmarkEnd w:id="246"/>
      <w:bookmarkEnd w:id="247"/>
      <w:bookmarkEnd w:id="248"/>
      <w:bookmarkEnd w:id="249"/>
      <w:bookmarkEnd w:id="250"/>
      <w:bookmarkEnd w:id="251"/>
      <w:bookmarkEnd w:id="252"/>
      <w:bookmarkEnd w:id="253"/>
      <w:bookmarkEnd w:id="254"/>
      <w:bookmarkEnd w:id="255"/>
    </w:p>
    <w:p w14:paraId="59FEFDD9">
      <w:pPr>
        <w:pStyle w:val="69"/>
        <w:numPr>
          <w:ilvl w:val="1"/>
          <w:numId w:val="0"/>
        </w:numPr>
        <w:ind w:firstLine="480" w:firstLineChars="200"/>
        <w:rPr>
          <w:rStyle w:val="70"/>
          <w:rFonts w:ascii="Calibri" w:hAnsi="Calibri"/>
          <w:b w:val="0"/>
          <w:bCs/>
          <w:sz w:val="24"/>
          <w:szCs w:val="24"/>
        </w:rPr>
      </w:pPr>
      <w:bookmarkStart w:id="256" w:name="_Toc242533968"/>
      <w:bookmarkStart w:id="257" w:name="_Toc31439"/>
      <w:bookmarkStart w:id="258" w:name="_Toc20165"/>
      <w:r>
        <w:rPr>
          <w:rStyle w:val="70"/>
          <w:rFonts w:ascii="Calibri" w:hAnsi="Calibri"/>
          <w:b w:val="0"/>
          <w:bCs/>
          <w:sz w:val="24"/>
          <w:szCs w:val="24"/>
        </w:rPr>
        <w:t>投标人对招标文件如有疑点要求澄清，或认为有必要与招标人进行技术交流时，可用书面形式通知招标人，招标人将视情况以书面形式予以答复，并将答复内容包括原提出的问题（但不标明问题查询的来源），分发给所有取得同一招标文件的投标人。</w:t>
      </w:r>
      <w:bookmarkEnd w:id="256"/>
      <w:bookmarkEnd w:id="257"/>
      <w:bookmarkEnd w:id="258"/>
    </w:p>
    <w:p w14:paraId="7862DA59">
      <w:pPr>
        <w:pStyle w:val="69"/>
        <w:keepNext w:val="0"/>
        <w:widowControl/>
        <w:numPr>
          <w:ilvl w:val="1"/>
          <w:numId w:val="0"/>
        </w:numPr>
        <w:ind w:firstLine="480" w:firstLineChars="200"/>
        <w:rPr>
          <w:rStyle w:val="70"/>
          <w:rFonts w:ascii="Calibri" w:hAnsi="Calibri"/>
          <w:b/>
          <w:sz w:val="24"/>
          <w:szCs w:val="24"/>
        </w:rPr>
      </w:pPr>
      <w:bookmarkStart w:id="259" w:name="_Toc109031554"/>
      <w:bookmarkStart w:id="260" w:name="_Toc534087349"/>
      <w:bookmarkStart w:id="261" w:name="_Toc533413150"/>
      <w:bookmarkStart w:id="262" w:name="_Toc18095"/>
      <w:bookmarkStart w:id="263" w:name="_Toc533413549"/>
      <w:bookmarkStart w:id="264" w:name="_Toc12065"/>
      <w:bookmarkStart w:id="265" w:name="_Toc242533969"/>
      <w:bookmarkStart w:id="266" w:name="_Toc95148180"/>
      <w:bookmarkStart w:id="267" w:name="_Toc50742895"/>
      <w:bookmarkStart w:id="268" w:name="_Toc74143839"/>
      <w:bookmarkStart w:id="269" w:name="_Toc533998780"/>
      <w:bookmarkStart w:id="270" w:name="_Toc536867085"/>
      <w:r>
        <w:rPr>
          <w:rStyle w:val="70"/>
          <w:rFonts w:hint="eastAsia" w:ascii="Calibri" w:hAnsi="Calibri"/>
          <w:b w:val="0"/>
          <w:sz w:val="24"/>
          <w:szCs w:val="24"/>
        </w:rPr>
        <w:t>5.5</w:t>
      </w:r>
      <w:r>
        <w:rPr>
          <w:rStyle w:val="70"/>
          <w:rFonts w:ascii="Calibri" w:hAnsi="Calibri"/>
          <w:b w:val="0"/>
          <w:sz w:val="24"/>
          <w:szCs w:val="24"/>
        </w:rPr>
        <w:t>招标文件的修改</w:t>
      </w:r>
      <w:bookmarkEnd w:id="259"/>
      <w:bookmarkEnd w:id="260"/>
      <w:bookmarkEnd w:id="261"/>
      <w:bookmarkEnd w:id="262"/>
      <w:bookmarkEnd w:id="263"/>
      <w:bookmarkEnd w:id="264"/>
      <w:bookmarkEnd w:id="265"/>
      <w:bookmarkEnd w:id="266"/>
      <w:bookmarkEnd w:id="267"/>
      <w:bookmarkEnd w:id="268"/>
      <w:bookmarkEnd w:id="269"/>
      <w:bookmarkEnd w:id="270"/>
    </w:p>
    <w:p w14:paraId="67E1192E">
      <w:pPr>
        <w:pStyle w:val="69"/>
        <w:numPr>
          <w:ilvl w:val="1"/>
          <w:numId w:val="0"/>
        </w:numPr>
        <w:ind w:firstLine="480" w:firstLineChars="200"/>
        <w:rPr>
          <w:rStyle w:val="70"/>
          <w:rFonts w:ascii="Calibri" w:hAnsi="Calibri"/>
          <w:b w:val="0"/>
          <w:bCs/>
          <w:sz w:val="24"/>
          <w:szCs w:val="24"/>
        </w:rPr>
      </w:pPr>
      <w:bookmarkStart w:id="271" w:name="_Toc13765"/>
      <w:bookmarkStart w:id="272" w:name="_Toc10818"/>
      <w:bookmarkStart w:id="273" w:name="_Toc242533970"/>
      <w:r>
        <w:rPr>
          <w:rStyle w:val="70"/>
          <w:rFonts w:ascii="Calibri" w:hAnsi="Calibri"/>
          <w:b w:val="0"/>
          <w:bCs/>
          <w:sz w:val="24"/>
          <w:szCs w:val="24"/>
        </w:rPr>
        <w:t>1）在投标截止时间前，招标人无论出于自己的考虑，还是出于对投标人提问的澄清，均可对招标文件用补充文件的方式进行修改</w:t>
      </w:r>
      <w:bookmarkEnd w:id="271"/>
      <w:bookmarkEnd w:id="272"/>
      <w:r>
        <w:rPr>
          <w:rStyle w:val="70"/>
          <w:rFonts w:ascii="Calibri" w:hAnsi="Calibri"/>
          <w:b w:val="0"/>
          <w:bCs/>
          <w:sz w:val="24"/>
          <w:szCs w:val="24"/>
        </w:rPr>
        <w:t>；</w:t>
      </w:r>
      <w:bookmarkEnd w:id="273"/>
    </w:p>
    <w:p w14:paraId="450F140F">
      <w:pPr>
        <w:pStyle w:val="69"/>
        <w:numPr>
          <w:ilvl w:val="1"/>
          <w:numId w:val="0"/>
        </w:numPr>
        <w:ind w:firstLine="480" w:firstLineChars="200"/>
        <w:rPr>
          <w:rStyle w:val="70"/>
          <w:rFonts w:ascii="Calibri" w:hAnsi="Calibri"/>
          <w:b w:val="0"/>
          <w:bCs/>
          <w:sz w:val="24"/>
          <w:szCs w:val="24"/>
        </w:rPr>
      </w:pPr>
      <w:bookmarkStart w:id="274" w:name="_Toc420"/>
      <w:bookmarkStart w:id="275" w:name="_Toc31518"/>
      <w:bookmarkStart w:id="276" w:name="_Toc242533971"/>
      <w:r>
        <w:rPr>
          <w:rStyle w:val="70"/>
          <w:rFonts w:ascii="Calibri" w:hAnsi="Calibri"/>
          <w:b w:val="0"/>
          <w:bCs/>
          <w:sz w:val="24"/>
          <w:szCs w:val="24"/>
        </w:rPr>
        <w:t>2）对招标文件的修改，将以书面的形式通知已收到招标文件的每一投标人补充文件将作为招标文件的组成部分，对所有投标人有约束力</w:t>
      </w:r>
      <w:bookmarkEnd w:id="274"/>
      <w:bookmarkEnd w:id="275"/>
      <w:r>
        <w:rPr>
          <w:rStyle w:val="70"/>
          <w:rFonts w:ascii="Calibri" w:hAnsi="Calibri"/>
          <w:b w:val="0"/>
          <w:bCs/>
          <w:sz w:val="24"/>
          <w:szCs w:val="24"/>
        </w:rPr>
        <w:t>；</w:t>
      </w:r>
      <w:bookmarkEnd w:id="276"/>
    </w:p>
    <w:p w14:paraId="35A92DDD">
      <w:pPr>
        <w:pStyle w:val="69"/>
        <w:numPr>
          <w:ilvl w:val="1"/>
          <w:numId w:val="0"/>
        </w:numPr>
        <w:ind w:firstLine="480" w:firstLineChars="200"/>
        <w:rPr>
          <w:rStyle w:val="70"/>
          <w:rFonts w:ascii="Calibri" w:hAnsi="Calibri"/>
          <w:b w:val="0"/>
          <w:bCs/>
          <w:sz w:val="24"/>
          <w:szCs w:val="24"/>
        </w:rPr>
      </w:pPr>
      <w:bookmarkStart w:id="277" w:name="_Toc28152"/>
      <w:bookmarkStart w:id="278" w:name="_Toc242533972"/>
      <w:bookmarkStart w:id="279" w:name="_Toc11808"/>
      <w:r>
        <w:rPr>
          <w:rStyle w:val="70"/>
          <w:rFonts w:ascii="Calibri" w:hAnsi="Calibri"/>
          <w:b w:val="0"/>
          <w:bCs/>
          <w:sz w:val="24"/>
          <w:szCs w:val="24"/>
        </w:rPr>
        <w:t>3）为使投标人有足够的时间按招标文件的修改要求考虑修正投标文件，招标人可酌情推迟投标和开标日期，并将这些变更通知上述每一投标人。</w:t>
      </w:r>
      <w:bookmarkEnd w:id="277"/>
      <w:bookmarkEnd w:id="278"/>
      <w:bookmarkEnd w:id="279"/>
    </w:p>
    <w:p w14:paraId="2BC49BA8">
      <w:pPr>
        <w:pStyle w:val="57"/>
        <w:numPr>
          <w:ilvl w:val="0"/>
          <w:numId w:val="7"/>
        </w:numPr>
        <w:rPr>
          <w:rFonts w:ascii="黑体" w:hAnsi="黑体" w:eastAsia="黑体"/>
        </w:rPr>
      </w:pPr>
      <w:bookmarkStart w:id="280" w:name="_Toc109031555"/>
      <w:bookmarkStart w:id="281" w:name="_Toc8364"/>
      <w:bookmarkStart w:id="282" w:name="_Toc9712"/>
      <w:bookmarkStart w:id="283" w:name="_Toc74143840"/>
      <w:bookmarkStart w:id="284" w:name="_Toc95148181"/>
      <w:bookmarkStart w:id="285" w:name="_Toc242533973"/>
      <w:r>
        <w:rPr>
          <w:rFonts w:hint="eastAsia" w:ascii="黑体" w:hAnsi="黑体" w:eastAsia="黑体"/>
        </w:rPr>
        <w:t>投标文件的内容和要求</w:t>
      </w:r>
      <w:bookmarkEnd w:id="280"/>
      <w:bookmarkEnd w:id="281"/>
      <w:bookmarkEnd w:id="282"/>
      <w:bookmarkEnd w:id="283"/>
      <w:bookmarkEnd w:id="284"/>
      <w:bookmarkEnd w:id="285"/>
    </w:p>
    <w:p w14:paraId="78676A56">
      <w:pPr>
        <w:pStyle w:val="69"/>
        <w:keepNext w:val="0"/>
        <w:widowControl/>
        <w:numPr>
          <w:ilvl w:val="1"/>
          <w:numId w:val="0"/>
        </w:numPr>
        <w:ind w:firstLine="480" w:firstLineChars="200"/>
        <w:rPr>
          <w:rStyle w:val="70"/>
          <w:rFonts w:ascii="Calibri" w:hAnsi="Calibri"/>
          <w:b/>
          <w:sz w:val="24"/>
          <w:szCs w:val="24"/>
        </w:rPr>
      </w:pPr>
      <w:bookmarkStart w:id="286" w:name="_Toc74143841"/>
      <w:bookmarkStart w:id="287" w:name="_Toc242533974"/>
      <w:bookmarkStart w:id="288" w:name="_Toc18209"/>
      <w:bookmarkStart w:id="289" w:name="_Toc10999"/>
      <w:bookmarkStart w:id="290" w:name="_Toc95148182"/>
      <w:bookmarkStart w:id="291" w:name="_Toc109031556"/>
      <w:r>
        <w:rPr>
          <w:rStyle w:val="70"/>
          <w:rFonts w:hint="eastAsia" w:ascii="Calibri" w:hAnsi="Calibri"/>
          <w:b w:val="0"/>
          <w:sz w:val="24"/>
          <w:szCs w:val="24"/>
        </w:rPr>
        <w:t>6.1</w:t>
      </w:r>
      <w:r>
        <w:rPr>
          <w:rStyle w:val="70"/>
          <w:rFonts w:ascii="Calibri" w:hAnsi="Calibri"/>
          <w:b w:val="0"/>
          <w:sz w:val="24"/>
          <w:szCs w:val="24"/>
        </w:rPr>
        <w:t>投标文件计量单位</w:t>
      </w:r>
      <w:bookmarkEnd w:id="286"/>
      <w:bookmarkEnd w:id="287"/>
      <w:bookmarkEnd w:id="288"/>
      <w:bookmarkEnd w:id="289"/>
      <w:bookmarkEnd w:id="290"/>
      <w:bookmarkEnd w:id="291"/>
    </w:p>
    <w:p w14:paraId="6D93A108">
      <w:pPr>
        <w:pStyle w:val="58"/>
        <w:widowControl/>
        <w:ind w:firstLine="480"/>
      </w:pPr>
      <w:r>
        <w:rPr>
          <w:rFonts w:hint="eastAsia" w:cs="宋体"/>
        </w:rPr>
        <w:t>投标文件中所使用的计量单位，除招标文件中有特殊要求外，应采用国家法定计量单位。</w:t>
      </w:r>
    </w:p>
    <w:p w14:paraId="43F9CF80">
      <w:pPr>
        <w:pStyle w:val="69"/>
        <w:keepNext w:val="0"/>
        <w:widowControl/>
        <w:numPr>
          <w:ilvl w:val="1"/>
          <w:numId w:val="0"/>
        </w:numPr>
        <w:ind w:firstLine="480" w:firstLineChars="200"/>
        <w:rPr>
          <w:rStyle w:val="70"/>
          <w:rFonts w:ascii="Calibri" w:hAnsi="Calibri"/>
          <w:b/>
          <w:sz w:val="24"/>
          <w:szCs w:val="24"/>
        </w:rPr>
      </w:pPr>
      <w:bookmarkStart w:id="292" w:name="_Toc95148183"/>
      <w:bookmarkStart w:id="293" w:name="_Toc242533975"/>
      <w:bookmarkStart w:id="294" w:name="_Toc109031557"/>
      <w:bookmarkStart w:id="295" w:name="_Toc2144"/>
      <w:bookmarkStart w:id="296" w:name="_Toc6228"/>
      <w:bookmarkStart w:id="297" w:name="_Toc74143842"/>
      <w:r>
        <w:rPr>
          <w:rStyle w:val="70"/>
          <w:rFonts w:ascii="Calibri" w:hAnsi="Calibri"/>
          <w:b w:val="0"/>
          <w:sz w:val="24"/>
          <w:szCs w:val="24"/>
        </w:rPr>
        <w:t>6.2投标文件组成</w:t>
      </w:r>
      <w:bookmarkEnd w:id="292"/>
      <w:bookmarkEnd w:id="293"/>
      <w:bookmarkEnd w:id="294"/>
      <w:bookmarkEnd w:id="295"/>
      <w:bookmarkEnd w:id="296"/>
      <w:bookmarkEnd w:id="297"/>
    </w:p>
    <w:p w14:paraId="730DD76B">
      <w:pPr>
        <w:pStyle w:val="58"/>
        <w:widowControl/>
        <w:ind w:firstLine="480"/>
        <w:rPr>
          <w:rFonts w:cs="宋体"/>
        </w:rPr>
      </w:pPr>
      <w:r>
        <w:rPr>
          <w:rFonts w:hint="eastAsia" w:cs="宋体"/>
        </w:rPr>
        <w:t>投标文件由以下部分组成（请按照下述组织投标书各章节内容）：</w:t>
      </w:r>
    </w:p>
    <w:p w14:paraId="4FD04212">
      <w:pPr>
        <w:pStyle w:val="58"/>
        <w:widowControl/>
        <w:ind w:left="480" w:firstLine="0" w:firstLineChars="0"/>
        <w:rPr>
          <w:rFonts w:cs="宋体"/>
        </w:rPr>
      </w:pPr>
      <w:r>
        <w:rPr>
          <w:rFonts w:hint="eastAsia"/>
          <w:b/>
          <w:bCs/>
        </w:rPr>
        <w:t>6.2.1资质文件</w:t>
      </w:r>
      <w:r>
        <w:rPr>
          <w:rFonts w:hint="eastAsia"/>
        </w:rPr>
        <w:t>（独立封装在一个档案袋，一式两份）：</w:t>
      </w:r>
    </w:p>
    <w:p w14:paraId="0748BE97">
      <w:pPr>
        <w:pStyle w:val="58"/>
        <w:ind w:firstLine="480"/>
        <w:rPr>
          <w:rFonts w:cs="宋体"/>
        </w:rPr>
      </w:pPr>
      <w:r>
        <w:rPr>
          <w:rFonts w:hint="eastAsia" w:cs="宋体"/>
        </w:rPr>
        <w:t>1）营业执照副本复印件（需加盖公章）；</w:t>
      </w:r>
    </w:p>
    <w:p w14:paraId="5EB06C02">
      <w:pPr>
        <w:pStyle w:val="58"/>
        <w:ind w:firstLine="480"/>
        <w:rPr>
          <w:rFonts w:cs="宋体"/>
        </w:rPr>
      </w:pPr>
      <w:r>
        <w:rPr>
          <w:rFonts w:hint="eastAsia" w:cs="宋体"/>
        </w:rPr>
        <w:t>2）法定代表人授权委托书（见附件2），法定代表人参加投标的，提供法人身份证明文件即可；被授权人参加投标的，需提供法定代表人授权委托书（含法人身份证和被授权人身份证正反面复印件）；</w:t>
      </w:r>
    </w:p>
    <w:p w14:paraId="55A195F9">
      <w:pPr>
        <w:pStyle w:val="58"/>
        <w:widowControl/>
        <w:ind w:firstLine="480"/>
        <w:rPr>
          <w:rFonts w:cs="宋体"/>
        </w:rPr>
      </w:pPr>
      <w:r>
        <w:rPr>
          <w:rFonts w:hint="eastAsia" w:cs="宋体"/>
        </w:rPr>
        <w:t>3）近半年的完税证明，并附年度纳税信用评价信息（可从电子税务局查询截图，需加盖公章）；</w:t>
      </w:r>
    </w:p>
    <w:p w14:paraId="58D516D4">
      <w:pPr>
        <w:pStyle w:val="58"/>
        <w:widowControl/>
        <w:numPr>
          <w:ilvl w:val="0"/>
          <w:numId w:val="9"/>
        </w:numPr>
        <w:ind w:firstLine="480"/>
        <w:rPr>
          <w:rFonts w:cs="宋体"/>
        </w:rPr>
      </w:pPr>
      <w:r>
        <w:rPr>
          <w:rFonts w:hint="eastAsia" w:cs="宋体"/>
        </w:rPr>
        <w:t>近三年经第三方机构审计的财务报表（报告页、资产负债表、损益表、现金流量表）复印件（需加盖公章）；</w:t>
      </w:r>
    </w:p>
    <w:p w14:paraId="60F1265B">
      <w:pPr>
        <w:pStyle w:val="58"/>
        <w:widowControl/>
        <w:numPr>
          <w:ilvl w:val="0"/>
          <w:numId w:val="9"/>
        </w:numPr>
        <w:ind w:firstLine="480"/>
        <w:rPr>
          <w:rFonts w:cs="宋体"/>
        </w:rPr>
      </w:pPr>
      <w:r>
        <w:rPr>
          <w:rFonts w:hint="eastAsia" w:ascii="宋体" w:hAnsi="宋体" w:cs="宋体"/>
        </w:rPr>
        <w:t>在“国家企业信用信息公示系统”或“信用中国”等信息平台中，无行政处罚及失信记录等信息截图（加盖公章）；</w:t>
      </w:r>
    </w:p>
    <w:p w14:paraId="57F07BC4">
      <w:pPr>
        <w:pStyle w:val="58"/>
        <w:widowControl/>
        <w:numPr>
          <w:ilvl w:val="0"/>
          <w:numId w:val="9"/>
        </w:numPr>
        <w:ind w:firstLine="480"/>
        <w:rPr>
          <w:rFonts w:cs="宋体"/>
        </w:rPr>
      </w:pPr>
      <w:r>
        <w:rPr>
          <w:rFonts w:hint="eastAsia" w:cs="宋体"/>
        </w:rPr>
        <w:t>成功案例。列举与此次招标项目类似的成功案例，包括项目实施时间、单位、应用范围、投标人参与的核心成员等；</w:t>
      </w:r>
    </w:p>
    <w:p w14:paraId="161434DA">
      <w:pPr>
        <w:pStyle w:val="58"/>
        <w:widowControl/>
        <w:numPr>
          <w:ilvl w:val="0"/>
          <w:numId w:val="9"/>
        </w:numPr>
        <w:ind w:firstLine="480"/>
        <w:rPr>
          <w:rFonts w:cs="宋体"/>
        </w:rPr>
      </w:pPr>
      <w:r>
        <w:rPr>
          <w:rFonts w:hint="eastAsia" w:cs="宋体"/>
        </w:rPr>
        <w:t>投标保证金交纳电子回单。</w:t>
      </w:r>
    </w:p>
    <w:p w14:paraId="0673D209">
      <w:pPr>
        <w:pStyle w:val="58"/>
        <w:widowControl/>
        <w:ind w:firstLine="482"/>
      </w:pPr>
      <w:r>
        <w:rPr>
          <w:b/>
          <w:bCs/>
        </w:rPr>
        <w:t>6.2.2技术标</w:t>
      </w:r>
      <w:r>
        <w:rPr>
          <w:rFonts w:hint="eastAsia"/>
        </w:rPr>
        <w:t>（独立封装在一个档案袋，一式四份，其中正本一份，副本三份，并附存有电子版投标文件的</w:t>
      </w:r>
      <w:r>
        <w:t>U</w:t>
      </w:r>
      <w:r>
        <w:rPr>
          <w:rFonts w:hint="eastAsia"/>
        </w:rPr>
        <w:t>盘，电子版要求详见后面投标文件格式，此U盘和技术标封装在一起，注意和讲标文件U盘做好区分，讲标U盘独立封装，现场讲标时开启使用）：</w:t>
      </w:r>
    </w:p>
    <w:p w14:paraId="7D196AF2">
      <w:pPr>
        <w:pStyle w:val="58"/>
        <w:ind w:firstLine="480"/>
        <w:rPr>
          <w:rFonts w:cs="宋体"/>
        </w:rPr>
      </w:pPr>
      <w:r>
        <w:rPr>
          <w:rFonts w:hint="eastAsia" w:cs="宋体"/>
        </w:rPr>
        <w:t>1）项目实施方案（见附件7）。针对招标文件项目技术要求，提出相应的解决方案；</w:t>
      </w:r>
    </w:p>
    <w:p w14:paraId="262928C9">
      <w:pPr>
        <w:pStyle w:val="58"/>
        <w:ind w:firstLine="480"/>
        <w:rPr>
          <w:rFonts w:cs="宋体"/>
        </w:rPr>
      </w:pPr>
      <w:r>
        <w:rPr>
          <w:rFonts w:hint="eastAsia" w:cs="宋体"/>
        </w:rPr>
        <w:t xml:space="preserve">2）关于汽车金融公司、财务公司、银行、租赁公司等财务报表及内部控制审计项目相关案例，包括项目实施时间、单位、项目范围等； </w:t>
      </w:r>
    </w:p>
    <w:p w14:paraId="04194154">
      <w:pPr>
        <w:pStyle w:val="58"/>
        <w:ind w:firstLine="480"/>
        <w:rPr>
          <w:rFonts w:cs="宋体"/>
        </w:rPr>
      </w:pPr>
      <w:r>
        <w:rPr>
          <w:rFonts w:hint="eastAsia" w:cs="宋体"/>
        </w:rPr>
        <w:t>3）技术规格、参数偏离表（见附件6）；</w:t>
      </w:r>
    </w:p>
    <w:p w14:paraId="407F89CB">
      <w:pPr>
        <w:pStyle w:val="58"/>
        <w:ind w:firstLine="480"/>
        <w:rPr>
          <w:rFonts w:cs="宋体"/>
        </w:rPr>
      </w:pPr>
      <w:r>
        <w:rPr>
          <w:rFonts w:hint="eastAsia" w:cs="宋体"/>
        </w:rPr>
        <w:t>4）投标报名表（见附件8）；</w:t>
      </w:r>
    </w:p>
    <w:p w14:paraId="5F090456">
      <w:pPr>
        <w:pStyle w:val="58"/>
        <w:ind w:firstLine="480"/>
        <w:rPr>
          <w:rFonts w:cs="宋体"/>
        </w:rPr>
      </w:pPr>
      <w:r>
        <w:rPr>
          <w:rFonts w:hint="eastAsia" w:cs="宋体"/>
        </w:rPr>
        <w:t>5）出具提供服务的《承诺函》（对服务内容、服务质量等内容进行承诺）；</w:t>
      </w:r>
    </w:p>
    <w:p w14:paraId="7BF5C344">
      <w:pPr>
        <w:pStyle w:val="58"/>
        <w:ind w:firstLine="480"/>
        <w:rPr>
          <w:rFonts w:cs="宋体"/>
        </w:rPr>
      </w:pPr>
      <w:r>
        <w:rPr>
          <w:rFonts w:hint="eastAsia" w:cs="宋体"/>
        </w:rPr>
        <w:t>6）投标人自行编写的技术文件；</w:t>
      </w:r>
    </w:p>
    <w:p w14:paraId="3F7007E2">
      <w:pPr>
        <w:pStyle w:val="58"/>
        <w:ind w:firstLine="480"/>
        <w:rPr>
          <w:rFonts w:cs="宋体"/>
        </w:rPr>
      </w:pPr>
      <w:r>
        <w:rPr>
          <w:rFonts w:hint="eastAsia" w:cs="宋体"/>
        </w:rPr>
        <w:t>7）投标人认为需要提供的其他说明和资料</w:t>
      </w:r>
      <w:r>
        <w:rPr>
          <w:rFonts w:hint="eastAsia" w:ascii="宋体" w:hAnsi="宋体" w:cs="宋体"/>
          <w:color w:val="000000"/>
          <w:szCs w:val="21"/>
        </w:rPr>
        <w:t>。</w:t>
      </w:r>
    </w:p>
    <w:p w14:paraId="4B66585A">
      <w:pPr>
        <w:pStyle w:val="59"/>
        <w:widowControl/>
        <w:numPr>
          <w:ilvl w:val="0"/>
          <w:numId w:val="0"/>
        </w:numPr>
        <w:tabs>
          <w:tab w:val="left" w:pos="0"/>
          <w:tab w:val="left" w:pos="420"/>
        </w:tabs>
        <w:adjustRightInd w:val="0"/>
        <w:snapToGrid w:val="0"/>
        <w:spacing w:line="300" w:lineRule="auto"/>
        <w:ind w:firstLine="482" w:firstLineChars="200"/>
        <w:rPr>
          <w:rFonts w:cs="宋体"/>
          <w:b/>
          <w:bCs/>
          <w:color w:val="FF0000"/>
        </w:rPr>
      </w:pPr>
      <w:r>
        <w:rPr>
          <w:rFonts w:hint="eastAsia" w:cs="宋体"/>
          <w:b/>
          <w:bCs/>
          <w:color w:val="FF0000"/>
        </w:rPr>
        <w:t>特别注意：技术标资料中一定不要包含报价内容。</w:t>
      </w:r>
    </w:p>
    <w:p w14:paraId="727B30E6">
      <w:pPr>
        <w:pStyle w:val="58"/>
        <w:widowControl/>
        <w:ind w:firstLine="482"/>
      </w:pPr>
      <w:r>
        <w:rPr>
          <w:rFonts w:hint="eastAsia"/>
          <w:b/>
          <w:bCs/>
        </w:rPr>
        <w:t>6.2.3</w:t>
      </w:r>
      <w:r>
        <w:rPr>
          <w:b/>
          <w:bCs/>
        </w:rPr>
        <w:t>商务标</w:t>
      </w:r>
      <w:r>
        <w:rPr>
          <w:rFonts w:hint="eastAsia"/>
        </w:rPr>
        <w:t>（独立封装在一个档案袋，一式四份，其中正本一份，副本三份）：</w:t>
      </w:r>
    </w:p>
    <w:p w14:paraId="2CBCB64C">
      <w:pPr>
        <w:pStyle w:val="58"/>
        <w:ind w:firstLine="480"/>
        <w:rPr>
          <w:rFonts w:cs="宋体"/>
        </w:rPr>
      </w:pPr>
      <w:r>
        <w:rPr>
          <w:rFonts w:hint="eastAsia" w:cs="宋体"/>
        </w:rPr>
        <w:t>1）投标函（见附件1）；</w:t>
      </w:r>
    </w:p>
    <w:p w14:paraId="0284ED9E">
      <w:pPr>
        <w:pStyle w:val="58"/>
        <w:ind w:firstLine="480"/>
        <w:rPr>
          <w:rFonts w:cs="宋体"/>
        </w:rPr>
      </w:pPr>
      <w:r>
        <w:rPr>
          <w:rFonts w:hint="eastAsia" w:cs="宋体"/>
        </w:rPr>
        <w:t>2）开标一览表（见附件4）；</w:t>
      </w:r>
    </w:p>
    <w:p w14:paraId="2E552F8D">
      <w:pPr>
        <w:pStyle w:val="58"/>
        <w:ind w:firstLine="480"/>
        <w:rPr>
          <w:rFonts w:cs="宋体"/>
        </w:rPr>
      </w:pPr>
      <w:r>
        <w:rPr>
          <w:rFonts w:hint="eastAsia" w:cs="宋体"/>
        </w:rPr>
        <w:t>3）开标一览表中所有报价均采用人民币报价，其金额应包括：财务报表及内部控制审计服务费、税费等一切费用，备注列明分项价格；</w:t>
      </w:r>
    </w:p>
    <w:p w14:paraId="7414E969">
      <w:pPr>
        <w:pStyle w:val="58"/>
        <w:ind w:firstLine="480"/>
        <w:rPr>
          <w:rFonts w:cs="宋体"/>
        </w:rPr>
      </w:pPr>
      <w:r>
        <w:rPr>
          <w:rFonts w:hint="eastAsia" w:cs="宋体"/>
        </w:rPr>
        <w:t>4）商务条款偏离表（见附件5）；</w:t>
      </w:r>
    </w:p>
    <w:p w14:paraId="48158A79">
      <w:pPr>
        <w:pStyle w:val="58"/>
        <w:ind w:firstLine="480"/>
        <w:rPr>
          <w:rFonts w:cs="宋体"/>
        </w:rPr>
      </w:pPr>
      <w:r>
        <w:rPr>
          <w:rFonts w:hint="eastAsia" w:cs="宋体"/>
        </w:rPr>
        <w:t>5）服务承诺及优惠条件；</w:t>
      </w:r>
    </w:p>
    <w:p w14:paraId="426F45E6">
      <w:pPr>
        <w:pStyle w:val="58"/>
        <w:ind w:firstLine="480"/>
        <w:rPr>
          <w:rFonts w:cs="宋体"/>
        </w:rPr>
      </w:pPr>
      <w:r>
        <w:rPr>
          <w:rFonts w:hint="eastAsia" w:cs="宋体"/>
        </w:rPr>
        <w:t>6）其他需要说明的事项。</w:t>
      </w:r>
    </w:p>
    <w:p w14:paraId="5E3E4D70">
      <w:pPr>
        <w:pStyle w:val="69"/>
        <w:numPr>
          <w:ilvl w:val="255"/>
          <w:numId w:val="0"/>
        </w:numPr>
        <w:ind w:left="440"/>
        <w:rPr>
          <w:bCs/>
          <w:sz w:val="24"/>
          <w:szCs w:val="22"/>
        </w:rPr>
      </w:pPr>
      <w:bookmarkStart w:id="298" w:name="_Toc4403"/>
      <w:bookmarkStart w:id="299" w:name="_Toc95148185"/>
      <w:bookmarkStart w:id="300" w:name="_Toc109031558"/>
      <w:bookmarkStart w:id="301" w:name="_Toc74143844"/>
      <w:bookmarkStart w:id="302" w:name="_Toc23072"/>
      <w:bookmarkStart w:id="303" w:name="_Toc242533976"/>
      <w:r>
        <w:rPr>
          <w:bCs/>
          <w:sz w:val="24"/>
          <w:szCs w:val="22"/>
        </w:rPr>
        <w:t>6.2.4投标文件格式</w:t>
      </w:r>
      <w:bookmarkEnd w:id="298"/>
      <w:bookmarkEnd w:id="299"/>
      <w:bookmarkEnd w:id="300"/>
      <w:bookmarkEnd w:id="301"/>
      <w:bookmarkEnd w:id="302"/>
      <w:bookmarkEnd w:id="303"/>
    </w:p>
    <w:p w14:paraId="71C30DFE">
      <w:pPr>
        <w:pStyle w:val="58"/>
        <w:ind w:firstLine="480"/>
        <w:rPr>
          <w:rFonts w:cs="宋体"/>
        </w:rPr>
      </w:pPr>
      <w:r>
        <w:rPr>
          <w:rFonts w:hint="eastAsia" w:cs="宋体"/>
        </w:rPr>
        <w:t>1）投标文件语言应采用中文；</w:t>
      </w:r>
    </w:p>
    <w:p w14:paraId="4C8F134F">
      <w:pPr>
        <w:pStyle w:val="58"/>
        <w:ind w:firstLine="480"/>
        <w:rPr>
          <w:rFonts w:cs="宋体"/>
        </w:rPr>
      </w:pPr>
      <w:r>
        <w:rPr>
          <w:rFonts w:hint="eastAsia" w:cs="宋体"/>
        </w:rPr>
        <w:t>2）投标文件字体书写必须工整清楚，易于辨认，文义明白准确。投标文件不得涂改和增删。如因字迹潦草或表达不清所引起的后果由投标人负责；</w:t>
      </w:r>
    </w:p>
    <w:p w14:paraId="3438C252">
      <w:pPr>
        <w:pStyle w:val="58"/>
        <w:ind w:firstLine="480"/>
        <w:rPr>
          <w:rFonts w:cs="宋体"/>
        </w:rPr>
      </w:pPr>
      <w:r>
        <w:rPr>
          <w:rFonts w:hint="eastAsia" w:cs="宋体"/>
        </w:rPr>
        <w:t>3）投标文件必须用不褪色的墨水填写或打印；</w:t>
      </w:r>
    </w:p>
    <w:p w14:paraId="0CE84DED">
      <w:pPr>
        <w:pStyle w:val="58"/>
        <w:ind w:firstLine="480"/>
        <w:rPr>
          <w:rFonts w:cs="宋体"/>
        </w:rPr>
      </w:pPr>
      <w:r>
        <w:rPr>
          <w:rFonts w:hint="eastAsia" w:cs="宋体"/>
        </w:rPr>
        <w:t>4）投标文件必须由法人代表或授权代表签署，投标人应填写全称，并加盖公章（含骑缝章）；</w:t>
      </w:r>
    </w:p>
    <w:p w14:paraId="7E98D509">
      <w:pPr>
        <w:pStyle w:val="58"/>
        <w:ind w:firstLine="482"/>
        <w:rPr>
          <w:rFonts w:cs="宋体"/>
          <w:b/>
          <w:bCs/>
        </w:rPr>
      </w:pPr>
      <w:r>
        <w:rPr>
          <w:rFonts w:hint="eastAsia" w:cs="宋体"/>
          <w:b/>
          <w:bCs/>
        </w:rPr>
        <w:t>不按上述规定编写的投标文件将视为主动放弃，不予评标。</w:t>
      </w:r>
    </w:p>
    <w:p w14:paraId="2897E743">
      <w:pPr>
        <w:pStyle w:val="69"/>
        <w:numPr>
          <w:ilvl w:val="255"/>
          <w:numId w:val="0"/>
        </w:numPr>
        <w:ind w:left="440"/>
        <w:rPr>
          <w:bCs/>
          <w:sz w:val="24"/>
          <w:szCs w:val="22"/>
        </w:rPr>
      </w:pPr>
      <w:bookmarkStart w:id="304" w:name="_Toc234922354"/>
      <w:bookmarkStart w:id="305" w:name="_Toc29346"/>
      <w:bookmarkStart w:id="306" w:name="_Toc109031559"/>
      <w:bookmarkStart w:id="307" w:name="_Toc264881859"/>
      <w:bookmarkStart w:id="308" w:name="_Toc95148186"/>
      <w:bookmarkStart w:id="309" w:name="_Toc242533977"/>
      <w:bookmarkStart w:id="310" w:name="_Toc9620"/>
      <w:bookmarkStart w:id="311" w:name="_Toc265850579"/>
      <w:bookmarkStart w:id="312" w:name="_Toc74143845"/>
      <w:r>
        <w:rPr>
          <w:rFonts w:hint="eastAsia"/>
          <w:bCs/>
          <w:sz w:val="24"/>
          <w:szCs w:val="22"/>
        </w:rPr>
        <w:t>6.2.5</w:t>
      </w:r>
      <w:r>
        <w:rPr>
          <w:bCs/>
          <w:sz w:val="24"/>
          <w:szCs w:val="22"/>
        </w:rPr>
        <w:t>投标文件的装袋、密封和递交</w:t>
      </w:r>
      <w:bookmarkEnd w:id="304"/>
      <w:bookmarkEnd w:id="305"/>
      <w:bookmarkEnd w:id="306"/>
      <w:bookmarkEnd w:id="307"/>
      <w:bookmarkEnd w:id="308"/>
      <w:bookmarkEnd w:id="309"/>
      <w:bookmarkEnd w:id="310"/>
      <w:bookmarkEnd w:id="311"/>
      <w:bookmarkEnd w:id="312"/>
    </w:p>
    <w:p w14:paraId="713C6E6D">
      <w:pPr>
        <w:pStyle w:val="58"/>
        <w:ind w:firstLine="480"/>
        <w:rPr>
          <w:rFonts w:cs="宋体"/>
        </w:rPr>
      </w:pPr>
      <w:r>
        <w:rPr>
          <w:rFonts w:hint="eastAsia" w:cs="宋体"/>
        </w:rPr>
        <w:t>1）投标文件在封页正面右上角标明“正本”“副本”字样，保证正本与副本的内容一致。如果正本与副本内容不一致以正本为准。提交电子版标书一份；</w:t>
      </w:r>
    </w:p>
    <w:p w14:paraId="13CD7349">
      <w:pPr>
        <w:pStyle w:val="58"/>
        <w:ind w:firstLine="480"/>
        <w:rPr>
          <w:rFonts w:cs="宋体"/>
        </w:rPr>
      </w:pPr>
      <w:r>
        <w:rPr>
          <w:rFonts w:hint="eastAsia" w:cs="宋体"/>
        </w:rPr>
        <w:t>2）正面封皮应标明投标人单位名称、地址，并在单位名称处加盖公章；</w:t>
      </w:r>
    </w:p>
    <w:p w14:paraId="487933C6">
      <w:pPr>
        <w:pStyle w:val="58"/>
        <w:ind w:firstLine="480"/>
        <w:rPr>
          <w:rFonts w:cs="宋体"/>
        </w:rPr>
      </w:pPr>
      <w:r>
        <w:rPr>
          <w:rFonts w:hint="eastAsia" w:cs="宋体"/>
        </w:rPr>
        <w:t>3）投标书正本内封和投标书副本内封封口处应有投标全权代表的签字或投标单位公章，并注明“开标时启封”字样；</w:t>
      </w:r>
    </w:p>
    <w:p w14:paraId="68DE037C">
      <w:pPr>
        <w:pStyle w:val="58"/>
        <w:ind w:firstLine="480"/>
        <w:rPr>
          <w:rFonts w:cs="宋体"/>
        </w:rPr>
      </w:pPr>
      <w:r>
        <w:rPr>
          <w:rFonts w:hint="eastAsia" w:cs="宋体"/>
        </w:rPr>
        <w:t>4）开标一览表内封封口处应加盖投标单位公章；</w:t>
      </w:r>
    </w:p>
    <w:p w14:paraId="10BD9F59">
      <w:pPr>
        <w:pStyle w:val="58"/>
        <w:ind w:firstLine="480"/>
        <w:rPr>
          <w:rFonts w:cs="宋体"/>
        </w:rPr>
      </w:pPr>
      <w:r>
        <w:rPr>
          <w:rFonts w:hint="eastAsia" w:cs="宋体"/>
        </w:rPr>
        <w:t>5）投标文件由投标人在开标日自行带到开标现场，在开标时当场交予招标负责人。</w:t>
      </w:r>
    </w:p>
    <w:p w14:paraId="18D458C8">
      <w:pPr>
        <w:pStyle w:val="69"/>
        <w:numPr>
          <w:ilvl w:val="255"/>
          <w:numId w:val="0"/>
        </w:numPr>
        <w:ind w:left="440"/>
        <w:rPr>
          <w:bCs/>
          <w:sz w:val="24"/>
          <w:szCs w:val="22"/>
        </w:rPr>
      </w:pPr>
      <w:bookmarkStart w:id="313" w:name="_Toc15157"/>
      <w:bookmarkStart w:id="314" w:name="_Toc74143846"/>
      <w:bookmarkStart w:id="315" w:name="_Toc109031560"/>
      <w:bookmarkStart w:id="316" w:name="_Toc95148187"/>
      <w:bookmarkStart w:id="317" w:name="_Toc32099"/>
      <w:bookmarkStart w:id="318" w:name="_Toc242533978"/>
      <w:r>
        <w:rPr>
          <w:rFonts w:hint="eastAsia"/>
          <w:bCs/>
          <w:sz w:val="24"/>
          <w:szCs w:val="22"/>
        </w:rPr>
        <w:t>6.2.6投标文件的澄清</w:t>
      </w:r>
      <w:bookmarkEnd w:id="313"/>
      <w:bookmarkEnd w:id="314"/>
      <w:bookmarkEnd w:id="315"/>
      <w:bookmarkEnd w:id="316"/>
      <w:bookmarkEnd w:id="317"/>
      <w:bookmarkEnd w:id="318"/>
    </w:p>
    <w:p w14:paraId="7A6BFFC6">
      <w:pPr>
        <w:pStyle w:val="58"/>
        <w:ind w:firstLine="480"/>
        <w:rPr>
          <w:rFonts w:cs="宋体"/>
        </w:rPr>
      </w:pPr>
      <w:r>
        <w:rPr>
          <w:rFonts w:hint="eastAsia" w:cs="宋体"/>
        </w:rPr>
        <w:t>1）为有助于投标文件进行审查、综合评定，招标人有权向投标人提出疑问，请其澄清投标内容；</w:t>
      </w:r>
    </w:p>
    <w:p w14:paraId="15F34ACC">
      <w:pPr>
        <w:pStyle w:val="58"/>
        <w:ind w:firstLine="480"/>
        <w:rPr>
          <w:rFonts w:cs="宋体"/>
        </w:rPr>
      </w:pPr>
      <w:r>
        <w:rPr>
          <w:rFonts w:hint="eastAsia" w:cs="宋体"/>
        </w:rPr>
        <w:t>2）重要的澄清答复应是书面的，并作为投标文件的一部分，但不得对投标内容作实质性修改。</w:t>
      </w:r>
    </w:p>
    <w:p w14:paraId="761D30DA">
      <w:pPr>
        <w:pStyle w:val="69"/>
        <w:numPr>
          <w:ilvl w:val="255"/>
          <w:numId w:val="0"/>
        </w:numPr>
        <w:ind w:left="440"/>
        <w:rPr>
          <w:bCs/>
          <w:sz w:val="24"/>
          <w:szCs w:val="22"/>
        </w:rPr>
      </w:pPr>
      <w:bookmarkStart w:id="319" w:name="_Toc17239"/>
      <w:bookmarkStart w:id="320" w:name="_Toc22116"/>
      <w:bookmarkStart w:id="321" w:name="_Toc74143847"/>
      <w:bookmarkStart w:id="322" w:name="_Toc109031561"/>
      <w:bookmarkStart w:id="323" w:name="_Toc95148188"/>
      <w:bookmarkStart w:id="324" w:name="_Toc242533979"/>
      <w:r>
        <w:rPr>
          <w:rFonts w:hint="eastAsia"/>
          <w:bCs/>
          <w:sz w:val="24"/>
          <w:szCs w:val="22"/>
        </w:rPr>
        <w:t>6.2.7开标</w:t>
      </w:r>
      <w:bookmarkEnd w:id="319"/>
      <w:bookmarkEnd w:id="320"/>
      <w:bookmarkEnd w:id="321"/>
      <w:bookmarkEnd w:id="322"/>
      <w:bookmarkEnd w:id="323"/>
      <w:bookmarkEnd w:id="324"/>
    </w:p>
    <w:p w14:paraId="21C41B18">
      <w:pPr>
        <w:pStyle w:val="58"/>
        <w:ind w:firstLine="480"/>
        <w:rPr>
          <w:rFonts w:cs="宋体"/>
        </w:rPr>
      </w:pPr>
      <w:r>
        <w:rPr>
          <w:rFonts w:hint="eastAsia" w:cs="宋体"/>
        </w:rPr>
        <w:t>1）招标人按招标文件规定的时间、地点主持公开开标。开标仪式由招标人主持；</w:t>
      </w:r>
    </w:p>
    <w:p w14:paraId="180F8402">
      <w:pPr>
        <w:pStyle w:val="58"/>
        <w:ind w:firstLine="480"/>
        <w:rPr>
          <w:rFonts w:cs="宋体"/>
        </w:rPr>
      </w:pPr>
      <w:r>
        <w:rPr>
          <w:rFonts w:hint="eastAsia" w:cs="宋体"/>
        </w:rPr>
        <w:t>2）投标人派代表参加开标仪式。若需讲标，则由投标人指定的讲标人负责讲标；</w:t>
      </w:r>
    </w:p>
    <w:p w14:paraId="5B0A390E">
      <w:pPr>
        <w:pStyle w:val="58"/>
        <w:ind w:firstLine="480"/>
        <w:rPr>
          <w:rFonts w:cs="宋体"/>
        </w:rPr>
      </w:pPr>
      <w:r>
        <w:rPr>
          <w:rFonts w:hint="eastAsia" w:cs="宋体"/>
        </w:rPr>
        <w:t>3）开标时查验投标文件密封情况，确认无误后拆封唱标；</w:t>
      </w:r>
    </w:p>
    <w:p w14:paraId="3E690073">
      <w:pPr>
        <w:pStyle w:val="58"/>
        <w:ind w:firstLine="480"/>
        <w:rPr>
          <w:rFonts w:cs="宋体"/>
        </w:rPr>
      </w:pPr>
      <w:r>
        <w:rPr>
          <w:rFonts w:hint="eastAsia" w:cs="宋体"/>
        </w:rPr>
        <w:t>4）招标人在开标仪式上，将公布投标人的名称、投标产品或服务、投标项目、投标价格及其投标的修改、投标的撤回及其有关声明等，招标人将做唱标记录。</w:t>
      </w:r>
    </w:p>
    <w:p w14:paraId="256D6F38">
      <w:pPr>
        <w:pStyle w:val="59"/>
        <w:widowControl/>
        <w:numPr>
          <w:ilvl w:val="0"/>
          <w:numId w:val="0"/>
        </w:numPr>
        <w:rPr>
          <w:rFonts w:cs="宋体"/>
        </w:rPr>
      </w:pPr>
    </w:p>
    <w:p w14:paraId="77940BA8">
      <w:pPr>
        <w:pStyle w:val="59"/>
        <w:widowControl/>
        <w:numPr>
          <w:ilvl w:val="0"/>
          <w:numId w:val="0"/>
        </w:numPr>
        <w:rPr>
          <w:rFonts w:cs="宋体"/>
        </w:rPr>
      </w:pPr>
    </w:p>
    <w:p w14:paraId="63E268FF">
      <w:pPr>
        <w:pStyle w:val="59"/>
        <w:widowControl/>
        <w:numPr>
          <w:ilvl w:val="0"/>
          <w:numId w:val="0"/>
        </w:numPr>
        <w:rPr>
          <w:rFonts w:cs="宋体"/>
        </w:rPr>
      </w:pPr>
    </w:p>
    <w:p w14:paraId="657D4625">
      <w:pPr>
        <w:pStyle w:val="59"/>
        <w:widowControl/>
        <w:numPr>
          <w:ilvl w:val="0"/>
          <w:numId w:val="0"/>
        </w:numPr>
        <w:rPr>
          <w:rFonts w:cs="宋体"/>
        </w:rPr>
      </w:pPr>
    </w:p>
    <w:p w14:paraId="3F303C24">
      <w:pPr>
        <w:pStyle w:val="59"/>
        <w:widowControl/>
        <w:numPr>
          <w:ilvl w:val="0"/>
          <w:numId w:val="0"/>
        </w:numPr>
        <w:rPr>
          <w:rFonts w:cs="宋体"/>
        </w:rPr>
      </w:pPr>
    </w:p>
    <w:p w14:paraId="1AE7D44D">
      <w:pPr>
        <w:pStyle w:val="59"/>
        <w:widowControl/>
        <w:numPr>
          <w:ilvl w:val="0"/>
          <w:numId w:val="0"/>
        </w:numPr>
        <w:rPr>
          <w:rFonts w:cs="宋体"/>
        </w:rPr>
      </w:pPr>
    </w:p>
    <w:p w14:paraId="0A731B3E">
      <w:pPr>
        <w:pStyle w:val="57"/>
        <w:numPr>
          <w:ilvl w:val="0"/>
          <w:numId w:val="7"/>
        </w:numPr>
        <w:rPr>
          <w:rFonts w:ascii="黑体" w:hAnsi="黑体" w:eastAsia="黑体"/>
        </w:rPr>
      </w:pPr>
      <w:bookmarkStart w:id="325" w:name="_Toc109031562"/>
      <w:bookmarkStart w:id="326" w:name="_Toc242533980"/>
      <w:bookmarkStart w:id="327" w:name="_Toc3142"/>
      <w:bookmarkStart w:id="328" w:name="_Toc74143848"/>
      <w:bookmarkStart w:id="329" w:name="_Toc95148189"/>
      <w:bookmarkStart w:id="330" w:name="_Toc21260"/>
      <w:bookmarkStart w:id="331" w:name="_Toc290401052"/>
      <w:bookmarkStart w:id="332" w:name="_Toc533251933"/>
      <w:r>
        <w:rPr>
          <w:rFonts w:hint="eastAsia" w:ascii="黑体" w:hAnsi="黑体" w:eastAsia="黑体"/>
        </w:rPr>
        <w:t>讲标及评标</w:t>
      </w:r>
      <w:bookmarkEnd w:id="325"/>
      <w:bookmarkEnd w:id="326"/>
      <w:bookmarkEnd w:id="327"/>
      <w:bookmarkEnd w:id="328"/>
      <w:bookmarkEnd w:id="329"/>
      <w:bookmarkEnd w:id="330"/>
    </w:p>
    <w:p w14:paraId="1573E833">
      <w:pPr>
        <w:tabs>
          <w:tab w:val="left" w:pos="0"/>
        </w:tabs>
        <w:spacing w:line="360" w:lineRule="auto"/>
        <w:ind w:firstLine="480" w:firstLineChars="200"/>
        <w:rPr>
          <w:rFonts w:ascii="宋体" w:hAnsi="宋体" w:cs="宋体"/>
          <w:kern w:val="0"/>
          <w:sz w:val="24"/>
        </w:rPr>
      </w:pPr>
      <w:r>
        <w:rPr>
          <w:rFonts w:hint="eastAsia" w:ascii="宋体" w:hAnsi="宋体" w:cs="宋体"/>
          <w:kern w:val="0"/>
          <w:sz w:val="24"/>
        </w:rPr>
        <w:t>为保证项目顺利实施，由招标人组织、按国家法律法规及公司相关规章制度要求，设立评标工作小组，投标人</w:t>
      </w:r>
      <w:r>
        <w:rPr>
          <w:rFonts w:hint="eastAsia" w:ascii="宋体" w:hAnsi="宋体" w:cs="宋体"/>
          <w:b/>
          <w:color w:val="000000" w:themeColor="text1"/>
          <w:kern w:val="0"/>
          <w:sz w:val="24"/>
          <w14:textFill>
            <w14:solidFill>
              <w14:schemeClr w14:val="tx1"/>
            </w14:solidFill>
          </w14:textFill>
        </w:rPr>
        <w:t>讲标时长为30分钟，答疑时长为10分钟。</w:t>
      </w:r>
      <w:r>
        <w:rPr>
          <w:rFonts w:hint="eastAsia" w:ascii="宋体" w:hAnsi="宋体" w:cs="宋体"/>
          <w:kern w:val="0"/>
          <w:sz w:val="24"/>
        </w:rPr>
        <w:t>采用综合评定法，本着公平、公正、公开的原则，在最大限度地满足招标文件实质性要求的前提下，对招标文件中规定的各项因素进行综合评审（技术标40%+商务标60%），确定中标候选投标人或者中标投标人。</w:t>
      </w:r>
      <w:bookmarkStart w:id="333" w:name="OLE_LINK4"/>
    </w:p>
    <w:p w14:paraId="35885CF3">
      <w:pPr>
        <w:spacing w:line="360" w:lineRule="auto"/>
        <w:ind w:firstLine="480" w:firstLineChars="200"/>
        <w:rPr>
          <w:rFonts w:cs="宋体"/>
          <w:b/>
          <w:bCs/>
          <w:kern w:val="0"/>
          <w:sz w:val="24"/>
        </w:rPr>
      </w:pPr>
      <w:r>
        <w:rPr>
          <w:rFonts w:hint="eastAsia" w:cs="宋体"/>
          <w:kern w:val="0"/>
          <w:sz w:val="24"/>
        </w:rPr>
        <w:t>7.</w:t>
      </w:r>
      <w:r>
        <w:rPr>
          <w:rFonts w:cs="宋体"/>
          <w:kern w:val="0"/>
          <w:sz w:val="24"/>
        </w:rPr>
        <w:t>1</w:t>
      </w:r>
      <w:r>
        <w:rPr>
          <w:rFonts w:hint="eastAsia" w:ascii="Calibri" w:hAnsi="Calibri" w:cs="宋体"/>
          <w:kern w:val="0"/>
          <w:sz w:val="24"/>
        </w:rPr>
        <w:t>本次招标的开标、评标由招标人依法组织实施，</w:t>
      </w:r>
      <w:r>
        <w:rPr>
          <w:rFonts w:hint="eastAsia" w:ascii="Calibri" w:hAnsi="Calibri" w:cs="宋体"/>
          <w:b/>
          <w:bCs/>
          <w:kern w:val="0"/>
          <w:sz w:val="24"/>
        </w:rPr>
        <w:t>本次招标采用技术标和商务标分级开标的模式。</w:t>
      </w:r>
    </w:p>
    <w:p w14:paraId="1DB52736">
      <w:pPr>
        <w:spacing w:line="360" w:lineRule="auto"/>
        <w:ind w:firstLine="480" w:firstLineChars="200"/>
        <w:rPr>
          <w:rFonts w:cs="宋体"/>
          <w:kern w:val="0"/>
          <w:sz w:val="24"/>
        </w:rPr>
      </w:pPr>
      <w:r>
        <w:rPr>
          <w:rFonts w:hint="eastAsia" w:cs="宋体"/>
          <w:kern w:val="0"/>
          <w:sz w:val="24"/>
        </w:rPr>
        <w:t>7.2</w:t>
      </w:r>
      <w:r>
        <w:rPr>
          <w:rFonts w:hint="eastAsia" w:ascii="Calibri" w:hAnsi="Calibri" w:cs="宋体"/>
          <w:kern w:val="0"/>
          <w:sz w:val="24"/>
        </w:rPr>
        <w:t>本项目开标时间和地点见“招标内容及形式”。开标会议由招标人组织并主持。招标人邀请各投标人派员参加开标会议。投标人未参加开标的，视同认可开标结果。</w:t>
      </w:r>
    </w:p>
    <w:p w14:paraId="17F0B10C">
      <w:pPr>
        <w:spacing w:line="360" w:lineRule="auto"/>
        <w:ind w:firstLine="480" w:firstLineChars="200"/>
        <w:rPr>
          <w:rFonts w:cs="宋体"/>
          <w:kern w:val="0"/>
          <w:sz w:val="24"/>
        </w:rPr>
      </w:pPr>
      <w:r>
        <w:rPr>
          <w:rFonts w:hint="eastAsia" w:cs="宋体"/>
          <w:kern w:val="0"/>
          <w:sz w:val="24"/>
        </w:rPr>
        <w:t>7.3</w:t>
      </w:r>
      <w:r>
        <w:rPr>
          <w:rFonts w:hint="eastAsia" w:ascii="Calibri" w:hAnsi="Calibri" w:cs="宋体"/>
          <w:kern w:val="0"/>
          <w:sz w:val="24"/>
        </w:rPr>
        <w:t>开标程序</w:t>
      </w:r>
    </w:p>
    <w:p w14:paraId="5F2C233F">
      <w:pPr>
        <w:spacing w:line="360" w:lineRule="auto"/>
        <w:ind w:firstLine="480" w:firstLineChars="200"/>
        <w:rPr>
          <w:rFonts w:cs="宋体"/>
          <w:kern w:val="0"/>
          <w:sz w:val="24"/>
        </w:rPr>
      </w:pPr>
      <w:r>
        <w:rPr>
          <w:rFonts w:hint="eastAsia" w:ascii="Calibri" w:hAnsi="Calibri" w:cs="宋体"/>
          <w:kern w:val="0"/>
          <w:sz w:val="24"/>
        </w:rPr>
        <w:t>1）宣布开标会议开始；</w:t>
      </w:r>
    </w:p>
    <w:p w14:paraId="353680E5">
      <w:pPr>
        <w:spacing w:line="360" w:lineRule="auto"/>
        <w:ind w:firstLine="480" w:firstLineChars="200"/>
        <w:rPr>
          <w:rFonts w:cs="宋体"/>
          <w:kern w:val="0"/>
          <w:sz w:val="24"/>
        </w:rPr>
      </w:pPr>
      <w:r>
        <w:rPr>
          <w:rFonts w:cs="宋体"/>
          <w:kern w:val="0"/>
          <w:sz w:val="24"/>
        </w:rPr>
        <w:t>2</w:t>
      </w:r>
      <w:r>
        <w:rPr>
          <w:rFonts w:hint="eastAsia" w:ascii="Calibri" w:hAnsi="Calibri" w:cs="宋体"/>
          <w:kern w:val="0"/>
          <w:sz w:val="24"/>
        </w:rPr>
        <w:t>）介绍与会人员；</w:t>
      </w:r>
    </w:p>
    <w:p w14:paraId="419E6D03">
      <w:pPr>
        <w:spacing w:line="360" w:lineRule="auto"/>
        <w:ind w:firstLine="480" w:firstLineChars="200"/>
        <w:rPr>
          <w:rFonts w:cs="宋体"/>
          <w:kern w:val="0"/>
          <w:sz w:val="24"/>
        </w:rPr>
      </w:pPr>
      <w:r>
        <w:rPr>
          <w:rFonts w:cs="宋体"/>
          <w:kern w:val="0"/>
          <w:sz w:val="24"/>
        </w:rPr>
        <w:t>3</w:t>
      </w:r>
      <w:r>
        <w:rPr>
          <w:rFonts w:hint="eastAsia" w:ascii="Calibri" w:hAnsi="Calibri" w:cs="宋体"/>
          <w:kern w:val="0"/>
          <w:sz w:val="24"/>
        </w:rPr>
        <w:t>）核验投标人资格证件；</w:t>
      </w:r>
    </w:p>
    <w:p w14:paraId="59CCB79B">
      <w:pPr>
        <w:spacing w:line="360" w:lineRule="auto"/>
        <w:ind w:firstLine="480" w:firstLineChars="200"/>
        <w:rPr>
          <w:rFonts w:cs="宋体"/>
          <w:kern w:val="0"/>
          <w:sz w:val="24"/>
        </w:rPr>
      </w:pPr>
      <w:r>
        <w:rPr>
          <w:rFonts w:cs="宋体"/>
          <w:kern w:val="0"/>
          <w:sz w:val="24"/>
        </w:rPr>
        <w:t>4</w:t>
      </w:r>
      <w:r>
        <w:rPr>
          <w:rFonts w:hint="eastAsia" w:ascii="Calibri" w:hAnsi="Calibri" w:cs="宋体"/>
          <w:kern w:val="0"/>
          <w:sz w:val="24"/>
        </w:rPr>
        <w:t>）投标人或投标人推选的代表对投标文件密封情况进行检查（投标人未参加开标会议的，视同认可投标文件密封完好）；</w:t>
      </w:r>
    </w:p>
    <w:p w14:paraId="60A189E8">
      <w:pPr>
        <w:spacing w:line="360" w:lineRule="auto"/>
        <w:ind w:firstLine="480" w:firstLineChars="200"/>
        <w:rPr>
          <w:rFonts w:cs="宋体"/>
          <w:kern w:val="0"/>
          <w:sz w:val="24"/>
        </w:rPr>
      </w:pPr>
      <w:r>
        <w:rPr>
          <w:rFonts w:cs="宋体"/>
          <w:kern w:val="0"/>
          <w:sz w:val="24"/>
        </w:rPr>
        <w:t>5</w:t>
      </w:r>
      <w:r>
        <w:rPr>
          <w:rFonts w:hint="eastAsia" w:ascii="Calibri" w:hAnsi="Calibri" w:cs="宋体"/>
          <w:kern w:val="0"/>
          <w:sz w:val="24"/>
        </w:rPr>
        <w:t>）经确认无误后，由工作人员当众拆封，先拆启技术标书，开标一览表及商务标书暂时不拆启，由招标人指定专人保管。由评标专家组对所有投标方的技术方案进行综合评定和打分，确定进入商务标评审阶段的投标方；</w:t>
      </w:r>
    </w:p>
    <w:p w14:paraId="0CF66004">
      <w:pPr>
        <w:spacing w:line="360" w:lineRule="auto"/>
        <w:ind w:firstLine="480" w:firstLineChars="200"/>
        <w:rPr>
          <w:rFonts w:cs="宋体"/>
          <w:kern w:val="0"/>
          <w:sz w:val="24"/>
        </w:rPr>
      </w:pPr>
      <w:r>
        <w:rPr>
          <w:rFonts w:cs="宋体"/>
          <w:kern w:val="0"/>
          <w:sz w:val="24"/>
        </w:rPr>
        <w:t>6</w:t>
      </w:r>
      <w:r>
        <w:rPr>
          <w:rFonts w:hint="eastAsia" w:ascii="Calibri" w:hAnsi="Calibri" w:cs="宋体"/>
          <w:kern w:val="0"/>
          <w:sz w:val="24"/>
        </w:rPr>
        <w:t>）根据技术标评审结果，通知未进入商务标评标资格的投标方离场，当众拆启进入商务标评标资格单位的开标一览表，宣读投标人名称、投标价格和投标文件的其他主要内容，投标人授权代表现场确认无误后进行商务标的评标，同技术入围投标方进行多轮商务谈判，根据技术标综合得分及商务标价格，汇总专家意见，推荐性价比最优的投标方；</w:t>
      </w:r>
    </w:p>
    <w:p w14:paraId="7D144E06">
      <w:pPr>
        <w:spacing w:line="360" w:lineRule="auto"/>
        <w:ind w:firstLine="480" w:firstLineChars="200"/>
        <w:rPr>
          <w:rFonts w:cs="宋体"/>
          <w:kern w:val="0"/>
          <w:sz w:val="24"/>
        </w:rPr>
      </w:pPr>
      <w:r>
        <w:rPr>
          <w:rFonts w:cs="宋体"/>
          <w:kern w:val="0"/>
          <w:sz w:val="24"/>
        </w:rPr>
        <w:t>7</w:t>
      </w:r>
      <w:r>
        <w:rPr>
          <w:rFonts w:hint="eastAsia" w:ascii="Calibri" w:hAnsi="Calibri" w:cs="宋体"/>
          <w:kern w:val="0"/>
          <w:sz w:val="24"/>
        </w:rPr>
        <w:t>）招标人有权根据项目情况，采取多级评标模式，最终确定投标人排序；</w:t>
      </w:r>
    </w:p>
    <w:p w14:paraId="7978D754">
      <w:pPr>
        <w:spacing w:line="360" w:lineRule="auto"/>
        <w:ind w:firstLine="480" w:firstLineChars="200"/>
        <w:rPr>
          <w:rFonts w:cs="宋体"/>
          <w:kern w:val="0"/>
          <w:sz w:val="24"/>
        </w:rPr>
      </w:pPr>
      <w:r>
        <w:rPr>
          <w:rFonts w:cs="宋体"/>
          <w:kern w:val="0"/>
          <w:sz w:val="24"/>
        </w:rPr>
        <w:t>8</w:t>
      </w:r>
      <w:r>
        <w:rPr>
          <w:rFonts w:hint="eastAsia" w:ascii="Calibri" w:hAnsi="Calibri" w:cs="宋体"/>
          <w:kern w:val="0"/>
          <w:sz w:val="24"/>
        </w:rPr>
        <w:t>）投标前请各投标方按照招标文件要求对项目方案进行充分准备，投标单位已默认认可上述开标、评标过程，无异议。招标人无义务对未入围投标方及未中标方做任何解释。</w:t>
      </w:r>
    </w:p>
    <w:p w14:paraId="6C1D54F7">
      <w:pPr>
        <w:tabs>
          <w:tab w:val="left" w:pos="0"/>
        </w:tabs>
        <w:spacing w:line="360" w:lineRule="auto"/>
        <w:ind w:firstLine="480" w:firstLineChars="200"/>
        <w:rPr>
          <w:rFonts w:ascii="Calibri" w:hAnsi="宋体" w:cs="宋体"/>
          <w:kern w:val="0"/>
          <w:sz w:val="24"/>
        </w:rPr>
      </w:pPr>
      <w:r>
        <w:rPr>
          <w:rFonts w:hint="eastAsia" w:ascii="Calibri" w:hAnsi="宋体" w:cs="宋体"/>
          <w:kern w:val="0"/>
          <w:sz w:val="24"/>
        </w:rPr>
        <w:t>技术标评分标准如下：</w:t>
      </w:r>
      <w:bookmarkEnd w:id="331"/>
      <w:bookmarkEnd w:id="332"/>
      <w:bookmarkEnd w:id="333"/>
    </w:p>
    <w:tbl>
      <w:tblPr>
        <w:tblStyle w:val="25"/>
        <w:tblW w:w="94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9"/>
        <w:gridCol w:w="1427"/>
        <w:gridCol w:w="6095"/>
        <w:gridCol w:w="644"/>
      </w:tblGrid>
      <w:tr w14:paraId="0A2F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89" w:type="dxa"/>
            <w:tcMar>
              <w:top w:w="15" w:type="dxa"/>
              <w:left w:w="15" w:type="dxa"/>
              <w:bottom w:w="15" w:type="dxa"/>
              <w:right w:w="15" w:type="dxa"/>
            </w:tcMar>
            <w:vAlign w:val="center"/>
          </w:tcPr>
          <w:p w14:paraId="4873BD8D">
            <w:pPr>
              <w:widowControl/>
              <w:spacing w:line="360" w:lineRule="auto"/>
              <w:jc w:val="center"/>
              <w:textAlignment w:val="center"/>
              <w:rPr>
                <w:rFonts w:ascii="宋体" w:hAnsi="宋体" w:cs="宋体"/>
                <w:b/>
                <w:sz w:val="24"/>
              </w:rPr>
            </w:pPr>
            <w:r>
              <w:rPr>
                <w:rFonts w:hint="eastAsia" w:ascii="宋体" w:hAnsi="宋体" w:cs="宋体"/>
                <w:b/>
                <w:kern w:val="0"/>
                <w:sz w:val="24"/>
              </w:rPr>
              <w:t>评分项目</w:t>
            </w:r>
          </w:p>
        </w:tc>
        <w:tc>
          <w:tcPr>
            <w:tcW w:w="1427" w:type="dxa"/>
            <w:tcMar>
              <w:top w:w="15" w:type="dxa"/>
              <w:left w:w="15" w:type="dxa"/>
              <w:bottom w:w="15" w:type="dxa"/>
              <w:right w:w="15" w:type="dxa"/>
            </w:tcMar>
            <w:vAlign w:val="center"/>
          </w:tcPr>
          <w:p w14:paraId="56A8F771">
            <w:pPr>
              <w:widowControl/>
              <w:spacing w:line="360" w:lineRule="auto"/>
              <w:jc w:val="center"/>
              <w:textAlignment w:val="center"/>
              <w:rPr>
                <w:rFonts w:ascii="宋体" w:hAnsi="宋体" w:cs="宋体"/>
                <w:b/>
                <w:kern w:val="0"/>
                <w:sz w:val="24"/>
              </w:rPr>
            </w:pPr>
            <w:r>
              <w:rPr>
                <w:rFonts w:hint="eastAsia" w:ascii="宋体" w:hAnsi="宋体" w:cs="宋体"/>
                <w:b/>
                <w:kern w:val="0"/>
                <w:sz w:val="24"/>
              </w:rPr>
              <w:t>评分因素</w:t>
            </w:r>
          </w:p>
        </w:tc>
        <w:tc>
          <w:tcPr>
            <w:tcW w:w="6095" w:type="dxa"/>
            <w:tcMar>
              <w:top w:w="15" w:type="dxa"/>
              <w:left w:w="15" w:type="dxa"/>
              <w:bottom w:w="15" w:type="dxa"/>
              <w:right w:w="15" w:type="dxa"/>
            </w:tcMar>
            <w:vAlign w:val="center"/>
          </w:tcPr>
          <w:p w14:paraId="4ABDC2A0">
            <w:pPr>
              <w:widowControl/>
              <w:spacing w:line="360" w:lineRule="auto"/>
              <w:jc w:val="center"/>
              <w:textAlignment w:val="center"/>
              <w:rPr>
                <w:rFonts w:ascii="宋体" w:hAnsi="宋体" w:cs="宋体"/>
                <w:b/>
                <w:sz w:val="24"/>
              </w:rPr>
            </w:pPr>
            <w:r>
              <w:rPr>
                <w:rFonts w:hint="eastAsia" w:ascii="宋体" w:hAnsi="宋体" w:cs="宋体"/>
                <w:b/>
                <w:kern w:val="0"/>
                <w:sz w:val="24"/>
              </w:rPr>
              <w:t>说明</w:t>
            </w:r>
          </w:p>
        </w:tc>
        <w:tc>
          <w:tcPr>
            <w:tcW w:w="644" w:type="dxa"/>
            <w:tcMar>
              <w:top w:w="15" w:type="dxa"/>
              <w:left w:w="15" w:type="dxa"/>
              <w:bottom w:w="15" w:type="dxa"/>
              <w:right w:w="15" w:type="dxa"/>
            </w:tcMar>
            <w:vAlign w:val="center"/>
          </w:tcPr>
          <w:p w14:paraId="1F55171A">
            <w:pPr>
              <w:widowControl/>
              <w:spacing w:line="360" w:lineRule="auto"/>
              <w:jc w:val="center"/>
              <w:textAlignment w:val="center"/>
              <w:rPr>
                <w:rFonts w:ascii="宋体" w:hAnsi="宋体" w:cs="宋体"/>
                <w:b/>
                <w:sz w:val="24"/>
              </w:rPr>
            </w:pPr>
            <w:r>
              <w:rPr>
                <w:rFonts w:hint="eastAsia" w:ascii="宋体" w:hAnsi="宋体" w:cs="宋体"/>
                <w:b/>
                <w:kern w:val="0"/>
                <w:sz w:val="24"/>
              </w:rPr>
              <w:t>分值分配</w:t>
            </w:r>
          </w:p>
        </w:tc>
      </w:tr>
      <w:tr w14:paraId="4F311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1289" w:type="dxa"/>
            <w:vMerge w:val="restart"/>
            <w:tcMar>
              <w:top w:w="15" w:type="dxa"/>
              <w:left w:w="15" w:type="dxa"/>
              <w:bottom w:w="15" w:type="dxa"/>
              <w:right w:w="15" w:type="dxa"/>
            </w:tcMar>
            <w:vAlign w:val="center"/>
          </w:tcPr>
          <w:p w14:paraId="66EE466E">
            <w:pPr>
              <w:spacing w:line="360" w:lineRule="auto"/>
              <w:jc w:val="center"/>
              <w:textAlignment w:val="center"/>
              <w:rPr>
                <w:rFonts w:ascii="宋体" w:hAnsi="宋体" w:cs="宋体"/>
                <w:b/>
                <w:kern w:val="0"/>
                <w:sz w:val="24"/>
              </w:rPr>
            </w:pPr>
            <w:r>
              <w:rPr>
                <w:rFonts w:hint="eastAsia" w:ascii="宋体" w:hAnsi="宋体" w:cs="宋体"/>
                <w:b/>
                <w:sz w:val="24"/>
              </w:rPr>
              <w:t>技术部分</w:t>
            </w:r>
            <w:r>
              <w:rPr>
                <w:rFonts w:hint="eastAsia" w:ascii="宋体" w:hAnsi="宋体" w:cs="宋体"/>
                <w:b/>
                <w:kern w:val="0"/>
                <w:sz w:val="24"/>
              </w:rPr>
              <w:t>（100分）</w:t>
            </w:r>
          </w:p>
        </w:tc>
        <w:tc>
          <w:tcPr>
            <w:tcW w:w="1427" w:type="dxa"/>
            <w:tcMar>
              <w:top w:w="15" w:type="dxa"/>
              <w:left w:w="15" w:type="dxa"/>
              <w:bottom w:w="15" w:type="dxa"/>
              <w:right w:w="15" w:type="dxa"/>
            </w:tcMar>
            <w:vAlign w:val="center"/>
          </w:tcPr>
          <w:p w14:paraId="5402DC56">
            <w:pPr>
              <w:spacing w:line="360" w:lineRule="auto"/>
              <w:jc w:val="center"/>
              <w:rPr>
                <w:rFonts w:ascii="宋体" w:hAnsi="宋体" w:cs="宋体"/>
                <w:szCs w:val="21"/>
              </w:rPr>
            </w:pPr>
            <w:r>
              <w:rPr>
                <w:rFonts w:hint="eastAsia" w:ascii="宋体" w:hAnsi="宋体" w:cs="宋体"/>
                <w:szCs w:val="21"/>
              </w:rPr>
              <w:t>项目实施方案</w:t>
            </w:r>
          </w:p>
        </w:tc>
        <w:tc>
          <w:tcPr>
            <w:tcW w:w="6095" w:type="dxa"/>
            <w:tcMar>
              <w:top w:w="15" w:type="dxa"/>
              <w:left w:w="15" w:type="dxa"/>
              <w:bottom w:w="15" w:type="dxa"/>
              <w:right w:w="15" w:type="dxa"/>
            </w:tcMar>
            <w:vAlign w:val="center"/>
          </w:tcPr>
          <w:p w14:paraId="1A7170BB">
            <w:pPr>
              <w:widowControl/>
              <w:jc w:val="left"/>
              <w:rPr>
                <w:rFonts w:ascii="宋体" w:hAnsi="宋体"/>
                <w:szCs w:val="21"/>
              </w:rPr>
            </w:pPr>
            <w:r>
              <w:rPr>
                <w:rFonts w:hint="eastAsia" w:ascii="宋体" w:hAnsi="宋体"/>
                <w:szCs w:val="21"/>
              </w:rPr>
              <w:t>专项服务方案，包括但不限于规划蓝图及本项目实施内容、实施计划、实施效果、项目实施保障、项目团队介绍等：</w:t>
            </w:r>
          </w:p>
          <w:p w14:paraId="5B6DE7F8">
            <w:pPr>
              <w:widowControl/>
              <w:jc w:val="left"/>
              <w:rPr>
                <w:rFonts w:ascii="宋体" w:hAnsi="宋体"/>
                <w:szCs w:val="21"/>
              </w:rPr>
            </w:pPr>
            <w:r>
              <w:rPr>
                <w:rFonts w:ascii="宋体" w:hAnsi="宋体"/>
                <w:szCs w:val="21"/>
              </w:rPr>
              <w:t>1）服务团队具备丰富的同类型项目经验，对汽车金融公司财务报表及</w:t>
            </w:r>
            <w:r>
              <w:rPr>
                <w:rFonts w:hint="eastAsia" w:ascii="宋体" w:hAnsi="宋体"/>
                <w:szCs w:val="21"/>
              </w:rPr>
              <w:t>内部控制审计</w:t>
            </w:r>
            <w:r>
              <w:rPr>
                <w:rFonts w:ascii="宋体" w:hAnsi="宋体"/>
                <w:szCs w:val="21"/>
              </w:rPr>
              <w:t>项目非常了解；服务方案编制科学、合理，符合</w:t>
            </w:r>
            <w:r>
              <w:rPr>
                <w:rFonts w:hint="eastAsia" w:ascii="宋体" w:hAnsi="宋体"/>
                <w:szCs w:val="21"/>
              </w:rPr>
              <w:t>监管法规要求，工作思路清晰，可行性强，方案完善；对项目重点、难点的针对性设置强；得31-40</w:t>
            </w:r>
            <w:r>
              <w:rPr>
                <w:rFonts w:ascii="宋体" w:hAnsi="宋体"/>
                <w:szCs w:val="21"/>
              </w:rPr>
              <w:t>分</w:t>
            </w:r>
            <w:r>
              <w:rPr>
                <w:rFonts w:hint="eastAsia" w:ascii="宋体" w:hAnsi="宋体"/>
                <w:szCs w:val="21"/>
              </w:rPr>
              <w:t>。</w:t>
            </w:r>
          </w:p>
          <w:p w14:paraId="72848BA2">
            <w:pPr>
              <w:widowControl/>
              <w:jc w:val="left"/>
              <w:rPr>
                <w:rFonts w:ascii="宋体" w:hAnsi="宋体"/>
                <w:szCs w:val="21"/>
              </w:rPr>
            </w:pPr>
            <w:r>
              <w:rPr>
                <w:rFonts w:ascii="宋体" w:hAnsi="宋体"/>
                <w:szCs w:val="21"/>
              </w:rPr>
              <w:t>2</w:t>
            </w:r>
            <w:r>
              <w:rPr>
                <w:rFonts w:hint="eastAsia" w:ascii="宋体" w:hAnsi="宋体"/>
                <w:szCs w:val="21"/>
              </w:rPr>
              <w:t>）服务团队具备一定的同类型项目经验，对汽车金融公司财务报表及内部控制审计项目较为了解；服务方案编制科学、合理，基本符合监管法规要求，工作思路较为清晰，可行性较强，方案较为完善，对项目重点、难点的针对性设置较强；得11-30</w:t>
            </w:r>
            <w:r>
              <w:rPr>
                <w:rFonts w:ascii="宋体" w:hAnsi="宋体"/>
                <w:szCs w:val="21"/>
              </w:rPr>
              <w:t>分</w:t>
            </w:r>
            <w:r>
              <w:rPr>
                <w:rFonts w:hint="eastAsia" w:ascii="宋体" w:hAnsi="宋体"/>
                <w:szCs w:val="21"/>
              </w:rPr>
              <w:t>。</w:t>
            </w:r>
          </w:p>
          <w:p w14:paraId="309FA3F0">
            <w:pPr>
              <w:widowControl/>
              <w:jc w:val="left"/>
              <w:rPr>
                <w:rFonts w:ascii="宋体" w:hAnsi="宋体" w:cs="宋体"/>
                <w:color w:val="000000"/>
                <w:kern w:val="0"/>
                <w:sz w:val="20"/>
              </w:rPr>
            </w:pPr>
            <w:r>
              <w:rPr>
                <w:rFonts w:ascii="宋体" w:hAnsi="宋体"/>
                <w:szCs w:val="21"/>
              </w:rPr>
              <w:t>3</w:t>
            </w:r>
            <w:r>
              <w:rPr>
                <w:rFonts w:hint="eastAsia" w:ascii="宋体" w:hAnsi="宋体"/>
                <w:szCs w:val="21"/>
              </w:rPr>
              <w:t>）服务团队具备的同类型项目经验较少，对汽车金融公司财务报表及内部控制审计项目不够了解；提供了服务方案，但方案与监管法规要求符合程度较低，工作思路较为模糊，可行性较低，方案内容混乱，没有针对性，拟交付成果与项目需求契合度较低；得0-10</w:t>
            </w:r>
            <w:r>
              <w:rPr>
                <w:rFonts w:ascii="宋体" w:hAnsi="宋体"/>
                <w:szCs w:val="21"/>
              </w:rPr>
              <w:t>分。</w:t>
            </w:r>
          </w:p>
        </w:tc>
        <w:tc>
          <w:tcPr>
            <w:tcW w:w="644" w:type="dxa"/>
            <w:tcMar>
              <w:top w:w="15" w:type="dxa"/>
              <w:left w:w="15" w:type="dxa"/>
              <w:bottom w:w="15" w:type="dxa"/>
              <w:right w:w="15" w:type="dxa"/>
            </w:tcMar>
            <w:vAlign w:val="center"/>
          </w:tcPr>
          <w:p w14:paraId="4F1D4260">
            <w:pPr>
              <w:widowControl/>
              <w:spacing w:line="360" w:lineRule="auto"/>
              <w:jc w:val="center"/>
              <w:textAlignment w:val="center"/>
              <w:rPr>
                <w:rFonts w:ascii="宋体" w:hAnsi="宋体" w:cs="宋体"/>
                <w:sz w:val="24"/>
              </w:rPr>
            </w:pPr>
            <w:r>
              <w:rPr>
                <w:rFonts w:hint="eastAsia" w:ascii="宋体" w:hAnsi="宋体" w:cs="宋体"/>
                <w:sz w:val="24"/>
              </w:rPr>
              <w:t>40</w:t>
            </w:r>
          </w:p>
        </w:tc>
      </w:tr>
      <w:tr w14:paraId="7A89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2" w:hRule="atLeast"/>
          <w:jc w:val="center"/>
        </w:trPr>
        <w:tc>
          <w:tcPr>
            <w:tcW w:w="1289" w:type="dxa"/>
            <w:vMerge w:val="continue"/>
            <w:tcMar>
              <w:top w:w="15" w:type="dxa"/>
              <w:left w:w="15" w:type="dxa"/>
              <w:bottom w:w="15" w:type="dxa"/>
              <w:right w:w="15" w:type="dxa"/>
            </w:tcMar>
            <w:vAlign w:val="center"/>
          </w:tcPr>
          <w:p w14:paraId="4C61C3B9">
            <w:pPr>
              <w:widowControl/>
              <w:spacing w:line="360" w:lineRule="auto"/>
              <w:jc w:val="center"/>
              <w:textAlignment w:val="center"/>
              <w:rPr>
                <w:rFonts w:ascii="宋体" w:hAnsi="宋体" w:cs="宋体"/>
                <w:b/>
                <w:sz w:val="24"/>
              </w:rPr>
            </w:pPr>
          </w:p>
        </w:tc>
        <w:tc>
          <w:tcPr>
            <w:tcW w:w="1427" w:type="dxa"/>
            <w:tcMar>
              <w:top w:w="15" w:type="dxa"/>
              <w:left w:w="15" w:type="dxa"/>
              <w:bottom w:w="15" w:type="dxa"/>
              <w:right w:w="15" w:type="dxa"/>
            </w:tcMar>
            <w:vAlign w:val="center"/>
          </w:tcPr>
          <w:p w14:paraId="57B2F75B">
            <w:pPr>
              <w:pStyle w:val="73"/>
              <w:widowControl/>
              <w:spacing w:line="360" w:lineRule="auto"/>
              <w:ind w:firstLine="0" w:firstLineChars="0"/>
              <w:jc w:val="center"/>
              <w:rPr>
                <w:rFonts w:ascii="宋体" w:hAnsi="宋体" w:eastAsia="宋体" w:cs="宋体"/>
                <w:szCs w:val="21"/>
              </w:rPr>
            </w:pPr>
            <w:r>
              <w:rPr>
                <w:rFonts w:hint="eastAsia" w:ascii="宋体" w:hAnsi="宋体" w:eastAsia="宋体" w:cs="宋体"/>
                <w:szCs w:val="21"/>
              </w:rPr>
              <w:t>项目需求理解</w:t>
            </w:r>
          </w:p>
        </w:tc>
        <w:tc>
          <w:tcPr>
            <w:tcW w:w="6095" w:type="dxa"/>
            <w:tcMar>
              <w:top w:w="15" w:type="dxa"/>
              <w:left w:w="15" w:type="dxa"/>
              <w:bottom w:w="15" w:type="dxa"/>
              <w:right w:w="15" w:type="dxa"/>
            </w:tcMar>
            <w:vAlign w:val="center"/>
          </w:tcPr>
          <w:p w14:paraId="713702B9">
            <w:pPr>
              <w:widowControl/>
              <w:jc w:val="left"/>
              <w:rPr>
                <w:rFonts w:ascii="宋体" w:hAnsi="宋体"/>
                <w:szCs w:val="21"/>
              </w:rPr>
            </w:pPr>
            <w:r>
              <w:rPr>
                <w:rFonts w:hint="eastAsia" w:ascii="宋体" w:hAnsi="宋体"/>
                <w:szCs w:val="21"/>
              </w:rPr>
              <w:t>项目理解的描述及需求分析情况：</w:t>
            </w:r>
          </w:p>
          <w:p w14:paraId="3DEFFE71">
            <w:pPr>
              <w:widowControl/>
              <w:jc w:val="left"/>
              <w:rPr>
                <w:rFonts w:ascii="宋体" w:hAnsi="宋体"/>
                <w:szCs w:val="21"/>
              </w:rPr>
            </w:pPr>
            <w:r>
              <w:rPr>
                <w:rFonts w:ascii="宋体" w:hAnsi="宋体"/>
                <w:szCs w:val="21"/>
              </w:rPr>
              <w:t>1</w:t>
            </w:r>
            <w:r>
              <w:rPr>
                <w:rFonts w:hint="eastAsia" w:ascii="宋体" w:hAnsi="宋体"/>
                <w:szCs w:val="21"/>
              </w:rPr>
              <w:t>）对项目理解准确、重点突出，分析到位，充分了解招标人需求的得21—3</w:t>
            </w:r>
            <w:r>
              <w:rPr>
                <w:rFonts w:ascii="宋体" w:hAnsi="宋体"/>
                <w:szCs w:val="21"/>
              </w:rPr>
              <w:t>0分</w:t>
            </w:r>
            <w:r>
              <w:rPr>
                <w:rFonts w:hint="eastAsia" w:ascii="宋体" w:hAnsi="宋体"/>
                <w:szCs w:val="21"/>
              </w:rPr>
              <w:t>。</w:t>
            </w:r>
          </w:p>
          <w:p w14:paraId="470F467E">
            <w:pPr>
              <w:widowControl/>
              <w:jc w:val="left"/>
              <w:rPr>
                <w:rFonts w:ascii="宋体" w:hAnsi="宋体"/>
                <w:szCs w:val="21"/>
              </w:rPr>
            </w:pPr>
            <w:r>
              <w:rPr>
                <w:rFonts w:ascii="宋体" w:hAnsi="宋体"/>
                <w:szCs w:val="21"/>
              </w:rPr>
              <w:t>2</w:t>
            </w:r>
            <w:r>
              <w:rPr>
                <w:rFonts w:hint="eastAsia" w:ascii="宋体" w:hAnsi="宋体"/>
                <w:szCs w:val="21"/>
              </w:rPr>
              <w:t>）对项目理解准确，重点较为突出、分析合理，了解招标人需求的得10—20</w:t>
            </w:r>
            <w:r>
              <w:rPr>
                <w:rFonts w:ascii="宋体" w:hAnsi="宋体"/>
                <w:szCs w:val="21"/>
              </w:rPr>
              <w:t>分</w:t>
            </w:r>
            <w:r>
              <w:rPr>
                <w:rFonts w:hint="eastAsia" w:ascii="宋体" w:hAnsi="宋体"/>
                <w:szCs w:val="21"/>
              </w:rPr>
              <w:t>。</w:t>
            </w:r>
          </w:p>
          <w:p w14:paraId="5136C96A">
            <w:pPr>
              <w:widowControl/>
              <w:jc w:val="left"/>
              <w:rPr>
                <w:rFonts w:ascii="宋体" w:hAnsi="宋体" w:cs="宋体"/>
                <w:szCs w:val="21"/>
              </w:rPr>
            </w:pPr>
            <w:r>
              <w:rPr>
                <w:rFonts w:ascii="宋体" w:hAnsi="宋体"/>
                <w:szCs w:val="21"/>
              </w:rPr>
              <w:t>3</w:t>
            </w:r>
            <w:r>
              <w:rPr>
                <w:rFonts w:hint="eastAsia" w:ascii="宋体" w:hAnsi="宋体"/>
                <w:szCs w:val="21"/>
              </w:rPr>
              <w:t>）对项目理解一般，分析不太符合实际情况，对招标人需求了解不到位的得</w:t>
            </w:r>
            <w:r>
              <w:rPr>
                <w:rFonts w:ascii="宋体" w:hAnsi="宋体"/>
                <w:szCs w:val="21"/>
              </w:rPr>
              <w:t>0</w:t>
            </w:r>
            <w:r>
              <w:rPr>
                <w:rFonts w:hint="eastAsia" w:ascii="宋体" w:hAnsi="宋体"/>
                <w:szCs w:val="21"/>
              </w:rPr>
              <w:t>-9</w:t>
            </w:r>
            <w:r>
              <w:rPr>
                <w:rFonts w:ascii="宋体" w:hAnsi="宋体"/>
                <w:szCs w:val="21"/>
              </w:rPr>
              <w:t>分。</w:t>
            </w:r>
          </w:p>
        </w:tc>
        <w:tc>
          <w:tcPr>
            <w:tcW w:w="644" w:type="dxa"/>
            <w:tcMar>
              <w:top w:w="15" w:type="dxa"/>
              <w:left w:w="15" w:type="dxa"/>
              <w:bottom w:w="15" w:type="dxa"/>
              <w:right w:w="15" w:type="dxa"/>
            </w:tcMar>
            <w:vAlign w:val="center"/>
          </w:tcPr>
          <w:p w14:paraId="7B7909AE">
            <w:pPr>
              <w:widowControl/>
              <w:spacing w:line="360" w:lineRule="auto"/>
              <w:jc w:val="center"/>
              <w:textAlignment w:val="center"/>
              <w:rPr>
                <w:rFonts w:ascii="宋体" w:hAnsi="宋体" w:cs="宋体"/>
                <w:kern w:val="0"/>
                <w:sz w:val="24"/>
              </w:rPr>
            </w:pPr>
            <w:r>
              <w:rPr>
                <w:rFonts w:hint="eastAsia" w:ascii="宋体" w:hAnsi="宋体" w:cs="宋体"/>
                <w:kern w:val="0"/>
                <w:sz w:val="24"/>
              </w:rPr>
              <w:t>30</w:t>
            </w:r>
          </w:p>
        </w:tc>
      </w:tr>
      <w:tr w14:paraId="2B509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289" w:type="dxa"/>
            <w:vMerge w:val="continue"/>
            <w:tcMar>
              <w:top w:w="15" w:type="dxa"/>
              <w:left w:w="15" w:type="dxa"/>
              <w:bottom w:w="15" w:type="dxa"/>
              <w:right w:w="15" w:type="dxa"/>
            </w:tcMar>
            <w:vAlign w:val="center"/>
          </w:tcPr>
          <w:p w14:paraId="7FB5DB26">
            <w:pPr>
              <w:widowControl/>
              <w:spacing w:line="360" w:lineRule="auto"/>
              <w:jc w:val="center"/>
              <w:textAlignment w:val="center"/>
              <w:rPr>
                <w:rFonts w:ascii="宋体" w:hAnsi="宋体" w:cs="宋体"/>
                <w:b/>
                <w:sz w:val="24"/>
              </w:rPr>
            </w:pPr>
          </w:p>
        </w:tc>
        <w:tc>
          <w:tcPr>
            <w:tcW w:w="1427" w:type="dxa"/>
            <w:tcMar>
              <w:top w:w="15" w:type="dxa"/>
              <w:left w:w="15" w:type="dxa"/>
              <w:bottom w:w="15" w:type="dxa"/>
              <w:right w:w="15" w:type="dxa"/>
            </w:tcMar>
            <w:vAlign w:val="center"/>
          </w:tcPr>
          <w:p w14:paraId="6FB114C3">
            <w:pPr>
              <w:pStyle w:val="73"/>
              <w:widowControl/>
              <w:spacing w:line="360" w:lineRule="auto"/>
              <w:ind w:firstLine="0" w:firstLineChars="0"/>
              <w:jc w:val="center"/>
              <w:rPr>
                <w:rFonts w:ascii="宋体" w:hAnsi="宋体" w:eastAsia="宋体" w:cs="宋体"/>
                <w:szCs w:val="21"/>
              </w:rPr>
            </w:pPr>
            <w:r>
              <w:rPr>
                <w:rFonts w:hint="eastAsia" w:ascii="宋体" w:hAnsi="宋体" w:eastAsia="宋体" w:cs="宋体"/>
                <w:szCs w:val="21"/>
              </w:rPr>
              <w:t>项目经验</w:t>
            </w:r>
          </w:p>
        </w:tc>
        <w:tc>
          <w:tcPr>
            <w:tcW w:w="6095" w:type="dxa"/>
            <w:tcMar>
              <w:top w:w="15" w:type="dxa"/>
              <w:left w:w="15" w:type="dxa"/>
              <w:bottom w:w="15" w:type="dxa"/>
              <w:right w:w="15" w:type="dxa"/>
            </w:tcMar>
            <w:vAlign w:val="center"/>
          </w:tcPr>
          <w:p w14:paraId="53FFE712">
            <w:pPr>
              <w:widowControl/>
              <w:jc w:val="left"/>
              <w:rPr>
                <w:rFonts w:ascii="宋体" w:hAnsi="宋体" w:cs="宋体"/>
                <w:kern w:val="0"/>
                <w:sz w:val="20"/>
                <w:lang w:val="en-GB"/>
              </w:rPr>
            </w:pPr>
            <w:r>
              <w:rPr>
                <w:rFonts w:hint="eastAsia" w:ascii="宋体" w:hAnsi="宋体"/>
                <w:szCs w:val="21"/>
              </w:rPr>
              <w:t>2024-2025年关于汽车金融公司、财务公司、银行、租赁公司相关案例进行评分，投标人每具备</w:t>
            </w:r>
            <w:r>
              <w:rPr>
                <w:rFonts w:ascii="宋体" w:hAnsi="宋体"/>
                <w:szCs w:val="21"/>
              </w:rPr>
              <w:t>1个符合要求的项目，得</w:t>
            </w:r>
            <w:r>
              <w:rPr>
                <w:rFonts w:hint="eastAsia" w:ascii="宋体" w:hAnsi="宋体"/>
                <w:szCs w:val="21"/>
              </w:rPr>
              <w:t>3分。本项满分3</w:t>
            </w:r>
            <w:r>
              <w:rPr>
                <w:rFonts w:ascii="宋体" w:hAnsi="宋体"/>
                <w:szCs w:val="21"/>
              </w:rPr>
              <w:t>0</w:t>
            </w:r>
            <w:r>
              <w:rPr>
                <w:rFonts w:hint="eastAsia" w:ascii="宋体" w:hAnsi="宋体"/>
                <w:szCs w:val="21"/>
              </w:rPr>
              <w:t>分。</w:t>
            </w:r>
          </w:p>
        </w:tc>
        <w:tc>
          <w:tcPr>
            <w:tcW w:w="644" w:type="dxa"/>
            <w:tcMar>
              <w:top w:w="15" w:type="dxa"/>
              <w:left w:w="15" w:type="dxa"/>
              <w:bottom w:w="15" w:type="dxa"/>
              <w:right w:w="15" w:type="dxa"/>
            </w:tcMar>
            <w:vAlign w:val="center"/>
          </w:tcPr>
          <w:p w14:paraId="2837CEB7">
            <w:pPr>
              <w:widowControl/>
              <w:spacing w:line="360" w:lineRule="auto"/>
              <w:jc w:val="center"/>
              <w:textAlignment w:val="center"/>
              <w:rPr>
                <w:rFonts w:ascii="宋体" w:hAnsi="宋体" w:cs="宋体"/>
                <w:kern w:val="0"/>
                <w:sz w:val="24"/>
              </w:rPr>
            </w:pPr>
            <w:r>
              <w:rPr>
                <w:rFonts w:hint="eastAsia" w:ascii="宋体" w:hAnsi="宋体" w:cs="宋体"/>
                <w:kern w:val="0"/>
                <w:sz w:val="24"/>
              </w:rPr>
              <w:t>30</w:t>
            </w:r>
          </w:p>
        </w:tc>
      </w:tr>
      <w:tr w14:paraId="591EF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 w:hRule="atLeast"/>
          <w:jc w:val="center"/>
        </w:trPr>
        <w:tc>
          <w:tcPr>
            <w:tcW w:w="8811" w:type="dxa"/>
            <w:gridSpan w:val="3"/>
            <w:tcMar>
              <w:top w:w="15" w:type="dxa"/>
              <w:left w:w="15" w:type="dxa"/>
              <w:bottom w:w="15" w:type="dxa"/>
              <w:right w:w="15" w:type="dxa"/>
            </w:tcMar>
            <w:vAlign w:val="center"/>
          </w:tcPr>
          <w:p w14:paraId="7A47428E">
            <w:pPr>
              <w:pStyle w:val="73"/>
              <w:widowControl/>
              <w:spacing w:line="276" w:lineRule="auto"/>
              <w:ind w:firstLine="0" w:firstLineChars="0"/>
              <w:jc w:val="center"/>
              <w:rPr>
                <w:rFonts w:ascii="宋体" w:hAnsi="宋体" w:cs="宋体"/>
                <w:sz w:val="24"/>
              </w:rPr>
            </w:pPr>
            <w:r>
              <w:rPr>
                <w:rFonts w:hint="eastAsia" w:ascii="宋体" w:hAnsi="宋体" w:cs="宋体"/>
                <w:kern w:val="0"/>
                <w:sz w:val="24"/>
              </w:rPr>
              <w:t>合计</w:t>
            </w:r>
          </w:p>
        </w:tc>
        <w:tc>
          <w:tcPr>
            <w:tcW w:w="644" w:type="dxa"/>
            <w:tcMar>
              <w:top w:w="15" w:type="dxa"/>
              <w:left w:w="15" w:type="dxa"/>
              <w:bottom w:w="15" w:type="dxa"/>
              <w:right w:w="15" w:type="dxa"/>
            </w:tcMar>
            <w:vAlign w:val="center"/>
          </w:tcPr>
          <w:p w14:paraId="7B0DC46C">
            <w:pPr>
              <w:pStyle w:val="73"/>
              <w:widowControl/>
              <w:spacing w:line="360" w:lineRule="auto"/>
              <w:ind w:firstLine="0" w:firstLineChars="0"/>
              <w:jc w:val="center"/>
              <w:rPr>
                <w:rFonts w:ascii="宋体" w:hAnsi="宋体" w:cs="宋体"/>
                <w:sz w:val="24"/>
              </w:rPr>
            </w:pPr>
            <w:r>
              <w:rPr>
                <w:rFonts w:hint="eastAsia" w:ascii="宋体" w:hAnsi="宋体" w:cs="宋体"/>
                <w:sz w:val="24"/>
              </w:rPr>
              <w:t>100</w:t>
            </w:r>
          </w:p>
        </w:tc>
      </w:tr>
      <w:tr w14:paraId="522ED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 w:hRule="atLeast"/>
          <w:jc w:val="center"/>
        </w:trPr>
        <w:tc>
          <w:tcPr>
            <w:tcW w:w="9455" w:type="dxa"/>
            <w:gridSpan w:val="4"/>
            <w:tcMar>
              <w:top w:w="15" w:type="dxa"/>
              <w:left w:w="15" w:type="dxa"/>
              <w:bottom w:w="15" w:type="dxa"/>
              <w:right w:w="15" w:type="dxa"/>
            </w:tcMar>
            <w:vAlign w:val="center"/>
          </w:tcPr>
          <w:p w14:paraId="4A3250DA">
            <w:pPr>
              <w:tabs>
                <w:tab w:val="left" w:pos="0"/>
              </w:tabs>
              <w:spacing w:line="360" w:lineRule="auto"/>
              <w:ind w:firstLine="482" w:firstLineChars="200"/>
              <w:rPr>
                <w:rFonts w:ascii="宋体" w:hAnsi="宋体" w:cs="宋体"/>
                <w:b/>
                <w:bCs/>
                <w:kern w:val="0"/>
                <w:sz w:val="24"/>
              </w:rPr>
            </w:pPr>
            <w:r>
              <w:rPr>
                <w:rFonts w:hint="eastAsia" w:ascii="宋体" w:hAnsi="宋体" w:cs="宋体"/>
                <w:b/>
                <w:bCs/>
                <w:kern w:val="0"/>
                <w:sz w:val="24"/>
              </w:rPr>
              <w:t>注意：</w:t>
            </w:r>
          </w:p>
          <w:p w14:paraId="4F2E38DC">
            <w:pPr>
              <w:tabs>
                <w:tab w:val="left" w:pos="0"/>
              </w:tabs>
              <w:spacing w:line="360" w:lineRule="auto"/>
              <w:ind w:firstLine="482" w:firstLineChars="200"/>
              <w:rPr>
                <w:rFonts w:ascii="Calibri" w:hAnsi="宋体" w:cs="宋体"/>
                <w:b/>
                <w:bCs/>
                <w:kern w:val="0"/>
                <w:sz w:val="24"/>
              </w:rPr>
            </w:pPr>
            <w:r>
              <w:rPr>
                <w:rFonts w:hint="eastAsia" w:ascii="Calibri" w:hAnsi="宋体" w:cs="宋体"/>
                <w:b/>
                <w:bCs/>
                <w:kern w:val="0"/>
                <w:sz w:val="24"/>
              </w:rPr>
              <w:t>投标人技术标的最终得分为所有评委打分汇总后的算术平均值。</w:t>
            </w:r>
          </w:p>
          <w:p w14:paraId="6186C43B">
            <w:pPr>
              <w:tabs>
                <w:tab w:val="left" w:pos="0"/>
              </w:tabs>
              <w:spacing w:line="360" w:lineRule="auto"/>
              <w:ind w:firstLine="482" w:firstLineChars="200"/>
              <w:rPr>
                <w:rFonts w:ascii="Calibri" w:hAnsi="宋体" w:cs="宋体"/>
                <w:b/>
                <w:bCs/>
                <w:kern w:val="0"/>
                <w:sz w:val="24"/>
              </w:rPr>
            </w:pPr>
            <w:r>
              <w:rPr>
                <w:rFonts w:hint="eastAsia" w:ascii="Calibri" w:hAnsi="宋体" w:cs="宋体"/>
                <w:b/>
                <w:bCs/>
                <w:kern w:val="0"/>
                <w:sz w:val="24"/>
              </w:rPr>
              <w:t>技术标根据评分办法进行打分，技术标评标小组推荐至少3家技术得分60分以上的投标人进入商务标。技术入围投标人不足三家时，本次按废标处理，招标人有权根据招标采购管理流程重新组织招标。</w:t>
            </w:r>
          </w:p>
          <w:p w14:paraId="11CE9E10">
            <w:pPr>
              <w:tabs>
                <w:tab w:val="left" w:pos="0"/>
              </w:tabs>
              <w:ind w:firstLine="482" w:firstLineChars="200"/>
              <w:rPr>
                <w:rFonts w:ascii="宋体" w:hAnsi="宋体" w:cs="宋体"/>
                <w:sz w:val="24"/>
              </w:rPr>
            </w:pPr>
            <w:r>
              <w:rPr>
                <w:rFonts w:hint="eastAsia" w:ascii="Calibri" w:hAnsi="宋体" w:cs="宋体"/>
                <w:b/>
                <w:bCs/>
                <w:kern w:val="0"/>
                <w:sz w:val="24"/>
              </w:rPr>
              <w:t>技术标得分占比40%，计入最终评分。</w:t>
            </w:r>
          </w:p>
        </w:tc>
      </w:tr>
    </w:tbl>
    <w:p w14:paraId="1E6C1C01">
      <w:pPr>
        <w:tabs>
          <w:tab w:val="left" w:pos="0"/>
        </w:tabs>
        <w:spacing w:line="360" w:lineRule="auto"/>
        <w:ind w:firstLine="480" w:firstLineChars="200"/>
        <w:rPr>
          <w:rFonts w:ascii="Calibri" w:hAnsi="宋体" w:cs="宋体"/>
          <w:kern w:val="0"/>
          <w:sz w:val="24"/>
        </w:rPr>
      </w:pPr>
    </w:p>
    <w:p w14:paraId="0BF0E843">
      <w:pPr>
        <w:tabs>
          <w:tab w:val="left" w:pos="0"/>
        </w:tabs>
        <w:spacing w:line="360" w:lineRule="auto"/>
        <w:ind w:firstLine="480" w:firstLineChars="200"/>
        <w:rPr>
          <w:rFonts w:ascii="Calibri" w:hAnsi="宋体" w:cs="宋体"/>
          <w:kern w:val="0"/>
          <w:sz w:val="24"/>
        </w:rPr>
      </w:pPr>
    </w:p>
    <w:p w14:paraId="2363898A">
      <w:pPr>
        <w:tabs>
          <w:tab w:val="left" w:pos="0"/>
        </w:tabs>
        <w:spacing w:line="360" w:lineRule="auto"/>
        <w:ind w:firstLine="480" w:firstLineChars="200"/>
        <w:rPr>
          <w:rFonts w:ascii="Calibri" w:hAnsi="宋体" w:cs="宋体"/>
          <w:kern w:val="0"/>
          <w:sz w:val="24"/>
        </w:rPr>
      </w:pPr>
    </w:p>
    <w:p w14:paraId="5B8BF691">
      <w:pPr>
        <w:tabs>
          <w:tab w:val="left" w:pos="0"/>
        </w:tabs>
        <w:spacing w:line="360" w:lineRule="auto"/>
        <w:ind w:firstLine="480" w:firstLineChars="200"/>
      </w:pPr>
      <w:r>
        <w:rPr>
          <w:rFonts w:hint="eastAsia" w:ascii="Calibri" w:hAnsi="宋体" w:cs="宋体"/>
          <w:kern w:val="0"/>
          <w:sz w:val="24"/>
        </w:rPr>
        <w:t>商务标评分标准如下：</w:t>
      </w:r>
    </w:p>
    <w:tbl>
      <w:tblPr>
        <w:tblStyle w:val="25"/>
        <w:tblW w:w="94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9"/>
        <w:gridCol w:w="1427"/>
        <w:gridCol w:w="6095"/>
        <w:gridCol w:w="644"/>
      </w:tblGrid>
      <w:tr w14:paraId="08DDD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89" w:type="dxa"/>
            <w:tcMar>
              <w:top w:w="15" w:type="dxa"/>
              <w:left w:w="15" w:type="dxa"/>
              <w:bottom w:w="15" w:type="dxa"/>
              <w:right w:w="15" w:type="dxa"/>
            </w:tcMar>
            <w:vAlign w:val="center"/>
          </w:tcPr>
          <w:p w14:paraId="702EF51E">
            <w:pPr>
              <w:widowControl/>
              <w:spacing w:line="360" w:lineRule="auto"/>
              <w:jc w:val="center"/>
              <w:textAlignment w:val="center"/>
              <w:rPr>
                <w:rFonts w:ascii="宋体" w:hAnsi="宋体" w:cs="宋体"/>
                <w:b/>
                <w:sz w:val="24"/>
              </w:rPr>
            </w:pPr>
            <w:r>
              <w:rPr>
                <w:rFonts w:hint="eastAsia" w:ascii="宋体" w:hAnsi="宋体" w:cs="宋体"/>
                <w:b/>
                <w:kern w:val="0"/>
                <w:sz w:val="24"/>
              </w:rPr>
              <w:t>评分项目</w:t>
            </w:r>
          </w:p>
        </w:tc>
        <w:tc>
          <w:tcPr>
            <w:tcW w:w="1427" w:type="dxa"/>
            <w:tcMar>
              <w:top w:w="15" w:type="dxa"/>
              <w:left w:w="15" w:type="dxa"/>
              <w:bottom w:w="15" w:type="dxa"/>
              <w:right w:w="15" w:type="dxa"/>
            </w:tcMar>
            <w:vAlign w:val="center"/>
          </w:tcPr>
          <w:p w14:paraId="212F8EF2">
            <w:pPr>
              <w:widowControl/>
              <w:spacing w:line="360" w:lineRule="auto"/>
              <w:jc w:val="center"/>
              <w:textAlignment w:val="center"/>
              <w:rPr>
                <w:rFonts w:ascii="宋体" w:hAnsi="宋体" w:cs="宋体"/>
                <w:b/>
                <w:kern w:val="0"/>
                <w:sz w:val="24"/>
              </w:rPr>
            </w:pPr>
            <w:r>
              <w:rPr>
                <w:rFonts w:hint="eastAsia" w:ascii="宋体" w:hAnsi="宋体" w:cs="宋体"/>
                <w:b/>
                <w:kern w:val="0"/>
                <w:sz w:val="24"/>
              </w:rPr>
              <w:t>评分因素</w:t>
            </w:r>
          </w:p>
        </w:tc>
        <w:tc>
          <w:tcPr>
            <w:tcW w:w="6095" w:type="dxa"/>
            <w:tcMar>
              <w:top w:w="15" w:type="dxa"/>
              <w:left w:w="15" w:type="dxa"/>
              <w:bottom w:w="15" w:type="dxa"/>
              <w:right w:w="15" w:type="dxa"/>
            </w:tcMar>
            <w:vAlign w:val="center"/>
          </w:tcPr>
          <w:p w14:paraId="3FAE8258">
            <w:pPr>
              <w:widowControl/>
              <w:spacing w:line="360" w:lineRule="auto"/>
              <w:jc w:val="center"/>
              <w:textAlignment w:val="center"/>
              <w:rPr>
                <w:rFonts w:ascii="宋体" w:hAnsi="宋体" w:cs="宋体"/>
                <w:b/>
                <w:sz w:val="24"/>
              </w:rPr>
            </w:pPr>
            <w:r>
              <w:rPr>
                <w:rFonts w:hint="eastAsia" w:ascii="宋体" w:hAnsi="宋体" w:cs="宋体"/>
                <w:b/>
                <w:kern w:val="0"/>
                <w:sz w:val="24"/>
              </w:rPr>
              <w:t>说明</w:t>
            </w:r>
          </w:p>
        </w:tc>
        <w:tc>
          <w:tcPr>
            <w:tcW w:w="644" w:type="dxa"/>
            <w:tcMar>
              <w:top w:w="15" w:type="dxa"/>
              <w:left w:w="15" w:type="dxa"/>
              <w:bottom w:w="15" w:type="dxa"/>
              <w:right w:w="15" w:type="dxa"/>
            </w:tcMar>
            <w:vAlign w:val="center"/>
          </w:tcPr>
          <w:p w14:paraId="64041737">
            <w:pPr>
              <w:widowControl/>
              <w:spacing w:line="360" w:lineRule="auto"/>
              <w:jc w:val="center"/>
              <w:textAlignment w:val="center"/>
              <w:rPr>
                <w:rFonts w:ascii="宋体" w:hAnsi="宋体" w:cs="宋体"/>
                <w:b/>
                <w:sz w:val="24"/>
              </w:rPr>
            </w:pPr>
            <w:r>
              <w:rPr>
                <w:rFonts w:hint="eastAsia" w:ascii="宋体" w:hAnsi="宋体" w:cs="宋体"/>
                <w:b/>
                <w:kern w:val="0"/>
                <w:sz w:val="24"/>
              </w:rPr>
              <w:t>分值分配</w:t>
            </w:r>
          </w:p>
        </w:tc>
      </w:tr>
      <w:tr w14:paraId="4282C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1289" w:type="dxa"/>
            <w:tcMar>
              <w:top w:w="15" w:type="dxa"/>
              <w:left w:w="15" w:type="dxa"/>
              <w:bottom w:w="15" w:type="dxa"/>
              <w:right w:w="15" w:type="dxa"/>
            </w:tcMar>
            <w:vAlign w:val="center"/>
          </w:tcPr>
          <w:p w14:paraId="490C1AFA">
            <w:pPr>
              <w:widowControl/>
              <w:spacing w:line="360" w:lineRule="auto"/>
              <w:jc w:val="center"/>
              <w:textAlignment w:val="center"/>
              <w:rPr>
                <w:rFonts w:ascii="宋体" w:hAnsi="宋体" w:cs="宋体"/>
                <w:b/>
                <w:sz w:val="24"/>
              </w:rPr>
            </w:pPr>
            <w:r>
              <w:rPr>
                <w:rFonts w:hint="eastAsia" w:ascii="宋体" w:hAnsi="宋体" w:cs="宋体"/>
                <w:b/>
                <w:kern w:val="0"/>
                <w:sz w:val="24"/>
              </w:rPr>
              <w:t>报价部分（100分）</w:t>
            </w:r>
          </w:p>
        </w:tc>
        <w:tc>
          <w:tcPr>
            <w:tcW w:w="1427" w:type="dxa"/>
            <w:tcMar>
              <w:top w:w="15" w:type="dxa"/>
              <w:left w:w="15" w:type="dxa"/>
              <w:bottom w:w="15" w:type="dxa"/>
              <w:right w:w="15" w:type="dxa"/>
            </w:tcMar>
            <w:vAlign w:val="center"/>
          </w:tcPr>
          <w:p w14:paraId="1728078A">
            <w:pPr>
              <w:spacing w:line="360" w:lineRule="auto"/>
              <w:jc w:val="center"/>
              <w:rPr>
                <w:rFonts w:ascii="宋体" w:hAnsi="宋体" w:cs="宋体"/>
                <w:szCs w:val="21"/>
              </w:rPr>
            </w:pPr>
            <w:r>
              <w:rPr>
                <w:rFonts w:hint="eastAsia" w:ascii="宋体" w:hAnsi="宋体" w:cs="宋体"/>
                <w:szCs w:val="21"/>
              </w:rPr>
              <w:t>最终报价</w:t>
            </w:r>
          </w:p>
        </w:tc>
        <w:tc>
          <w:tcPr>
            <w:tcW w:w="6095" w:type="dxa"/>
            <w:tcMar>
              <w:top w:w="15" w:type="dxa"/>
              <w:left w:w="15" w:type="dxa"/>
              <w:bottom w:w="15" w:type="dxa"/>
              <w:right w:w="15" w:type="dxa"/>
            </w:tcMar>
            <w:vAlign w:val="center"/>
          </w:tcPr>
          <w:p w14:paraId="3AF2E1DE">
            <w:pPr>
              <w:pStyle w:val="73"/>
              <w:spacing w:line="276" w:lineRule="auto"/>
              <w:ind w:firstLine="0" w:firstLineChars="0"/>
              <w:rPr>
                <w:rFonts w:ascii="宋体" w:hAnsi="宋体" w:eastAsia="宋体"/>
                <w:szCs w:val="21"/>
              </w:rPr>
            </w:pPr>
            <w:r>
              <w:rPr>
                <w:rFonts w:hint="eastAsia" w:ascii="宋体" w:hAnsi="宋体" w:eastAsia="宋体"/>
                <w:szCs w:val="21"/>
              </w:rPr>
              <w:t>1.项目设置上限拦标价，上限拦标价为18万元人民币（含税价），投标人应低于上限拦标价报价，否则视为无效报价。</w:t>
            </w:r>
          </w:p>
          <w:p w14:paraId="54B3020E">
            <w:pPr>
              <w:pStyle w:val="73"/>
              <w:spacing w:line="276" w:lineRule="auto"/>
              <w:ind w:firstLine="0" w:firstLineChars="0"/>
              <w:rPr>
                <w:rFonts w:ascii="宋体" w:hAnsi="宋体" w:eastAsia="宋体"/>
                <w:szCs w:val="21"/>
              </w:rPr>
            </w:pPr>
            <w:r>
              <w:rPr>
                <w:rFonts w:hint="eastAsia" w:ascii="宋体" w:hAnsi="宋体" w:eastAsia="宋体"/>
                <w:szCs w:val="21"/>
              </w:rPr>
              <w:t>2</w:t>
            </w:r>
            <w:r>
              <w:rPr>
                <w:rFonts w:ascii="宋体" w:hAnsi="宋体" w:eastAsia="宋体"/>
                <w:szCs w:val="21"/>
              </w:rPr>
              <w:t>.</w:t>
            </w:r>
            <w:r>
              <w:rPr>
                <w:rFonts w:hint="eastAsia" w:ascii="宋体" w:hAnsi="宋体" w:eastAsia="宋体"/>
                <w:szCs w:val="21"/>
              </w:rPr>
              <w:t>商务标采用多轮报价，开标唱标为公开报价，在重汽e采通进行提报。经初审合格且进入商务评标阶段的投标文件其投标报价为有效报价。</w:t>
            </w:r>
          </w:p>
          <w:p w14:paraId="168D3FB0">
            <w:pPr>
              <w:pStyle w:val="73"/>
              <w:widowControl/>
              <w:spacing w:line="276" w:lineRule="auto"/>
              <w:ind w:firstLine="0" w:firstLineChars="0"/>
              <w:rPr>
                <w:rFonts w:ascii="宋体" w:hAnsi="宋体" w:eastAsia="宋体"/>
                <w:szCs w:val="21"/>
              </w:rPr>
            </w:pPr>
            <w:r>
              <w:rPr>
                <w:rFonts w:hint="eastAsia" w:ascii="宋体" w:hAnsi="宋体" w:eastAsia="宋体"/>
                <w:szCs w:val="21"/>
              </w:rPr>
              <w:t>3</w:t>
            </w:r>
            <w:r>
              <w:rPr>
                <w:rFonts w:ascii="宋体" w:hAnsi="宋体" w:eastAsia="宋体"/>
                <w:szCs w:val="21"/>
              </w:rPr>
              <w:t>.</w:t>
            </w:r>
            <w:r>
              <w:rPr>
                <w:rFonts w:hint="eastAsia" w:ascii="宋体" w:hAnsi="宋体" w:eastAsia="宋体"/>
                <w:szCs w:val="21"/>
              </w:rPr>
              <w:t>满足招标文件要求且投标报价最低的投标报价为评标基准价，其价格分为100分（标准分）。其他投标方的价格分统一按照下列公式计算：投标报价得分=（评标基准价／投标报价）×100分。</w:t>
            </w:r>
          </w:p>
          <w:p w14:paraId="6EEFB474">
            <w:pPr>
              <w:pStyle w:val="73"/>
              <w:ind w:firstLine="0" w:firstLineChars="0"/>
              <w:rPr>
                <w:rFonts w:ascii="宋体" w:hAnsi="宋体" w:eastAsia="宋体"/>
                <w:szCs w:val="21"/>
              </w:rPr>
            </w:pPr>
            <w:r>
              <w:rPr>
                <w:rFonts w:ascii="宋体" w:hAnsi="宋体" w:eastAsia="宋体"/>
                <w:szCs w:val="21"/>
              </w:rPr>
              <w:t>4</w:t>
            </w:r>
            <w:r>
              <w:rPr>
                <w:rFonts w:hint="eastAsia" w:ascii="宋体" w:hAnsi="宋体" w:eastAsia="宋体"/>
                <w:szCs w:val="21"/>
              </w:rPr>
              <w:t>.评标价格均以元（RMB）为单位计算。</w:t>
            </w:r>
          </w:p>
          <w:p w14:paraId="7FC5F3CC">
            <w:pPr>
              <w:pStyle w:val="73"/>
              <w:widowControl/>
              <w:spacing w:line="276" w:lineRule="auto"/>
              <w:ind w:firstLine="0" w:firstLineChars="0"/>
              <w:rPr>
                <w:rFonts w:ascii="宋体" w:hAnsi="宋体" w:eastAsia="宋体"/>
                <w:szCs w:val="21"/>
              </w:rPr>
            </w:pPr>
            <w:r>
              <w:rPr>
                <w:rFonts w:hint="eastAsia" w:ascii="宋体" w:hAnsi="宋体" w:eastAsia="宋体"/>
                <w:szCs w:val="21"/>
              </w:rPr>
              <w:t>注意：每一轮填报澄清报价均有时间限制，投标人应关注e采通本轮报价截止时间，到点后未能提交的按无效处理。</w:t>
            </w:r>
          </w:p>
        </w:tc>
        <w:tc>
          <w:tcPr>
            <w:tcW w:w="644" w:type="dxa"/>
            <w:tcMar>
              <w:top w:w="15" w:type="dxa"/>
              <w:left w:w="15" w:type="dxa"/>
              <w:bottom w:w="15" w:type="dxa"/>
              <w:right w:w="15" w:type="dxa"/>
            </w:tcMar>
            <w:vAlign w:val="center"/>
          </w:tcPr>
          <w:p w14:paraId="442919BE">
            <w:pPr>
              <w:widowControl/>
              <w:spacing w:line="360" w:lineRule="auto"/>
              <w:jc w:val="center"/>
              <w:textAlignment w:val="center"/>
              <w:rPr>
                <w:rFonts w:ascii="宋体" w:hAnsi="宋体" w:cs="宋体"/>
                <w:sz w:val="24"/>
              </w:rPr>
            </w:pPr>
            <w:r>
              <w:rPr>
                <w:rFonts w:hint="eastAsia" w:ascii="宋体" w:hAnsi="宋体" w:cs="宋体"/>
                <w:sz w:val="24"/>
              </w:rPr>
              <w:t>100</w:t>
            </w:r>
          </w:p>
        </w:tc>
      </w:tr>
      <w:tr w14:paraId="691D9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 w:hRule="atLeast"/>
          <w:jc w:val="center"/>
        </w:trPr>
        <w:tc>
          <w:tcPr>
            <w:tcW w:w="8811" w:type="dxa"/>
            <w:gridSpan w:val="3"/>
            <w:tcMar>
              <w:top w:w="15" w:type="dxa"/>
              <w:left w:w="15" w:type="dxa"/>
              <w:bottom w:w="15" w:type="dxa"/>
              <w:right w:w="15" w:type="dxa"/>
            </w:tcMar>
            <w:vAlign w:val="center"/>
          </w:tcPr>
          <w:p w14:paraId="0030C471">
            <w:pPr>
              <w:pStyle w:val="73"/>
              <w:widowControl/>
              <w:spacing w:line="276" w:lineRule="auto"/>
              <w:ind w:firstLine="0" w:firstLineChars="0"/>
              <w:jc w:val="center"/>
              <w:rPr>
                <w:rFonts w:ascii="宋体" w:hAnsi="宋体" w:cs="宋体"/>
                <w:sz w:val="24"/>
              </w:rPr>
            </w:pPr>
            <w:r>
              <w:rPr>
                <w:rFonts w:hint="eastAsia" w:ascii="宋体" w:hAnsi="宋体" w:cs="宋体"/>
                <w:kern w:val="0"/>
                <w:sz w:val="24"/>
              </w:rPr>
              <w:t>合计</w:t>
            </w:r>
          </w:p>
        </w:tc>
        <w:tc>
          <w:tcPr>
            <w:tcW w:w="644" w:type="dxa"/>
            <w:tcMar>
              <w:top w:w="15" w:type="dxa"/>
              <w:left w:w="15" w:type="dxa"/>
              <w:bottom w:w="15" w:type="dxa"/>
              <w:right w:w="15" w:type="dxa"/>
            </w:tcMar>
            <w:vAlign w:val="center"/>
          </w:tcPr>
          <w:p w14:paraId="4D64E945">
            <w:pPr>
              <w:pStyle w:val="73"/>
              <w:widowControl/>
              <w:spacing w:line="360" w:lineRule="auto"/>
              <w:ind w:firstLine="0" w:firstLineChars="0"/>
              <w:jc w:val="center"/>
              <w:rPr>
                <w:rFonts w:ascii="宋体" w:hAnsi="宋体" w:cs="宋体"/>
                <w:sz w:val="24"/>
              </w:rPr>
            </w:pPr>
            <w:r>
              <w:rPr>
                <w:rFonts w:hint="eastAsia" w:ascii="宋体" w:hAnsi="宋体" w:cs="宋体"/>
                <w:sz w:val="24"/>
              </w:rPr>
              <w:t>100</w:t>
            </w:r>
          </w:p>
        </w:tc>
      </w:tr>
      <w:tr w14:paraId="3FBD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 w:hRule="atLeast"/>
          <w:jc w:val="center"/>
        </w:trPr>
        <w:tc>
          <w:tcPr>
            <w:tcW w:w="9455" w:type="dxa"/>
            <w:gridSpan w:val="4"/>
            <w:tcMar>
              <w:top w:w="15" w:type="dxa"/>
              <w:left w:w="15" w:type="dxa"/>
              <w:bottom w:w="15" w:type="dxa"/>
              <w:right w:w="15" w:type="dxa"/>
            </w:tcMar>
            <w:vAlign w:val="center"/>
          </w:tcPr>
          <w:p w14:paraId="306E3A62">
            <w:pPr>
              <w:tabs>
                <w:tab w:val="left" w:pos="0"/>
              </w:tabs>
              <w:ind w:firstLine="482" w:firstLineChars="200"/>
              <w:rPr>
                <w:rFonts w:ascii="Calibri" w:hAnsi="宋体" w:cs="宋体"/>
                <w:b/>
                <w:bCs/>
                <w:kern w:val="0"/>
                <w:sz w:val="24"/>
              </w:rPr>
            </w:pPr>
            <w:r>
              <w:rPr>
                <w:rFonts w:hint="eastAsia" w:ascii="Calibri" w:hAnsi="宋体" w:cs="宋体"/>
                <w:b/>
                <w:bCs/>
                <w:kern w:val="0"/>
                <w:sz w:val="24"/>
              </w:rPr>
              <w:t>注意：</w:t>
            </w:r>
          </w:p>
          <w:p w14:paraId="21B9EA3D">
            <w:pPr>
              <w:tabs>
                <w:tab w:val="left" w:pos="0"/>
              </w:tabs>
              <w:ind w:firstLine="480"/>
              <w:rPr>
                <w:rFonts w:ascii="Calibri" w:hAnsi="宋体" w:cs="宋体"/>
                <w:b/>
                <w:bCs/>
                <w:kern w:val="0"/>
                <w:sz w:val="24"/>
              </w:rPr>
            </w:pPr>
            <w:r>
              <w:rPr>
                <w:rFonts w:hint="eastAsia" w:ascii="Calibri" w:hAnsi="宋体" w:cs="宋体"/>
                <w:b/>
                <w:bCs/>
                <w:kern w:val="0"/>
                <w:sz w:val="24"/>
              </w:rPr>
              <w:t>商务标得分占比 60%，计入最终评分。</w:t>
            </w:r>
          </w:p>
          <w:p w14:paraId="2DFBCC25">
            <w:pPr>
              <w:tabs>
                <w:tab w:val="left" w:pos="0"/>
              </w:tabs>
              <w:ind w:firstLine="482" w:firstLineChars="200"/>
              <w:rPr>
                <w:rFonts w:ascii="Calibri" w:hAnsi="宋体" w:cs="宋体"/>
                <w:b/>
                <w:bCs/>
                <w:kern w:val="0"/>
                <w:sz w:val="24"/>
              </w:rPr>
            </w:pPr>
          </w:p>
        </w:tc>
      </w:tr>
    </w:tbl>
    <w:p w14:paraId="7539FD5F">
      <w:pPr>
        <w:spacing w:line="360" w:lineRule="auto"/>
        <w:ind w:firstLine="482" w:firstLineChars="200"/>
        <w:rPr>
          <w:rFonts w:ascii="Calibri" w:hAnsi="Calibri" w:cs="宋体"/>
          <w:b/>
          <w:bCs/>
          <w:kern w:val="0"/>
          <w:sz w:val="24"/>
        </w:rPr>
      </w:pPr>
      <w:r>
        <w:rPr>
          <w:rFonts w:hint="eastAsia" w:ascii="Calibri" w:hAnsi="Calibri" w:cs="宋体"/>
          <w:b/>
          <w:bCs/>
          <w:kern w:val="0"/>
          <w:sz w:val="24"/>
        </w:rPr>
        <w:t>备注：</w:t>
      </w:r>
    </w:p>
    <w:p w14:paraId="5E1C37D7">
      <w:pPr>
        <w:spacing w:line="360" w:lineRule="auto"/>
        <w:ind w:firstLine="480" w:firstLineChars="200"/>
        <w:rPr>
          <w:rFonts w:ascii="Calibri" w:hAnsi="Calibri" w:cs="宋体"/>
          <w:kern w:val="0"/>
          <w:sz w:val="24"/>
        </w:rPr>
      </w:pPr>
      <w:r>
        <w:rPr>
          <w:rFonts w:hint="eastAsia" w:ascii="Calibri" w:hAnsi="Calibri" w:cs="宋体"/>
          <w:kern w:val="0"/>
          <w:sz w:val="24"/>
        </w:rPr>
        <w:t>1）涉及具体项目经验的，需提供符合要求项目的包含名称、有效期、签章等信息的合同复印件作为证明材料。</w:t>
      </w:r>
    </w:p>
    <w:p w14:paraId="503B1729">
      <w:pPr>
        <w:spacing w:line="360" w:lineRule="auto"/>
        <w:ind w:firstLine="480" w:firstLineChars="200"/>
        <w:rPr>
          <w:rFonts w:ascii="Calibri" w:hAnsi="Calibri" w:cs="宋体"/>
          <w:kern w:val="0"/>
          <w:sz w:val="24"/>
        </w:rPr>
      </w:pPr>
      <w:r>
        <w:rPr>
          <w:rFonts w:hint="eastAsia" w:ascii="Calibri" w:hAnsi="Calibri" w:cs="宋体"/>
          <w:kern w:val="0"/>
          <w:sz w:val="24"/>
        </w:rPr>
        <w:t>2）百分率、得分值小数点后保留两位，第三位四舍五入。</w:t>
      </w:r>
      <w:bookmarkStart w:id="334" w:name="_Toc265850581"/>
      <w:bookmarkStart w:id="335" w:name="_Toc234922356"/>
      <w:bookmarkStart w:id="336" w:name="_Toc264881861"/>
      <w:bookmarkStart w:id="337" w:name="_Toc95148190"/>
      <w:bookmarkStart w:id="338" w:name="_Toc74143849"/>
    </w:p>
    <w:p w14:paraId="7BDA3259">
      <w:pPr>
        <w:ind w:firstLine="482" w:firstLineChars="200"/>
        <w:rPr>
          <w:rFonts w:cs="宋体"/>
          <w:b/>
          <w:bCs/>
          <w:kern w:val="0"/>
          <w:sz w:val="24"/>
        </w:rPr>
      </w:pPr>
      <w:bookmarkStart w:id="339" w:name="_Toc109031563"/>
      <w:r>
        <w:rPr>
          <w:rFonts w:cs="宋体"/>
          <w:b/>
          <w:bCs/>
          <w:kern w:val="0"/>
          <w:sz w:val="24"/>
        </w:rPr>
        <w:t>7.4中标</w:t>
      </w:r>
      <w:bookmarkEnd w:id="334"/>
      <w:bookmarkEnd w:id="335"/>
      <w:bookmarkEnd w:id="336"/>
      <w:r>
        <w:rPr>
          <w:rFonts w:cs="宋体"/>
          <w:b/>
          <w:bCs/>
          <w:kern w:val="0"/>
          <w:sz w:val="24"/>
        </w:rPr>
        <w:t>及合同签订</w:t>
      </w:r>
      <w:bookmarkEnd w:id="337"/>
      <w:bookmarkEnd w:id="338"/>
      <w:bookmarkEnd w:id="339"/>
    </w:p>
    <w:p w14:paraId="35CB27BE">
      <w:pPr>
        <w:spacing w:line="360" w:lineRule="auto"/>
        <w:ind w:firstLine="482" w:firstLineChars="200"/>
        <w:rPr>
          <w:rFonts w:ascii="Calibri" w:hAnsi="Calibri" w:cs="宋体"/>
          <w:kern w:val="0"/>
          <w:sz w:val="24"/>
        </w:rPr>
      </w:pPr>
      <w:r>
        <w:rPr>
          <w:rFonts w:hint="eastAsia" w:ascii="Calibri" w:hAnsi="Calibri" w:cs="宋体"/>
          <w:b/>
          <w:bCs/>
          <w:kern w:val="0"/>
          <w:sz w:val="24"/>
        </w:rPr>
        <w:t>1）技术部分在总分值占比 40%，商务部分占比60%，按照最终总分由高到低排序，推荐得分最高的投标人中标，不承诺最低价中标。</w:t>
      </w:r>
    </w:p>
    <w:p w14:paraId="41E25F31">
      <w:pPr>
        <w:spacing w:line="360" w:lineRule="auto"/>
        <w:ind w:firstLine="480" w:firstLineChars="200"/>
        <w:rPr>
          <w:rFonts w:ascii="Calibri" w:hAnsi="Calibri" w:cs="宋体"/>
          <w:kern w:val="0"/>
          <w:sz w:val="24"/>
        </w:rPr>
      </w:pPr>
      <w:r>
        <w:rPr>
          <w:rFonts w:hint="eastAsia" w:ascii="Calibri" w:hAnsi="Calibri" w:cs="宋体"/>
          <w:kern w:val="0"/>
          <w:sz w:val="24"/>
        </w:rPr>
        <w:t>2）</w:t>
      </w:r>
      <w:r>
        <w:rPr>
          <w:rFonts w:ascii="Calibri" w:hAnsi="Calibri" w:cs="宋体"/>
          <w:kern w:val="0"/>
          <w:sz w:val="24"/>
        </w:rPr>
        <w:t>本项目产生一个中标人。</w:t>
      </w:r>
    </w:p>
    <w:p w14:paraId="50D204FA">
      <w:pPr>
        <w:spacing w:line="360" w:lineRule="auto"/>
        <w:ind w:firstLine="480" w:firstLineChars="200"/>
        <w:rPr>
          <w:rFonts w:ascii="Calibri" w:hAnsi="Calibri" w:cs="宋体"/>
          <w:kern w:val="0"/>
          <w:sz w:val="24"/>
        </w:rPr>
      </w:pPr>
      <w:r>
        <w:rPr>
          <w:rFonts w:hint="eastAsia" w:ascii="Calibri" w:hAnsi="Calibri" w:cs="宋体"/>
          <w:kern w:val="0"/>
          <w:sz w:val="24"/>
        </w:rPr>
        <w:t>3）</w:t>
      </w:r>
      <w:r>
        <w:rPr>
          <w:rFonts w:ascii="Calibri" w:hAnsi="Calibri" w:cs="宋体"/>
          <w:kern w:val="0"/>
          <w:sz w:val="24"/>
        </w:rPr>
        <w:t>招标人发送中标通知给中标人，中标人应及时与招标人联系，在中标通知书发出之日起30日内与项目实施单位签订合同。如果中标人接到中标通知后，无不正当理由拒签合同、在签订合同时向招标人提出无理附加条件的，取消该投标人的入围资格，该投标人2年不得参与中国重型汽车集团有限公司及其关联公司发布的招投标项目。</w:t>
      </w:r>
    </w:p>
    <w:p w14:paraId="54C7FF86">
      <w:pPr>
        <w:spacing w:line="360" w:lineRule="auto"/>
        <w:ind w:firstLine="480" w:firstLineChars="200"/>
        <w:rPr>
          <w:rFonts w:ascii="Calibri" w:hAnsi="Calibri" w:cs="宋体"/>
          <w:kern w:val="0"/>
          <w:sz w:val="24"/>
        </w:rPr>
      </w:pPr>
      <w:r>
        <w:rPr>
          <w:rFonts w:hint="eastAsia" w:ascii="Calibri" w:hAnsi="Calibri" w:cs="宋体"/>
          <w:kern w:val="0"/>
          <w:sz w:val="24"/>
        </w:rPr>
        <w:t>4）</w:t>
      </w:r>
      <w:r>
        <w:rPr>
          <w:rFonts w:ascii="Calibri" w:hAnsi="Calibri" w:cs="宋体"/>
          <w:kern w:val="0"/>
          <w:sz w:val="24"/>
        </w:rPr>
        <w:t>中标人应当按照合同约定的履约责任，在保证质量的前提下完成中标项目，不得将中标项目转包或分包给他人，否则视为违约，招标人有权解除合同。</w:t>
      </w:r>
    </w:p>
    <w:p w14:paraId="5F11A3D3">
      <w:pPr>
        <w:spacing w:line="360" w:lineRule="auto"/>
        <w:ind w:firstLine="480" w:firstLineChars="200"/>
        <w:rPr>
          <w:rFonts w:ascii="Calibri" w:hAnsi="Calibri" w:cs="宋体"/>
          <w:kern w:val="0"/>
          <w:sz w:val="24"/>
        </w:rPr>
      </w:pPr>
      <w:r>
        <w:rPr>
          <w:rFonts w:hint="eastAsia" w:ascii="Calibri" w:hAnsi="Calibri" w:cs="宋体"/>
          <w:kern w:val="0"/>
          <w:sz w:val="24"/>
        </w:rPr>
        <w:t>5）</w:t>
      </w:r>
      <w:r>
        <w:rPr>
          <w:rFonts w:ascii="Calibri" w:hAnsi="Calibri" w:cs="宋体"/>
          <w:kern w:val="0"/>
          <w:sz w:val="24"/>
        </w:rPr>
        <w:t>在履行合同过程中，中标人由于履行义务的能力或信用有严重缺陷，招标人有权取消其中标资格，招标人将从中标候选单位中依序重新确定中标人，或重新组织招标。</w:t>
      </w:r>
    </w:p>
    <w:p w14:paraId="2020450A">
      <w:pPr>
        <w:ind w:firstLine="482" w:firstLineChars="200"/>
        <w:rPr>
          <w:rFonts w:cs="宋体"/>
          <w:b/>
          <w:bCs/>
          <w:kern w:val="0"/>
          <w:sz w:val="24"/>
        </w:rPr>
      </w:pPr>
      <w:bookmarkStart w:id="340" w:name="_Toc74143850"/>
      <w:bookmarkStart w:id="341" w:name="_Toc95148191"/>
      <w:bookmarkStart w:id="342" w:name="_Toc109031564"/>
      <w:r>
        <w:rPr>
          <w:rFonts w:hint="eastAsia" w:cs="宋体"/>
          <w:b/>
          <w:bCs/>
          <w:kern w:val="0"/>
          <w:sz w:val="24"/>
        </w:rPr>
        <w:t>7.5</w:t>
      </w:r>
      <w:r>
        <w:rPr>
          <w:rFonts w:cs="宋体"/>
          <w:b/>
          <w:bCs/>
          <w:kern w:val="0"/>
          <w:sz w:val="24"/>
        </w:rPr>
        <w:t>废标</w:t>
      </w:r>
      <w:bookmarkEnd w:id="340"/>
      <w:bookmarkEnd w:id="341"/>
      <w:bookmarkEnd w:id="342"/>
    </w:p>
    <w:p w14:paraId="704D68F9">
      <w:pPr>
        <w:spacing w:line="360" w:lineRule="auto"/>
        <w:ind w:firstLine="480" w:firstLineChars="200"/>
        <w:rPr>
          <w:rFonts w:ascii="Calibri" w:hAnsi="Calibri" w:cs="宋体"/>
          <w:kern w:val="0"/>
          <w:sz w:val="24"/>
        </w:rPr>
      </w:pPr>
      <w:r>
        <w:rPr>
          <w:rFonts w:hint="eastAsia" w:ascii="Calibri" w:hAnsi="Calibri" w:cs="宋体"/>
          <w:kern w:val="0"/>
          <w:sz w:val="24"/>
        </w:rPr>
        <w:t>7.5.1</w:t>
      </w:r>
      <w:r>
        <w:rPr>
          <w:rFonts w:ascii="Calibri" w:hAnsi="Calibri" w:cs="宋体"/>
          <w:kern w:val="0"/>
          <w:sz w:val="24"/>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079AA633">
      <w:pPr>
        <w:spacing w:line="520" w:lineRule="exact"/>
        <w:ind w:right="2" w:firstLine="480" w:firstLineChars="200"/>
        <w:rPr>
          <w:rFonts w:ascii="宋体" w:hAnsi="Courier New" w:cs="宋体"/>
          <w:sz w:val="24"/>
          <w:szCs w:val="22"/>
        </w:rPr>
      </w:pPr>
      <w:r>
        <w:rPr>
          <w:rFonts w:hint="eastAsia" w:ascii="宋体" w:hAnsi="Courier New" w:cs="宋体"/>
          <w:sz w:val="24"/>
          <w:szCs w:val="22"/>
        </w:rPr>
        <w:t>1）投标人提供的有关资格、资质证明文件不合格、不真实或提供虚假投标材料；</w:t>
      </w:r>
    </w:p>
    <w:p w14:paraId="7AD1B7A0">
      <w:pPr>
        <w:spacing w:line="520" w:lineRule="exact"/>
        <w:ind w:right="2" w:firstLine="480" w:firstLineChars="200"/>
        <w:rPr>
          <w:rFonts w:ascii="宋体" w:hAnsi="Courier New" w:cs="宋体"/>
          <w:sz w:val="24"/>
          <w:szCs w:val="22"/>
        </w:rPr>
      </w:pPr>
      <w:r>
        <w:rPr>
          <w:rFonts w:hint="eastAsia" w:ascii="宋体" w:hAnsi="Courier New" w:cs="宋体"/>
          <w:sz w:val="24"/>
          <w:szCs w:val="22"/>
        </w:rPr>
        <w:t>2）投标人在报价有效期内撤回投标；</w:t>
      </w:r>
    </w:p>
    <w:p w14:paraId="524FB5E1">
      <w:pPr>
        <w:spacing w:line="520" w:lineRule="exact"/>
        <w:ind w:right="2" w:firstLine="480" w:firstLineChars="200"/>
        <w:rPr>
          <w:rFonts w:ascii="宋体" w:hAnsi="Courier New" w:cs="宋体"/>
          <w:sz w:val="24"/>
          <w:szCs w:val="22"/>
        </w:rPr>
      </w:pPr>
      <w:r>
        <w:rPr>
          <w:rFonts w:hint="eastAsia" w:ascii="宋体" w:hAnsi="Courier New" w:cs="宋体"/>
          <w:sz w:val="24"/>
          <w:szCs w:val="22"/>
        </w:rPr>
        <w:t>3）在整个评标过程中，投标人有企图影响评标结果公正性的任何活动；</w:t>
      </w:r>
    </w:p>
    <w:p w14:paraId="1F7614ED">
      <w:pPr>
        <w:spacing w:line="520" w:lineRule="exact"/>
        <w:ind w:right="2" w:firstLine="480" w:firstLineChars="200"/>
        <w:rPr>
          <w:rFonts w:ascii="宋体" w:hAnsi="Courier New" w:cs="宋体"/>
          <w:sz w:val="24"/>
          <w:szCs w:val="22"/>
        </w:rPr>
      </w:pPr>
      <w:r>
        <w:rPr>
          <w:rFonts w:hint="eastAsia" w:ascii="宋体" w:hAnsi="Courier New" w:cs="宋体"/>
          <w:sz w:val="24"/>
          <w:szCs w:val="22"/>
        </w:rPr>
        <w:t>4）投标人以任何方式诋毁其他投标人；</w:t>
      </w:r>
    </w:p>
    <w:p w14:paraId="5D667947">
      <w:pPr>
        <w:spacing w:line="520" w:lineRule="exact"/>
        <w:ind w:right="2" w:firstLine="480" w:firstLineChars="200"/>
        <w:rPr>
          <w:rFonts w:ascii="宋体" w:hAnsi="Courier New" w:cs="宋体"/>
          <w:sz w:val="24"/>
          <w:szCs w:val="22"/>
        </w:rPr>
      </w:pPr>
      <w:r>
        <w:rPr>
          <w:rFonts w:hint="eastAsia" w:ascii="宋体" w:hAnsi="Courier New" w:cs="宋体"/>
          <w:sz w:val="24"/>
          <w:szCs w:val="22"/>
        </w:rPr>
        <w:t>5）投标人串通投标；</w:t>
      </w:r>
    </w:p>
    <w:p w14:paraId="287F5F05">
      <w:pPr>
        <w:spacing w:line="520" w:lineRule="exact"/>
        <w:ind w:right="2" w:firstLine="480" w:firstLineChars="200"/>
        <w:rPr>
          <w:rFonts w:ascii="宋体" w:hAnsi="Courier New" w:cs="宋体"/>
          <w:sz w:val="24"/>
          <w:szCs w:val="22"/>
        </w:rPr>
      </w:pPr>
      <w:r>
        <w:rPr>
          <w:rFonts w:hint="eastAsia" w:ascii="宋体" w:hAnsi="Courier New" w:cs="宋体"/>
          <w:sz w:val="24"/>
          <w:szCs w:val="22"/>
        </w:rPr>
        <w:t>6）以他人名义投标或者以其他方式弄虚作假，骗取中标的；</w:t>
      </w:r>
    </w:p>
    <w:p w14:paraId="55BB7AB5">
      <w:pPr>
        <w:spacing w:line="520" w:lineRule="exact"/>
        <w:ind w:right="2" w:firstLine="480" w:firstLineChars="200"/>
        <w:rPr>
          <w:rFonts w:ascii="宋体" w:hAnsi="Courier New" w:cs="宋体"/>
          <w:sz w:val="24"/>
          <w:szCs w:val="22"/>
        </w:rPr>
      </w:pPr>
      <w:r>
        <w:rPr>
          <w:rFonts w:hint="eastAsia" w:ascii="宋体" w:hAnsi="Courier New" w:cs="宋体"/>
          <w:sz w:val="24"/>
          <w:szCs w:val="22"/>
        </w:rPr>
        <w:t>7）投标人被举报、检举，并经招标方查实无误的；</w:t>
      </w:r>
    </w:p>
    <w:p w14:paraId="06E49317">
      <w:pPr>
        <w:spacing w:line="520" w:lineRule="exact"/>
        <w:ind w:right="2" w:firstLine="480" w:firstLineChars="200"/>
        <w:rPr>
          <w:rFonts w:ascii="宋体" w:hAnsi="Courier New" w:cs="宋体"/>
          <w:sz w:val="24"/>
          <w:szCs w:val="22"/>
        </w:rPr>
      </w:pPr>
      <w:r>
        <w:rPr>
          <w:rFonts w:hint="eastAsia" w:ascii="宋体" w:hAnsi="Courier New" w:cs="宋体"/>
          <w:sz w:val="24"/>
          <w:szCs w:val="22"/>
        </w:rPr>
        <w:t>8）法律、法规规定的其他情况；</w:t>
      </w:r>
    </w:p>
    <w:p w14:paraId="608C6AC7">
      <w:pPr>
        <w:spacing w:line="520" w:lineRule="exact"/>
        <w:ind w:right="2" w:firstLine="480" w:firstLineChars="200"/>
        <w:rPr>
          <w:rFonts w:ascii="宋体" w:hAnsi="Courier New" w:cs="宋体"/>
          <w:sz w:val="24"/>
          <w:szCs w:val="22"/>
        </w:rPr>
      </w:pPr>
      <w:r>
        <w:rPr>
          <w:rFonts w:hint="eastAsia" w:ascii="宋体" w:hAnsi="Courier New" w:cs="宋体"/>
          <w:sz w:val="24"/>
          <w:szCs w:val="22"/>
        </w:rPr>
        <w:t>9）投标人负责人为同一人或者存在控股、管理关系的不同单位。</w:t>
      </w:r>
    </w:p>
    <w:p w14:paraId="65C5B3B4">
      <w:pPr>
        <w:spacing w:line="520" w:lineRule="exact"/>
        <w:ind w:right="2" w:firstLine="480" w:firstLineChars="200"/>
        <w:rPr>
          <w:rFonts w:ascii="宋体" w:hAnsi="Courier New" w:cs="宋体"/>
          <w:sz w:val="24"/>
          <w:szCs w:val="22"/>
        </w:rPr>
      </w:pPr>
      <w:r>
        <w:rPr>
          <w:rFonts w:hint="eastAsia" w:ascii="宋体" w:hAnsi="Courier New" w:cs="宋体"/>
          <w:sz w:val="24"/>
          <w:szCs w:val="22"/>
        </w:rPr>
        <w:t>7.5.2出现下列情形之一，招标人有权否决所有投标人的投标，并终止招标</w:t>
      </w:r>
    </w:p>
    <w:p w14:paraId="221A4D9D">
      <w:pPr>
        <w:spacing w:line="520" w:lineRule="exact"/>
        <w:ind w:right="2" w:firstLine="480" w:firstLineChars="200"/>
        <w:rPr>
          <w:rFonts w:ascii="宋体" w:hAnsi="Courier New" w:cs="宋体"/>
          <w:sz w:val="24"/>
          <w:szCs w:val="22"/>
        </w:rPr>
      </w:pPr>
      <w:r>
        <w:rPr>
          <w:rFonts w:hint="eastAsia" w:ascii="宋体" w:hAnsi="Courier New" w:cs="宋体"/>
          <w:sz w:val="24"/>
          <w:szCs w:val="22"/>
        </w:rPr>
        <w:t>1）出现影响采购公正的违法、违规行为的；</w:t>
      </w:r>
    </w:p>
    <w:p w14:paraId="5366B4C4">
      <w:pPr>
        <w:spacing w:line="520" w:lineRule="exact"/>
        <w:ind w:right="2" w:firstLine="480" w:firstLineChars="200"/>
        <w:rPr>
          <w:rFonts w:ascii="宋体" w:hAnsi="Courier New" w:cs="宋体"/>
          <w:sz w:val="24"/>
          <w:szCs w:val="22"/>
        </w:rPr>
      </w:pPr>
      <w:r>
        <w:rPr>
          <w:rFonts w:hint="eastAsia" w:ascii="宋体" w:hAnsi="Courier New" w:cs="宋体"/>
          <w:sz w:val="24"/>
          <w:szCs w:val="22"/>
        </w:rPr>
        <w:t>2）评标委员会经评审，认为所有投标都不符合招标文件要求的；</w:t>
      </w:r>
    </w:p>
    <w:p w14:paraId="037357C3">
      <w:pPr>
        <w:spacing w:line="520" w:lineRule="exact"/>
        <w:ind w:right="2" w:firstLine="480" w:firstLineChars="200"/>
        <w:rPr>
          <w:rFonts w:ascii="宋体" w:hAnsi="Courier New" w:cs="宋体"/>
          <w:sz w:val="24"/>
          <w:szCs w:val="22"/>
        </w:rPr>
      </w:pPr>
      <w:r>
        <w:rPr>
          <w:rFonts w:hint="eastAsia" w:ascii="宋体" w:hAnsi="Courier New" w:cs="宋体"/>
          <w:sz w:val="24"/>
          <w:szCs w:val="22"/>
        </w:rPr>
        <w:t>3）因重大变故，采购任务取消的；</w:t>
      </w:r>
    </w:p>
    <w:p w14:paraId="1317E543">
      <w:pPr>
        <w:spacing w:line="520" w:lineRule="exact"/>
        <w:ind w:right="2" w:firstLine="480" w:firstLineChars="200"/>
        <w:rPr>
          <w:rFonts w:ascii="宋体" w:hAnsi="Courier New" w:cs="宋体"/>
          <w:sz w:val="24"/>
          <w:szCs w:val="22"/>
        </w:rPr>
      </w:pPr>
      <w:r>
        <w:rPr>
          <w:rFonts w:hint="eastAsia" w:ascii="宋体" w:hAnsi="Courier New" w:cs="宋体"/>
          <w:sz w:val="24"/>
          <w:szCs w:val="22"/>
        </w:rPr>
        <w:t>4）符合条件的投标人或者对招标文件做实质响应的投标人不足三家的；</w:t>
      </w:r>
    </w:p>
    <w:p w14:paraId="3BD9C749">
      <w:pPr>
        <w:spacing w:line="520" w:lineRule="exact"/>
        <w:ind w:right="2" w:firstLine="480" w:firstLineChars="200"/>
        <w:rPr>
          <w:rFonts w:ascii="宋体" w:hAnsi="Courier New" w:cs="宋体"/>
          <w:sz w:val="24"/>
          <w:szCs w:val="22"/>
        </w:rPr>
      </w:pPr>
      <w:r>
        <w:rPr>
          <w:rFonts w:hint="eastAsia" w:ascii="宋体" w:hAnsi="Courier New" w:cs="宋体"/>
          <w:sz w:val="24"/>
          <w:szCs w:val="22"/>
        </w:rPr>
        <w:t>5）不同投标人的投标文件异常一致或者投标报价呈规律性差异。</w:t>
      </w:r>
    </w:p>
    <w:p w14:paraId="5A510615">
      <w:pPr>
        <w:spacing w:line="520" w:lineRule="exact"/>
        <w:ind w:right="2" w:firstLine="480" w:firstLineChars="200"/>
        <w:rPr>
          <w:rFonts w:cs="Arial" w:asciiTheme="minorEastAsia" w:hAnsiTheme="minorEastAsia"/>
          <w:color w:val="333333"/>
          <w:sz w:val="24"/>
          <w:shd w:val="clear" w:color="auto" w:fill="FFFFFF"/>
        </w:rPr>
      </w:pPr>
      <w:r>
        <w:rPr>
          <w:rFonts w:hint="eastAsia" w:ascii="宋体" w:hAnsi="Courier New" w:cs="宋体"/>
          <w:sz w:val="24"/>
          <w:szCs w:val="22"/>
        </w:rPr>
        <w:t>7.5.3解释权：本招标文件的最终解释权归招标人，当对一个问题有多种解释时以招标人的书面解释为准。招标文件未做须知明示，而又有相关法律、法规规定的，招标人对此所做解释以相关的法律、法规规定为依据。</w:t>
      </w:r>
    </w:p>
    <w:p w14:paraId="5FA35B8D">
      <w:pPr>
        <w:ind w:firstLine="482" w:firstLineChars="200"/>
        <w:rPr>
          <w:rFonts w:cs="宋体"/>
          <w:b/>
          <w:bCs/>
          <w:kern w:val="0"/>
          <w:sz w:val="24"/>
        </w:rPr>
      </w:pPr>
      <w:bookmarkStart w:id="343" w:name="_Toc109031565"/>
      <w:bookmarkStart w:id="344" w:name="_Toc74143851"/>
      <w:bookmarkStart w:id="345" w:name="_Toc95148192"/>
      <w:r>
        <w:rPr>
          <w:rFonts w:hint="eastAsia" w:cs="宋体"/>
          <w:b/>
          <w:bCs/>
          <w:kern w:val="0"/>
          <w:sz w:val="24"/>
        </w:rPr>
        <w:t>7.6瑕疵滞后发现的处理</w:t>
      </w:r>
      <w:bookmarkEnd w:id="343"/>
      <w:bookmarkEnd w:id="344"/>
      <w:bookmarkEnd w:id="345"/>
    </w:p>
    <w:p w14:paraId="487079E0">
      <w:pPr>
        <w:spacing w:line="520" w:lineRule="exact"/>
        <w:ind w:right="2" w:firstLine="480"/>
        <w:rPr>
          <w:rFonts w:ascii="宋体" w:cs="宋体"/>
          <w:sz w:val="24"/>
          <w:szCs w:val="22"/>
        </w:rPr>
      </w:pPr>
      <w:r>
        <w:rPr>
          <w:rFonts w:hint="eastAsia" w:ascii="宋体" w:cs="宋体"/>
          <w:sz w:val="24"/>
          <w:szCs w:val="22"/>
        </w:rPr>
        <w:t>无论基于何种原因，各项本应作为拒绝处理的情形，即便未被及时发现而使该中标人通过了资格审核、初评、现场复审、终评或其他所有相关程序，包括已签订合同，招标人有权取消其中标资格，并有权决定采取相应的补救措施，可由其他候选人替代，或重新组织招标。一旦中标人被拒绝或该中标人此前的评议结果被取消，因招标产生的相关的费用以及一切损失均由中标人承担。</w:t>
      </w:r>
    </w:p>
    <w:p w14:paraId="2F3BE7AB">
      <w:pPr>
        <w:ind w:firstLine="482" w:firstLineChars="200"/>
        <w:rPr>
          <w:rFonts w:cs="宋体"/>
          <w:b/>
          <w:bCs/>
          <w:kern w:val="0"/>
          <w:sz w:val="24"/>
        </w:rPr>
      </w:pPr>
      <w:bookmarkStart w:id="346" w:name="_Toc74143852"/>
      <w:bookmarkStart w:id="347" w:name="_Toc109031566"/>
      <w:bookmarkStart w:id="348" w:name="_Toc53753563"/>
      <w:bookmarkStart w:id="349" w:name="_Toc95148193"/>
      <w:r>
        <w:rPr>
          <w:rFonts w:hint="eastAsia" w:cs="宋体"/>
          <w:b/>
          <w:bCs/>
          <w:kern w:val="0"/>
          <w:sz w:val="24"/>
        </w:rPr>
        <w:t>7.7合同以双方最终签署的版本为准</w:t>
      </w:r>
      <w:bookmarkEnd w:id="346"/>
      <w:bookmarkEnd w:id="347"/>
      <w:bookmarkEnd w:id="348"/>
      <w:bookmarkEnd w:id="349"/>
    </w:p>
    <w:p w14:paraId="14E17890">
      <w:pPr>
        <w:numPr>
          <w:ilvl w:val="255"/>
          <w:numId w:val="0"/>
        </w:numPr>
        <w:spacing w:line="520" w:lineRule="exact"/>
        <w:ind w:right="2"/>
        <w:rPr>
          <w:rFonts w:ascii="宋体" w:hAnsi="Courier New" w:cs="宋体"/>
          <w:sz w:val="24"/>
          <w:szCs w:val="22"/>
          <w:lang w:bidi="ar"/>
        </w:rPr>
      </w:pPr>
    </w:p>
    <w:p w14:paraId="72142D69">
      <w:pPr>
        <w:spacing w:line="520" w:lineRule="exact"/>
        <w:ind w:right="2" w:firstLine="480"/>
        <w:rPr>
          <w:rFonts w:ascii="宋体" w:hAnsi="Courier New" w:cs="宋体"/>
          <w:sz w:val="24"/>
          <w:szCs w:val="22"/>
          <w:lang w:bidi="ar"/>
        </w:rPr>
      </w:pPr>
    </w:p>
    <w:p w14:paraId="001CDA08">
      <w:pPr>
        <w:spacing w:line="520" w:lineRule="exact"/>
        <w:ind w:right="2" w:firstLine="480" w:firstLineChars="200"/>
        <w:rPr>
          <w:rFonts w:ascii="宋体" w:hAnsi="Courier New" w:cs="宋体"/>
          <w:sz w:val="24"/>
          <w:szCs w:val="22"/>
          <w:lang w:bidi="ar"/>
        </w:rPr>
      </w:pPr>
    </w:p>
    <w:bookmarkEnd w:id="44"/>
    <w:p w14:paraId="1804ED93">
      <w:pPr>
        <w:pStyle w:val="57"/>
        <w:keepNext w:val="0"/>
        <w:widowControl/>
        <w:numPr>
          <w:ilvl w:val="0"/>
          <w:numId w:val="0"/>
        </w:numPr>
        <w:rPr>
          <w:rFonts w:ascii="黑体" w:hAnsi="黑体" w:eastAsia="黑体"/>
          <w:sz w:val="32"/>
        </w:rPr>
      </w:pPr>
      <w:bookmarkStart w:id="350" w:name="_Toc25102"/>
      <w:bookmarkStart w:id="351" w:name="_Toc25054"/>
      <w:bookmarkStart w:id="352" w:name="_Toc95148194"/>
      <w:bookmarkStart w:id="353" w:name="_Toc242533981"/>
      <w:bookmarkStart w:id="354" w:name="_Toc109031567"/>
      <w:bookmarkStart w:id="355" w:name="_Toc36829341"/>
      <w:r>
        <w:rPr>
          <w:rFonts w:hint="eastAsia" w:ascii="黑体" w:hAnsi="黑体" w:eastAsia="黑体" w:cs="宋体"/>
          <w:sz w:val="32"/>
        </w:rPr>
        <w:t>技术及业务部分</w:t>
      </w:r>
      <w:bookmarkEnd w:id="350"/>
      <w:bookmarkEnd w:id="351"/>
      <w:bookmarkEnd w:id="352"/>
      <w:bookmarkEnd w:id="353"/>
      <w:bookmarkEnd w:id="354"/>
    </w:p>
    <w:bookmarkEnd w:id="355"/>
    <w:p w14:paraId="701BB19E">
      <w:pPr>
        <w:pStyle w:val="57"/>
        <w:keepNext w:val="0"/>
        <w:widowControl/>
        <w:numPr>
          <w:ilvl w:val="0"/>
          <w:numId w:val="10"/>
        </w:numPr>
        <w:rPr>
          <w:rFonts w:ascii="黑体" w:hAnsi="黑体" w:eastAsia="黑体" w:cs="宋体"/>
        </w:rPr>
      </w:pPr>
      <w:bookmarkStart w:id="356" w:name="_Toc109031568"/>
      <w:bookmarkStart w:id="357" w:name="_Toc242533982"/>
      <w:bookmarkStart w:id="358" w:name="_Toc95148195"/>
      <w:bookmarkStart w:id="359" w:name="_Toc3466"/>
      <w:bookmarkStart w:id="360" w:name="_Toc74143853"/>
      <w:bookmarkStart w:id="361" w:name="_Toc5976"/>
      <w:r>
        <w:rPr>
          <w:rFonts w:ascii="黑体" w:hAnsi="黑体" w:eastAsia="黑体" w:cs="宋体"/>
        </w:rPr>
        <w:t>项目背景</w:t>
      </w:r>
      <w:bookmarkEnd w:id="356"/>
      <w:bookmarkEnd w:id="357"/>
      <w:bookmarkEnd w:id="358"/>
      <w:bookmarkEnd w:id="359"/>
      <w:bookmarkEnd w:id="360"/>
      <w:bookmarkEnd w:id="361"/>
    </w:p>
    <w:p w14:paraId="1558A664">
      <w:pPr>
        <w:pStyle w:val="58"/>
        <w:ind w:firstLine="480"/>
      </w:pPr>
      <w:r>
        <w:rPr>
          <w:rFonts w:hint="eastAsia"/>
        </w:rPr>
        <w:t>为规范财务核算，真实、公允反映公司202</w:t>
      </w:r>
      <w:r>
        <w:t>6</w:t>
      </w:r>
      <w:r>
        <w:rPr>
          <w:rFonts w:hint="eastAsia"/>
        </w:rPr>
        <w:t>年度财务状况、经营成果及现金流量，同时落实监管对非银金融机构内控管理相关要求，客观评价内部控制设计与运行有效性，拟聘请外部会计师事务所开展202</w:t>
      </w:r>
      <w:r>
        <w:t>6</w:t>
      </w:r>
      <w:r>
        <w:rPr>
          <w:rFonts w:hint="eastAsia"/>
        </w:rPr>
        <w:t>年度财务报表审计及内部控制审计工作。</w:t>
      </w:r>
    </w:p>
    <w:p w14:paraId="0980A268">
      <w:pPr>
        <w:pStyle w:val="58"/>
        <w:ind w:firstLine="480"/>
      </w:pPr>
      <w:r>
        <w:rPr>
          <w:rFonts w:hint="eastAsia"/>
        </w:rPr>
        <w:t>外部审计作为独立第三方评价机制，一方面对年度财务报表进行审计，出具审计报告；另一方面全面审视公司内控体系，识别内控缺陷、提出优化建议。通过本次审计，夯实会计信息质量，强化风险管控能力，保障公司合规稳健可持续经营。</w:t>
      </w:r>
    </w:p>
    <w:p w14:paraId="5DAA2BA3">
      <w:pPr>
        <w:pStyle w:val="57"/>
        <w:keepNext w:val="0"/>
        <w:widowControl/>
        <w:numPr>
          <w:ilvl w:val="0"/>
          <w:numId w:val="10"/>
        </w:numPr>
        <w:rPr>
          <w:rFonts w:ascii="黑体" w:hAnsi="黑体" w:eastAsia="黑体" w:cs="宋体"/>
        </w:rPr>
      </w:pPr>
      <w:bookmarkStart w:id="362" w:name="_Toc14965"/>
      <w:bookmarkStart w:id="363" w:name="_Toc3740"/>
      <w:bookmarkStart w:id="364" w:name="_Toc95148196"/>
      <w:bookmarkStart w:id="365" w:name="_Toc109031569"/>
      <w:bookmarkStart w:id="366" w:name="_Toc74143854"/>
      <w:bookmarkStart w:id="367" w:name="_Toc242533983"/>
      <w:bookmarkStart w:id="368" w:name="_Toc67315530"/>
      <w:r>
        <w:rPr>
          <w:rFonts w:ascii="黑体" w:hAnsi="黑体" w:eastAsia="黑体" w:cs="宋体"/>
        </w:rPr>
        <w:t>项目目标</w:t>
      </w:r>
      <w:bookmarkEnd w:id="362"/>
      <w:bookmarkEnd w:id="363"/>
      <w:bookmarkEnd w:id="364"/>
      <w:bookmarkEnd w:id="365"/>
      <w:bookmarkEnd w:id="366"/>
      <w:bookmarkEnd w:id="367"/>
      <w:bookmarkEnd w:id="368"/>
    </w:p>
    <w:p w14:paraId="19E652B1">
      <w:pPr>
        <w:widowControl/>
        <w:numPr>
          <w:ilvl w:val="255"/>
          <w:numId w:val="0"/>
        </w:numPr>
        <w:spacing w:line="360" w:lineRule="auto"/>
        <w:ind w:firstLine="482" w:firstLineChars="200"/>
        <w:jc w:val="left"/>
        <w:rPr>
          <w:rFonts w:ascii="宋体" w:hAnsi="宋体" w:cs="宋体"/>
          <w:kern w:val="0"/>
          <w:sz w:val="24"/>
          <w:lang w:bidi="ar"/>
        </w:rPr>
      </w:pPr>
      <w:r>
        <w:rPr>
          <w:rFonts w:hint="eastAsia" w:ascii="宋体" w:hAnsi="宋体" w:cs="宋体"/>
          <w:b/>
          <w:bCs/>
          <w:kern w:val="0"/>
          <w:sz w:val="24"/>
          <w:lang w:bidi="ar"/>
        </w:rPr>
        <w:t>（1）开展财务报表审计：</w:t>
      </w:r>
      <w:r>
        <w:rPr>
          <w:rFonts w:hint="eastAsia" w:ascii="宋体" w:hAnsi="宋体" w:cs="宋体"/>
          <w:kern w:val="0"/>
          <w:sz w:val="24"/>
          <w:lang w:bidi="ar"/>
        </w:rPr>
        <w:t>合理鉴证财务报表公允性，按照企业会计准则、监管相关规定，对公司202</w:t>
      </w:r>
      <w:r>
        <w:rPr>
          <w:rFonts w:ascii="宋体" w:hAnsi="宋体" w:cs="宋体"/>
          <w:kern w:val="0"/>
          <w:sz w:val="24"/>
          <w:lang w:bidi="ar"/>
        </w:rPr>
        <w:t>6</w:t>
      </w:r>
      <w:r>
        <w:rPr>
          <w:rFonts w:hint="eastAsia" w:ascii="宋体" w:hAnsi="宋体" w:cs="宋体"/>
          <w:kern w:val="0"/>
          <w:sz w:val="24"/>
          <w:lang w:bidi="ar"/>
        </w:rPr>
        <w:t>年度财务报表实施审计，获取充分、适当审计证据，评价会计处理合规性，识别财务错报风险，出具财务报表审计报告，保证财务信息真实、准确、完整，满足信息披露、监管报送要求。</w:t>
      </w:r>
    </w:p>
    <w:p w14:paraId="22703394">
      <w:pPr>
        <w:widowControl/>
        <w:numPr>
          <w:ilvl w:val="255"/>
          <w:numId w:val="0"/>
        </w:numPr>
        <w:spacing w:line="360" w:lineRule="auto"/>
        <w:ind w:firstLine="482" w:firstLineChars="200"/>
        <w:jc w:val="left"/>
        <w:rPr>
          <w:rFonts w:ascii="宋体" w:hAnsi="宋体" w:cs="宋体"/>
          <w:kern w:val="0"/>
          <w:sz w:val="24"/>
          <w:lang w:bidi="ar"/>
        </w:rPr>
      </w:pPr>
      <w:r>
        <w:rPr>
          <w:rFonts w:hint="eastAsia" w:ascii="宋体" w:hAnsi="宋体" w:cs="宋体"/>
          <w:b/>
          <w:bCs/>
          <w:kern w:val="0"/>
          <w:sz w:val="24"/>
          <w:lang w:bidi="ar"/>
        </w:rPr>
        <w:t>（2）</w:t>
      </w:r>
      <w:r>
        <w:rPr>
          <w:rFonts w:ascii="宋体" w:hAnsi="宋体" w:cs="宋体"/>
          <w:b/>
          <w:bCs/>
          <w:kern w:val="0"/>
          <w:sz w:val="24"/>
          <w:lang w:bidi="ar"/>
        </w:rPr>
        <w:t>评价内部控制设计的合理性：</w:t>
      </w:r>
      <w:r>
        <w:rPr>
          <w:rFonts w:ascii="宋体" w:hAnsi="宋体" w:cs="宋体"/>
          <w:kern w:val="0"/>
          <w:sz w:val="24"/>
          <w:lang w:bidi="ar"/>
        </w:rPr>
        <w:t>确认公司各项内部控制制度是否依据行业最佳实践与法规要求进行设计，能否有效预防风险，涵盖业务流程、合规管理等关键领域。</w:t>
      </w:r>
    </w:p>
    <w:p w14:paraId="35FDFB45">
      <w:pPr>
        <w:widowControl/>
        <w:numPr>
          <w:ilvl w:val="255"/>
          <w:numId w:val="0"/>
        </w:numPr>
        <w:spacing w:line="360" w:lineRule="auto"/>
        <w:ind w:firstLine="482" w:firstLineChars="200"/>
        <w:jc w:val="left"/>
        <w:rPr>
          <w:rFonts w:ascii="宋体" w:hAnsi="宋体" w:cs="宋体"/>
          <w:kern w:val="0"/>
          <w:sz w:val="24"/>
          <w:lang w:bidi="ar"/>
        </w:rPr>
      </w:pPr>
      <w:r>
        <w:rPr>
          <w:rFonts w:hint="eastAsia" w:ascii="宋体" w:hAnsi="宋体" w:cs="宋体"/>
          <w:b/>
          <w:bCs/>
          <w:kern w:val="0"/>
          <w:sz w:val="24"/>
          <w:lang w:bidi="ar"/>
        </w:rPr>
        <w:t>（3）</w:t>
      </w:r>
      <w:r>
        <w:rPr>
          <w:rFonts w:ascii="宋体" w:hAnsi="宋体" w:cs="宋体"/>
          <w:b/>
          <w:bCs/>
          <w:kern w:val="0"/>
          <w:sz w:val="24"/>
          <w:lang w:bidi="ar"/>
        </w:rPr>
        <w:t>测试内部控制执行的有效性：</w:t>
      </w:r>
      <w:r>
        <w:rPr>
          <w:rFonts w:ascii="宋体" w:hAnsi="宋体" w:cs="宋体"/>
          <w:kern w:val="0"/>
          <w:sz w:val="24"/>
          <w:lang w:bidi="ar"/>
        </w:rPr>
        <w:t>通过选取样本进行测试，判断既定内部控制流程在日常运营中是否被严格遵循，识别执行偏差及潜在原因。</w:t>
      </w:r>
    </w:p>
    <w:p w14:paraId="039A7BDE">
      <w:pPr>
        <w:widowControl/>
        <w:numPr>
          <w:ilvl w:val="255"/>
          <w:numId w:val="0"/>
        </w:numPr>
        <w:spacing w:line="360" w:lineRule="auto"/>
        <w:ind w:firstLine="482" w:firstLineChars="200"/>
        <w:jc w:val="left"/>
        <w:rPr>
          <w:rFonts w:ascii="宋体" w:hAnsi="宋体" w:cs="宋体"/>
          <w:kern w:val="0"/>
          <w:sz w:val="24"/>
          <w:lang w:bidi="ar"/>
        </w:rPr>
      </w:pPr>
      <w:r>
        <w:rPr>
          <w:rFonts w:hint="eastAsia" w:ascii="宋体" w:hAnsi="宋体" w:cs="宋体"/>
          <w:b/>
          <w:bCs/>
          <w:kern w:val="0"/>
          <w:sz w:val="24"/>
          <w:lang w:bidi="ar"/>
        </w:rPr>
        <w:t>（4）</w:t>
      </w:r>
      <w:r>
        <w:rPr>
          <w:rFonts w:ascii="宋体" w:hAnsi="宋体" w:cs="宋体"/>
          <w:b/>
          <w:bCs/>
          <w:kern w:val="0"/>
          <w:sz w:val="24"/>
          <w:lang w:bidi="ar"/>
        </w:rPr>
        <w:t>发现内部控制缺陷与风险点：</w:t>
      </w:r>
      <w:r>
        <w:rPr>
          <w:rFonts w:ascii="宋体" w:hAnsi="宋体" w:cs="宋体"/>
          <w:kern w:val="0"/>
          <w:sz w:val="24"/>
          <w:lang w:bidi="ar"/>
        </w:rPr>
        <w:t>精准定位内部控制体系中的薄弱环节，包括制度缺失、流程不畅、监督不力等方面，量化潜在风险影响程度。</w:t>
      </w:r>
    </w:p>
    <w:p w14:paraId="087A8892">
      <w:pPr>
        <w:widowControl/>
        <w:numPr>
          <w:ilvl w:val="255"/>
          <w:numId w:val="0"/>
        </w:numPr>
        <w:spacing w:line="360" w:lineRule="auto"/>
        <w:ind w:firstLine="482" w:firstLineChars="200"/>
        <w:jc w:val="left"/>
        <w:rPr>
          <w:rFonts w:ascii="宋体" w:hAnsi="宋体" w:cs="宋体"/>
          <w:kern w:val="0"/>
          <w:sz w:val="24"/>
          <w:lang w:bidi="ar"/>
        </w:rPr>
      </w:pPr>
      <w:r>
        <w:rPr>
          <w:rFonts w:hint="eastAsia" w:ascii="宋体" w:hAnsi="宋体" w:cs="宋体"/>
          <w:b/>
          <w:bCs/>
          <w:kern w:val="0"/>
          <w:sz w:val="24"/>
          <w:lang w:bidi="ar"/>
        </w:rPr>
        <w:t>（5）</w:t>
      </w:r>
      <w:r>
        <w:rPr>
          <w:rFonts w:ascii="宋体" w:hAnsi="宋体" w:cs="宋体"/>
          <w:b/>
          <w:bCs/>
          <w:kern w:val="0"/>
          <w:sz w:val="24"/>
          <w:lang w:bidi="ar"/>
        </w:rPr>
        <w:t>提出改进建议与优化方案：</w:t>
      </w:r>
      <w:r>
        <w:rPr>
          <w:rFonts w:ascii="宋体" w:hAnsi="宋体" w:cs="宋体"/>
          <w:kern w:val="0"/>
          <w:sz w:val="24"/>
          <w:lang w:bidi="ar"/>
        </w:rPr>
        <w:t>基于审计发现，为公司量身定制切实可行的整改措施，助力公司完善内部控制架构，提升整体运营效率与风险抵御能力。</w:t>
      </w:r>
    </w:p>
    <w:p w14:paraId="4C910372">
      <w:pPr>
        <w:pStyle w:val="58"/>
        <w:ind w:firstLine="480"/>
      </w:pPr>
    </w:p>
    <w:p w14:paraId="726CA6A1">
      <w:pPr>
        <w:pStyle w:val="57"/>
        <w:keepNext w:val="0"/>
        <w:widowControl/>
        <w:numPr>
          <w:ilvl w:val="0"/>
          <w:numId w:val="10"/>
        </w:numPr>
        <w:rPr>
          <w:rFonts w:ascii="黑体" w:hAnsi="黑体" w:eastAsia="黑体" w:cs="宋体"/>
          <w:szCs w:val="28"/>
        </w:rPr>
      </w:pPr>
      <w:bookmarkStart w:id="369" w:name="_Toc74143857"/>
      <w:bookmarkStart w:id="370" w:name="_Toc67315533"/>
      <w:bookmarkStart w:id="371" w:name="_Toc242533984"/>
      <w:bookmarkStart w:id="372" w:name="_Toc8919"/>
      <w:bookmarkStart w:id="373" w:name="_Toc2655"/>
      <w:bookmarkStart w:id="374" w:name="_Toc95148199"/>
      <w:bookmarkStart w:id="375" w:name="_Toc109031570"/>
      <w:r>
        <w:rPr>
          <w:rFonts w:ascii="黑体" w:hAnsi="黑体" w:eastAsia="黑体" w:cs="宋体"/>
          <w:szCs w:val="28"/>
        </w:rPr>
        <w:t>项目范围</w:t>
      </w:r>
      <w:bookmarkEnd w:id="369"/>
      <w:bookmarkEnd w:id="370"/>
      <w:bookmarkEnd w:id="371"/>
      <w:bookmarkEnd w:id="372"/>
      <w:bookmarkEnd w:id="373"/>
      <w:bookmarkEnd w:id="374"/>
      <w:bookmarkEnd w:id="375"/>
    </w:p>
    <w:p w14:paraId="3A6C9832">
      <w:pPr>
        <w:pStyle w:val="58"/>
        <w:ind w:firstLine="480"/>
        <w:rPr>
          <w:rFonts w:asciiTheme="minorEastAsia" w:hAnsiTheme="minorEastAsia"/>
        </w:rPr>
      </w:pPr>
      <w:r>
        <w:rPr>
          <w:rFonts w:hint="eastAsia" w:asciiTheme="minorEastAsia" w:hAnsiTheme="minorEastAsia"/>
        </w:rPr>
        <w:t>本项目范围涵盖财务报表审计：2026年度资产负债表、利润表、现金流量表、所有者权益变动表及财务报表附注。审计工作覆盖公司汽车贷款、利息确认、金融资产减值计提、抵债资产核算、资金业务、税务、费用等全部业务板块；核查监管指标对应的财务基础数据，识别重大错报风险，出具财务报表审计报告。同时根据审计发现出具管理建议书，配合监管问询、年报信息披露相关复核工作。</w:t>
      </w:r>
    </w:p>
    <w:p w14:paraId="7CBA9EDA">
      <w:pPr>
        <w:pStyle w:val="58"/>
        <w:ind w:firstLine="480"/>
        <w:rPr>
          <w:rFonts w:asciiTheme="minorEastAsia" w:hAnsiTheme="minorEastAsia"/>
        </w:rPr>
      </w:pPr>
      <w:r>
        <w:rPr>
          <w:rFonts w:hint="eastAsia" w:asciiTheme="minorEastAsia" w:hAnsiTheme="minorEastAsia"/>
        </w:rPr>
        <w:t>内部控制审计：2026年度公司治理、内部控制、经营管理情况、薪酬制度的设计和执行情况的审计，出具审计报告及审计管理建议书，提供内部控制管理工具，并应配合监管举行的双方或三方会谈。</w:t>
      </w:r>
    </w:p>
    <w:p w14:paraId="0D6FDD77">
      <w:pPr>
        <w:pStyle w:val="58"/>
        <w:ind w:firstLine="480"/>
      </w:pPr>
    </w:p>
    <w:p w14:paraId="73FEFB2D">
      <w:pPr>
        <w:pStyle w:val="57"/>
        <w:keepNext w:val="0"/>
        <w:widowControl/>
        <w:numPr>
          <w:ilvl w:val="0"/>
          <w:numId w:val="10"/>
        </w:numPr>
        <w:rPr>
          <w:rFonts w:ascii="黑体" w:hAnsi="黑体" w:eastAsia="黑体" w:cs="宋体"/>
          <w:szCs w:val="28"/>
        </w:rPr>
      </w:pPr>
      <w:bookmarkStart w:id="376" w:name="_Toc95148202"/>
      <w:bookmarkStart w:id="377" w:name="_Toc67315537"/>
      <w:bookmarkStart w:id="378" w:name="_Toc74143861"/>
      <w:bookmarkStart w:id="379" w:name="_Toc10323"/>
      <w:bookmarkStart w:id="380" w:name="_Toc29892"/>
      <w:bookmarkStart w:id="381" w:name="_Toc109031571"/>
      <w:bookmarkStart w:id="382" w:name="_Toc242533985"/>
      <w:r>
        <w:rPr>
          <w:rFonts w:ascii="黑体" w:hAnsi="黑体" w:eastAsia="黑体" w:cs="宋体"/>
          <w:szCs w:val="28"/>
        </w:rPr>
        <w:t>项目</w:t>
      </w:r>
      <w:bookmarkEnd w:id="376"/>
      <w:bookmarkEnd w:id="377"/>
      <w:bookmarkEnd w:id="378"/>
      <w:r>
        <w:rPr>
          <w:rFonts w:hint="eastAsia" w:ascii="黑体" w:hAnsi="黑体" w:eastAsia="黑体" w:cs="宋体"/>
          <w:szCs w:val="28"/>
        </w:rPr>
        <w:t>内容</w:t>
      </w:r>
      <w:bookmarkEnd w:id="379"/>
      <w:bookmarkEnd w:id="380"/>
      <w:bookmarkEnd w:id="381"/>
      <w:bookmarkEnd w:id="382"/>
    </w:p>
    <w:p w14:paraId="447F39E9">
      <w:pPr>
        <w:pStyle w:val="58"/>
        <w:ind w:firstLine="562"/>
        <w:rPr>
          <w:b/>
          <w:sz w:val="28"/>
          <w:szCs w:val="28"/>
        </w:rPr>
      </w:pPr>
      <w:r>
        <w:rPr>
          <w:rFonts w:hint="eastAsia"/>
          <w:b/>
          <w:sz w:val="28"/>
          <w:szCs w:val="28"/>
        </w:rPr>
        <w:t>1.财务报表审计项目内容：</w:t>
      </w:r>
    </w:p>
    <w:p w14:paraId="5596D785">
      <w:pPr>
        <w:pStyle w:val="58"/>
        <w:ind w:firstLine="480"/>
        <w:rPr>
          <w:rFonts w:asciiTheme="minorEastAsia" w:hAnsiTheme="minorEastAsia"/>
        </w:rPr>
      </w:pPr>
      <w:r>
        <w:rPr>
          <w:rFonts w:hint="eastAsia" w:asciiTheme="minorEastAsia" w:hAnsiTheme="minorEastAsia"/>
        </w:rPr>
        <w:t>（1）对公司2026年度资产负债表、利润表、现金流量表、所有者权益变动表及财务报表附注实施全面审计，对财务报表整体公允性、真实性、合法性发表独立审计意见，出具正式年度财务报表审计报告。</w:t>
      </w:r>
    </w:p>
    <w:p w14:paraId="7DC28037">
      <w:pPr>
        <w:pStyle w:val="58"/>
        <w:ind w:firstLine="480"/>
        <w:rPr>
          <w:rFonts w:asciiTheme="minorEastAsia" w:hAnsiTheme="minorEastAsia"/>
        </w:rPr>
      </w:pPr>
      <w:r>
        <w:rPr>
          <w:rFonts w:hint="eastAsia" w:asciiTheme="minorEastAsia" w:hAnsiTheme="minorEastAsia"/>
        </w:rPr>
        <w:t>（2）重点审计汽车金融核心业务核算情况，包括个人汽车消费贷款、经销商库存融资业务、贷款利息收入、手续费及佣金收支核算准确性，核查贷款五级分类标准执行情况、逾期资产认定及管理情况。</w:t>
      </w:r>
    </w:p>
    <w:p w14:paraId="7696B07B">
      <w:pPr>
        <w:pStyle w:val="58"/>
        <w:ind w:firstLine="480"/>
        <w:rPr>
          <w:rFonts w:asciiTheme="minorEastAsia" w:hAnsiTheme="minorEastAsia"/>
        </w:rPr>
      </w:pPr>
      <w:r>
        <w:rPr>
          <w:rFonts w:hint="eastAsia" w:asciiTheme="minorEastAsia" w:hAnsiTheme="minorEastAsia"/>
        </w:rPr>
        <w:t>（3）严格核查金融资产预期信用损失减值模型参数、前瞻性调整、拨备计提合理性，验证年末贷款损失准备、抵债资产、固定资产、无形资产等资产计量准确性。</w:t>
      </w:r>
    </w:p>
    <w:p w14:paraId="67871B28">
      <w:pPr>
        <w:pStyle w:val="58"/>
        <w:ind w:firstLine="480"/>
        <w:rPr>
          <w:rFonts w:asciiTheme="minorEastAsia" w:hAnsiTheme="minorEastAsia"/>
        </w:rPr>
      </w:pPr>
      <w:r>
        <w:rPr>
          <w:rFonts w:hint="eastAsia" w:asciiTheme="minorEastAsia" w:hAnsiTheme="minorEastAsia"/>
        </w:rPr>
        <w:t>（4）</w:t>
      </w:r>
      <w:r>
        <w:rPr>
          <w:rFonts w:hint="eastAsia"/>
        </w:rPr>
        <w:t>审</w:t>
      </w:r>
      <w:r>
        <w:rPr>
          <w:rFonts w:hint="eastAsia" w:asciiTheme="minorEastAsia" w:hAnsiTheme="minorEastAsia"/>
        </w:rPr>
        <w:t>核公司资金业务、股东存款、关联交易、费用列支、税费计提缴纳等财务事项，检查会计政策执行一致性、账务处理规范性，识别重大错报风险及核算薄弱环节。</w:t>
      </w:r>
    </w:p>
    <w:p w14:paraId="1260B746">
      <w:pPr>
        <w:pStyle w:val="58"/>
        <w:ind w:firstLine="480"/>
        <w:rPr>
          <w:rFonts w:asciiTheme="minorEastAsia" w:hAnsiTheme="minorEastAsia"/>
        </w:rPr>
      </w:pPr>
      <w:r>
        <w:rPr>
          <w:rFonts w:hint="eastAsia" w:asciiTheme="minorEastAsia" w:hAnsiTheme="minorEastAsia"/>
        </w:rPr>
        <w:t>（5）对资本充足率、杠杆率、资产质量、盈利指标等监管报送数据进行复核校验，确保年报数据与监管报送数据口径一致、真实准确。</w:t>
      </w:r>
    </w:p>
    <w:p w14:paraId="07FBF06B">
      <w:pPr>
        <w:pStyle w:val="58"/>
        <w:ind w:firstLine="480"/>
        <w:rPr>
          <w:rFonts w:asciiTheme="minorEastAsia" w:hAnsiTheme="minorEastAsia"/>
        </w:rPr>
      </w:pPr>
      <w:r>
        <w:rPr>
          <w:rFonts w:hint="eastAsia" w:asciiTheme="minorEastAsia" w:hAnsiTheme="minorEastAsia"/>
        </w:rPr>
        <w:t>（6）根据审计发现问题出具管理建议书，针对财务核算、资产管理、风险把控、账务规范等方面提出专业整改及优化建议。</w:t>
      </w:r>
    </w:p>
    <w:p w14:paraId="444F6425">
      <w:pPr>
        <w:pStyle w:val="58"/>
        <w:ind w:firstLine="480"/>
        <w:rPr>
          <w:rFonts w:asciiTheme="minorEastAsia" w:hAnsiTheme="minorEastAsia"/>
        </w:rPr>
      </w:pPr>
      <w:r>
        <w:rPr>
          <w:rFonts w:hint="eastAsia" w:asciiTheme="minorEastAsia" w:hAnsiTheme="minorEastAsia"/>
        </w:rPr>
        <w:t>（7）全程配合公司完成年度财务决算、上级集团审查、金融监管部门问询、现场检查、资料调阅及监审联动相关工作。</w:t>
      </w:r>
    </w:p>
    <w:p w14:paraId="3B010FA7">
      <w:pPr>
        <w:pStyle w:val="58"/>
        <w:ind w:firstLine="480"/>
        <w:rPr>
          <w:rFonts w:asciiTheme="minorEastAsia" w:hAnsiTheme="minorEastAsia"/>
        </w:rPr>
      </w:pPr>
      <w:r>
        <w:rPr>
          <w:rFonts w:hint="eastAsia" w:asciiTheme="minorEastAsia" w:hAnsiTheme="minorEastAsia"/>
        </w:rPr>
        <w:t>（</w:t>
      </w:r>
      <w:r>
        <w:rPr>
          <w:rFonts w:asciiTheme="minorEastAsia" w:hAnsiTheme="minorEastAsia"/>
        </w:rPr>
        <w:t>8</w:t>
      </w:r>
      <w:r>
        <w:rPr>
          <w:rFonts w:hint="eastAsia" w:asciiTheme="minorEastAsia" w:hAnsiTheme="minorEastAsia"/>
        </w:rPr>
        <w:t>）</w:t>
      </w:r>
      <w:r>
        <w:rPr>
          <w:rFonts w:asciiTheme="minorEastAsia" w:hAnsiTheme="minorEastAsia"/>
        </w:rPr>
        <w:t>积极与集团公司合并报表审计机构对接沟通，</w:t>
      </w:r>
      <w:r>
        <w:rPr>
          <w:rFonts w:hint="eastAsia" w:asciiTheme="minorEastAsia" w:hAnsiTheme="minorEastAsia"/>
        </w:rPr>
        <w:t>全程配合重汽香港公司完成2</w:t>
      </w:r>
      <w:r>
        <w:rPr>
          <w:rFonts w:asciiTheme="minorEastAsia" w:hAnsiTheme="minorEastAsia"/>
        </w:rPr>
        <w:t>026</w:t>
      </w:r>
      <w:r>
        <w:rPr>
          <w:rFonts w:hint="eastAsia" w:asciiTheme="minorEastAsia" w:hAnsiTheme="minorEastAsia"/>
        </w:rPr>
        <w:t>年度财务报表出具相关工作。</w:t>
      </w:r>
    </w:p>
    <w:p w14:paraId="49A98BEA">
      <w:pPr>
        <w:pStyle w:val="58"/>
        <w:ind w:firstLine="562"/>
        <w:rPr>
          <w:rFonts w:asciiTheme="minorEastAsia" w:hAnsiTheme="minorEastAsia"/>
        </w:rPr>
      </w:pPr>
      <w:bookmarkStart w:id="383" w:name="_Toc74143869"/>
      <w:bookmarkStart w:id="384" w:name="_Toc109031572"/>
      <w:bookmarkStart w:id="385" w:name="_Toc67315565"/>
      <w:bookmarkStart w:id="386" w:name="_Toc95148210"/>
      <w:r>
        <w:rPr>
          <w:rFonts w:hint="eastAsia"/>
          <w:b/>
          <w:sz w:val="28"/>
          <w:szCs w:val="28"/>
        </w:rPr>
        <w:t>2.内部控制审计项目内容：</w:t>
      </w:r>
      <w:r>
        <w:rPr>
          <w:rFonts w:asciiTheme="minorEastAsia" w:hAnsiTheme="minorEastAsia"/>
        </w:rPr>
        <w:t xml:space="preserve"> </w:t>
      </w:r>
    </w:p>
    <w:p w14:paraId="58805E48">
      <w:pPr>
        <w:pStyle w:val="58"/>
        <w:ind w:firstLine="480"/>
        <w:rPr>
          <w:rFonts w:asciiTheme="minorEastAsia" w:hAnsiTheme="minorEastAsia"/>
        </w:rPr>
      </w:pPr>
      <w:r>
        <w:rPr>
          <w:rFonts w:hint="eastAsia" w:asciiTheme="minorEastAsia" w:hAnsiTheme="minorEastAsia"/>
        </w:rPr>
        <w:t>（1）制度文件审查：收集整理公司各项内部控制制度、管理办法，比对法规政策与行业标杆，分析制度完备性、更新及时性；检查制度是否明确各部门岗位职责、业务流程标准及风险防控要点。</w:t>
      </w:r>
    </w:p>
    <w:p w14:paraId="388CBB90">
      <w:pPr>
        <w:pStyle w:val="58"/>
        <w:ind w:firstLine="480"/>
        <w:rPr>
          <w:rFonts w:asciiTheme="minorEastAsia" w:hAnsiTheme="minorEastAsia"/>
        </w:rPr>
      </w:pPr>
      <w:r>
        <w:rPr>
          <w:rFonts w:hint="eastAsia" w:asciiTheme="minorEastAsia" w:hAnsiTheme="minorEastAsia"/>
        </w:rPr>
        <w:t>（2）流程穿行测试：选取一定数量代表性样本，从发起至终结全程跟踪，记录各环节实际操作与制度要求一致性，验证流程执行连贯性，识别潜在断点与冗余环节。</w:t>
      </w:r>
    </w:p>
    <w:p w14:paraId="39C47BA1">
      <w:pPr>
        <w:pStyle w:val="58"/>
        <w:ind w:firstLine="480"/>
        <w:rPr>
          <w:rFonts w:asciiTheme="minorEastAsia" w:hAnsiTheme="minorEastAsia"/>
        </w:rPr>
      </w:pPr>
      <w:r>
        <w:rPr>
          <w:rFonts w:hint="eastAsia" w:asciiTheme="minorEastAsia" w:hAnsiTheme="minorEastAsia"/>
        </w:rPr>
        <w:t>（3）风险评估建模：运用量化风险评估模型，结合公司历史风险事件、行业风险数据，对识别出的内部控制缺陷进行风险量化打分，区分高、中、低风险领域，为后续整改资源分配提供依据。</w:t>
      </w:r>
    </w:p>
    <w:p w14:paraId="41D28D94">
      <w:pPr>
        <w:pStyle w:val="58"/>
        <w:widowControl/>
        <w:ind w:firstLine="480"/>
        <w:rPr>
          <w:rFonts w:asciiTheme="minorEastAsia" w:hAnsiTheme="minorEastAsia"/>
        </w:rPr>
      </w:pPr>
      <w:r>
        <w:rPr>
          <w:rFonts w:hint="eastAsia" w:asciiTheme="minorEastAsia" w:hAnsiTheme="minorEastAsia"/>
        </w:rPr>
        <w:t>（4）内部控制管理工具：</w:t>
      </w:r>
      <w:r>
        <w:rPr>
          <w:rFonts w:hint="eastAsia" w:asciiTheme="minorEastAsia" w:hAnsiTheme="minorEastAsia"/>
          <w:color w:val="0F1115"/>
          <w:shd w:val="clear" w:color="auto" w:fill="FFFFFF"/>
        </w:rPr>
        <w:t>提供开展内部控制体系建设、评估、监测与改进的相关模板参考，如内部控制自我评估工具（标准化自查问卷、检查清单及评分模板）</w:t>
      </w:r>
      <w:r>
        <w:rPr>
          <w:rFonts w:hint="eastAsia" w:asciiTheme="minorEastAsia" w:hAnsiTheme="minorEastAsia"/>
        </w:rPr>
        <w:t>、</w:t>
      </w:r>
      <w:r>
        <w:rPr>
          <w:rFonts w:hint="eastAsia" w:asciiTheme="minorEastAsia" w:hAnsiTheme="minorEastAsia"/>
          <w:color w:val="0F1115"/>
          <w:shd w:val="clear" w:color="auto" w:fill="FFFFFF"/>
        </w:rPr>
        <w:t>关键控制活动监控工具（重要业务流程与高风险领域的关键控制点监测指标与报告模板）</w:t>
      </w:r>
      <w:r>
        <w:rPr>
          <w:rFonts w:hint="eastAsia" w:asciiTheme="minorEastAsia" w:hAnsiTheme="minorEastAsia"/>
        </w:rPr>
        <w:t>、</w:t>
      </w:r>
      <w:r>
        <w:rPr>
          <w:rFonts w:hint="eastAsia" w:asciiTheme="minorEastAsia" w:hAnsiTheme="minorEastAsia"/>
          <w:color w:val="0F1115"/>
          <w:shd w:val="clear" w:color="auto" w:fill="FFFFFF"/>
        </w:rPr>
        <w:t>内部控制缺陷整改跟踪工具</w:t>
      </w:r>
      <w:r>
        <w:rPr>
          <w:rFonts w:hint="eastAsia" w:asciiTheme="minorEastAsia" w:hAnsiTheme="minorEastAsia"/>
        </w:rPr>
        <w:t>（</w:t>
      </w:r>
      <w:r>
        <w:rPr>
          <w:rFonts w:hint="eastAsia" w:asciiTheme="minorEastAsia" w:hAnsiTheme="minorEastAsia"/>
          <w:color w:val="0F1115"/>
          <w:shd w:val="clear" w:color="auto" w:fill="FFFFFF"/>
        </w:rPr>
        <w:t>内部控制缺陷登记、整改责任分配、整改进度跟踪与验收销号流程管理模板</w:t>
      </w:r>
      <w:r>
        <w:rPr>
          <w:rFonts w:hint="eastAsia" w:asciiTheme="minorEastAsia" w:hAnsiTheme="minorEastAsia"/>
        </w:rPr>
        <w:t>）</w:t>
      </w:r>
      <w:r>
        <w:rPr>
          <w:rFonts w:hint="eastAsia" w:asciiTheme="minorEastAsia" w:hAnsiTheme="minorEastAsia"/>
          <w:color w:val="0F1115"/>
          <w:shd w:val="clear" w:color="auto" w:fill="FFFFFF"/>
        </w:rPr>
        <w:t>。</w:t>
      </w:r>
    </w:p>
    <w:p w14:paraId="0509B944">
      <w:pPr>
        <w:pStyle w:val="58"/>
        <w:ind w:firstLine="480"/>
        <w:rPr>
          <w:rFonts w:asciiTheme="minorEastAsia" w:hAnsiTheme="minorEastAsia"/>
        </w:rPr>
      </w:pPr>
    </w:p>
    <w:p w14:paraId="2F897CE5">
      <w:pPr>
        <w:spacing w:line="560" w:lineRule="exact"/>
        <w:rPr>
          <w:rFonts w:asciiTheme="minorEastAsia" w:hAnsiTheme="minorEastAsia"/>
          <w:sz w:val="24"/>
        </w:rPr>
      </w:pPr>
    </w:p>
    <w:p w14:paraId="54212A1B">
      <w:pPr>
        <w:pStyle w:val="57"/>
        <w:numPr>
          <w:ilvl w:val="0"/>
          <w:numId w:val="10"/>
        </w:numPr>
        <w:rPr>
          <w:rFonts w:ascii="黑体" w:hAnsi="黑体" w:eastAsia="黑体"/>
          <w:sz w:val="24"/>
        </w:rPr>
      </w:pPr>
      <w:bookmarkStart w:id="387" w:name="_Toc5201"/>
      <w:bookmarkStart w:id="388" w:name="_Toc14610"/>
      <w:bookmarkStart w:id="389" w:name="_Toc242533986"/>
      <w:r>
        <w:rPr>
          <w:rFonts w:hint="eastAsia" w:ascii="黑体" w:hAnsi="黑体" w:eastAsia="黑体" w:cs="宋体"/>
          <w:szCs w:val="28"/>
        </w:rPr>
        <w:t>项目建设计划</w:t>
      </w:r>
      <w:bookmarkEnd w:id="383"/>
      <w:bookmarkEnd w:id="384"/>
      <w:bookmarkEnd w:id="385"/>
      <w:bookmarkEnd w:id="386"/>
      <w:bookmarkEnd w:id="387"/>
      <w:bookmarkEnd w:id="388"/>
      <w:bookmarkEnd w:id="389"/>
    </w:p>
    <w:p w14:paraId="7BB6674C">
      <w:pPr>
        <w:pStyle w:val="13"/>
        <w:spacing w:line="360" w:lineRule="auto"/>
        <w:ind w:left="114" w:firstLine="420"/>
        <w:jc w:val="both"/>
        <w:rPr>
          <w:rFonts w:asciiTheme="minorEastAsia" w:hAnsiTheme="minorEastAsia"/>
          <w:sz w:val="24"/>
        </w:rPr>
      </w:pPr>
      <w:r>
        <w:rPr>
          <w:rFonts w:hint="eastAsia" w:asciiTheme="minorEastAsia" w:hAnsiTheme="minorEastAsia"/>
          <w:sz w:val="24"/>
        </w:rPr>
        <w:t>（1）项目建设周期</w:t>
      </w:r>
    </w:p>
    <w:p w14:paraId="312326AC">
      <w:pPr>
        <w:pStyle w:val="13"/>
        <w:spacing w:line="360" w:lineRule="auto"/>
        <w:ind w:left="114" w:firstLine="420"/>
        <w:jc w:val="both"/>
        <w:rPr>
          <w:rFonts w:asciiTheme="minorEastAsia" w:hAnsiTheme="minorEastAsia"/>
          <w:sz w:val="24"/>
        </w:rPr>
      </w:pPr>
      <w:r>
        <w:rPr>
          <w:rFonts w:hint="eastAsia" w:asciiTheme="minorEastAsia" w:hAnsiTheme="minorEastAsia"/>
          <w:sz w:val="24"/>
        </w:rPr>
        <w:t>第一阶段：审计准备期</w:t>
      </w:r>
    </w:p>
    <w:p w14:paraId="1AFC1868">
      <w:pPr>
        <w:pStyle w:val="13"/>
        <w:spacing w:line="360" w:lineRule="auto"/>
        <w:ind w:left="114" w:firstLine="420"/>
        <w:jc w:val="both"/>
        <w:rPr>
          <w:rFonts w:asciiTheme="minorEastAsia" w:hAnsiTheme="minorEastAsia"/>
          <w:sz w:val="24"/>
        </w:rPr>
      </w:pPr>
      <w:r>
        <w:rPr>
          <w:rFonts w:hint="eastAsia" w:asciiTheme="minorEastAsia" w:hAnsiTheme="minorEastAsia"/>
          <w:sz w:val="24"/>
        </w:rPr>
        <w:t>成立审计项目组，明确成员分工。</w:t>
      </w:r>
    </w:p>
    <w:p w14:paraId="061E74DB">
      <w:pPr>
        <w:pStyle w:val="13"/>
        <w:spacing w:line="360" w:lineRule="auto"/>
        <w:ind w:left="114" w:firstLine="420"/>
        <w:jc w:val="both"/>
        <w:rPr>
          <w:rFonts w:asciiTheme="minorEastAsia" w:hAnsiTheme="minorEastAsia"/>
          <w:sz w:val="24"/>
        </w:rPr>
      </w:pPr>
      <w:r>
        <w:rPr>
          <w:rFonts w:hint="eastAsia" w:asciiTheme="minorEastAsia" w:hAnsiTheme="minorEastAsia"/>
          <w:sz w:val="24"/>
        </w:rPr>
        <w:t>开展审前调研，收集公司基本资料，制定审计方案初稿，与公司管理层沟通确认。</w:t>
      </w:r>
    </w:p>
    <w:p w14:paraId="4FD454B2">
      <w:pPr>
        <w:pStyle w:val="13"/>
        <w:spacing w:line="360" w:lineRule="auto"/>
        <w:ind w:left="114" w:firstLine="420"/>
        <w:jc w:val="both"/>
        <w:rPr>
          <w:rFonts w:asciiTheme="minorEastAsia" w:hAnsiTheme="minorEastAsia"/>
          <w:sz w:val="24"/>
        </w:rPr>
      </w:pPr>
      <w:r>
        <w:rPr>
          <w:rFonts w:hint="eastAsia" w:asciiTheme="minorEastAsia" w:hAnsiTheme="minorEastAsia"/>
          <w:sz w:val="24"/>
        </w:rPr>
        <w:t>发送审计通知书，明确审计目标、范围、时间安排及所需资料清单。</w:t>
      </w:r>
    </w:p>
    <w:p w14:paraId="0F90F60F">
      <w:pPr>
        <w:pStyle w:val="13"/>
        <w:spacing w:line="360" w:lineRule="auto"/>
        <w:ind w:left="114" w:firstLine="420"/>
        <w:jc w:val="both"/>
        <w:rPr>
          <w:rFonts w:asciiTheme="minorEastAsia" w:hAnsiTheme="minorEastAsia"/>
          <w:sz w:val="24"/>
        </w:rPr>
      </w:pPr>
      <w:r>
        <w:rPr>
          <w:rFonts w:hint="eastAsia" w:asciiTheme="minorEastAsia" w:hAnsiTheme="minorEastAsia"/>
          <w:sz w:val="24"/>
        </w:rPr>
        <w:t>第二阶段：现场审计期</w:t>
      </w:r>
    </w:p>
    <w:p w14:paraId="005EE95D">
      <w:pPr>
        <w:pStyle w:val="13"/>
        <w:spacing w:line="360" w:lineRule="auto"/>
        <w:ind w:left="114" w:firstLine="420"/>
        <w:jc w:val="both"/>
        <w:rPr>
          <w:rFonts w:asciiTheme="minorEastAsia" w:hAnsiTheme="minorEastAsia"/>
          <w:sz w:val="24"/>
        </w:rPr>
      </w:pPr>
      <w:r>
        <w:rPr>
          <w:rFonts w:hint="eastAsia" w:asciiTheme="minorEastAsia" w:hAnsiTheme="minorEastAsia"/>
          <w:sz w:val="24"/>
        </w:rPr>
        <w:t>项目组进驻公司，按计划开展工作。</w:t>
      </w:r>
    </w:p>
    <w:p w14:paraId="4BC605AD">
      <w:pPr>
        <w:pStyle w:val="13"/>
        <w:spacing w:line="360" w:lineRule="auto"/>
        <w:ind w:left="114" w:firstLine="420"/>
        <w:jc w:val="both"/>
        <w:rPr>
          <w:rFonts w:asciiTheme="minorEastAsia" w:hAnsiTheme="minorEastAsia"/>
          <w:sz w:val="24"/>
        </w:rPr>
      </w:pPr>
      <w:r>
        <w:rPr>
          <w:rFonts w:hint="eastAsia" w:asciiTheme="minorEastAsia" w:hAnsiTheme="minorEastAsia"/>
          <w:sz w:val="24"/>
        </w:rPr>
        <w:t>定期组织审计工作例会，汇报进展、解答疑问，获取必要支持。</w:t>
      </w:r>
    </w:p>
    <w:p w14:paraId="3390EE52">
      <w:pPr>
        <w:pStyle w:val="13"/>
        <w:spacing w:line="360" w:lineRule="auto"/>
        <w:ind w:left="114" w:firstLine="420"/>
        <w:jc w:val="both"/>
        <w:rPr>
          <w:rFonts w:asciiTheme="minorEastAsia" w:hAnsiTheme="minorEastAsia"/>
          <w:sz w:val="24"/>
        </w:rPr>
      </w:pPr>
      <w:r>
        <w:rPr>
          <w:rFonts w:hint="eastAsia" w:asciiTheme="minorEastAsia" w:hAnsiTheme="minorEastAsia"/>
          <w:sz w:val="24"/>
        </w:rPr>
        <w:t>整理审计工作底稿，详细记录审计发现问题，包括问题描述、证据支持、相关制度依据、影响程度评估，确保审计证据充分、定性准确。</w:t>
      </w:r>
    </w:p>
    <w:p w14:paraId="23027C18">
      <w:pPr>
        <w:pStyle w:val="13"/>
        <w:spacing w:line="360" w:lineRule="auto"/>
        <w:ind w:left="114" w:firstLine="420"/>
        <w:jc w:val="both"/>
        <w:rPr>
          <w:rFonts w:asciiTheme="minorEastAsia" w:hAnsiTheme="minorEastAsia"/>
          <w:sz w:val="24"/>
        </w:rPr>
      </w:pPr>
      <w:r>
        <w:rPr>
          <w:rFonts w:hint="eastAsia" w:asciiTheme="minorEastAsia" w:hAnsiTheme="minorEastAsia"/>
          <w:sz w:val="24"/>
        </w:rPr>
        <w:t>第三阶段：审计报告期</w:t>
      </w:r>
    </w:p>
    <w:p w14:paraId="441E912A">
      <w:pPr>
        <w:pStyle w:val="13"/>
        <w:spacing w:line="360" w:lineRule="auto"/>
        <w:ind w:left="114" w:firstLine="420"/>
        <w:jc w:val="both"/>
        <w:rPr>
          <w:rFonts w:asciiTheme="minorEastAsia" w:hAnsiTheme="minorEastAsia"/>
          <w:sz w:val="24"/>
        </w:rPr>
      </w:pPr>
      <w:r>
        <w:rPr>
          <w:rFonts w:hint="eastAsia" w:asciiTheme="minorEastAsia" w:hAnsiTheme="minorEastAsia"/>
          <w:sz w:val="24"/>
        </w:rPr>
        <w:t>基于审计工作底稿，撰写审计报告初稿，内容涵盖审计概况、发现问题、风险评估、整改建议；组织项目组内部讨论、审核，优化报告内容逻辑与表述准确性。</w:t>
      </w:r>
    </w:p>
    <w:p w14:paraId="0E1025C9">
      <w:pPr>
        <w:pStyle w:val="13"/>
        <w:spacing w:line="360" w:lineRule="auto"/>
        <w:ind w:left="114" w:firstLine="420"/>
        <w:jc w:val="both"/>
        <w:rPr>
          <w:rFonts w:asciiTheme="minorEastAsia" w:hAnsiTheme="minorEastAsia"/>
          <w:sz w:val="24"/>
        </w:rPr>
      </w:pPr>
      <w:r>
        <w:rPr>
          <w:rFonts w:hint="eastAsia" w:asciiTheme="minorEastAsia" w:hAnsiTheme="minorEastAsia"/>
          <w:sz w:val="24"/>
        </w:rPr>
        <w:t>向公司高级管理层正式汇报审计结果，就重点问题进行深入沟通，征求意见反馈，确保报告客观公正，得到公司认可。</w:t>
      </w:r>
    </w:p>
    <w:p w14:paraId="643ED1AF">
      <w:pPr>
        <w:pStyle w:val="13"/>
        <w:spacing w:line="360" w:lineRule="auto"/>
        <w:ind w:left="114" w:firstLine="420"/>
        <w:jc w:val="both"/>
        <w:rPr>
          <w:rFonts w:asciiTheme="minorEastAsia" w:hAnsiTheme="minorEastAsia"/>
          <w:sz w:val="24"/>
        </w:rPr>
      </w:pPr>
      <w:r>
        <w:rPr>
          <w:rFonts w:hint="eastAsia" w:asciiTheme="minorEastAsia" w:hAnsiTheme="minorEastAsia"/>
          <w:sz w:val="24"/>
        </w:rPr>
        <w:t>第四阶段：后续跟踪期</w:t>
      </w:r>
    </w:p>
    <w:p w14:paraId="089133B3">
      <w:pPr>
        <w:pStyle w:val="13"/>
        <w:spacing w:line="360" w:lineRule="auto"/>
        <w:ind w:left="114" w:firstLine="420"/>
        <w:jc w:val="both"/>
        <w:rPr>
          <w:rFonts w:asciiTheme="minorEastAsia" w:hAnsiTheme="minorEastAsia"/>
          <w:sz w:val="24"/>
        </w:rPr>
      </w:pPr>
      <w:r>
        <w:rPr>
          <w:rFonts w:hint="eastAsia" w:asciiTheme="minorEastAsia" w:hAnsiTheme="minorEastAsia"/>
          <w:sz w:val="24"/>
        </w:rPr>
        <w:t>根据公司管理层批准的整改方案，建立整改跟踪台账，明确整改责任人、时间节点、验收标准；按季度对整改情况进行回访检查，核实整改进度与成效。</w:t>
      </w:r>
    </w:p>
    <w:p w14:paraId="78C73490">
      <w:pPr>
        <w:pStyle w:val="13"/>
        <w:spacing w:line="360" w:lineRule="auto"/>
        <w:ind w:left="114" w:firstLine="420"/>
        <w:jc w:val="both"/>
        <w:rPr>
          <w:rFonts w:asciiTheme="minorEastAsia" w:hAnsiTheme="minorEastAsia"/>
          <w:sz w:val="24"/>
        </w:rPr>
      </w:pPr>
      <w:r>
        <w:rPr>
          <w:rFonts w:hint="eastAsia" w:asciiTheme="minorEastAsia" w:hAnsiTheme="minorEastAsia"/>
          <w:sz w:val="24"/>
        </w:rPr>
        <w:t>（2）</w:t>
      </w:r>
      <w:r>
        <w:rPr>
          <w:rFonts w:hint="eastAsia" w:asciiTheme="minorEastAsia" w:hAnsiTheme="minorEastAsia"/>
          <w:b/>
          <w:bCs/>
          <w:sz w:val="24"/>
        </w:rPr>
        <w:t>202</w:t>
      </w:r>
      <w:r>
        <w:rPr>
          <w:rFonts w:asciiTheme="minorEastAsia" w:hAnsiTheme="minorEastAsia"/>
          <w:b/>
          <w:bCs/>
          <w:sz w:val="24"/>
        </w:rPr>
        <w:t>7</w:t>
      </w:r>
      <w:r>
        <w:rPr>
          <w:rFonts w:hint="eastAsia" w:asciiTheme="minorEastAsia" w:hAnsiTheme="minorEastAsia"/>
          <w:b/>
          <w:bCs/>
          <w:sz w:val="24"/>
        </w:rPr>
        <w:t>年</w:t>
      </w:r>
      <w:r>
        <w:rPr>
          <w:rFonts w:asciiTheme="minorEastAsia" w:hAnsiTheme="minorEastAsia"/>
          <w:b/>
          <w:bCs/>
          <w:sz w:val="24"/>
        </w:rPr>
        <w:t>2</w:t>
      </w:r>
      <w:r>
        <w:rPr>
          <w:rFonts w:hint="eastAsia" w:asciiTheme="minorEastAsia" w:hAnsiTheme="minorEastAsia"/>
          <w:b/>
          <w:bCs/>
          <w:sz w:val="24"/>
        </w:rPr>
        <w:t>月</w:t>
      </w:r>
      <w:r>
        <w:rPr>
          <w:rFonts w:asciiTheme="minorEastAsia" w:hAnsiTheme="minorEastAsia"/>
          <w:b/>
          <w:bCs/>
          <w:sz w:val="24"/>
        </w:rPr>
        <w:t>28</w:t>
      </w:r>
      <w:r>
        <w:rPr>
          <w:rFonts w:hint="eastAsia" w:asciiTheme="minorEastAsia" w:hAnsiTheme="minorEastAsia"/>
          <w:b/>
          <w:bCs/>
          <w:sz w:val="24"/>
        </w:rPr>
        <w:t>日前</w:t>
      </w:r>
      <w:r>
        <w:rPr>
          <w:rFonts w:hint="eastAsia" w:asciiTheme="minorEastAsia" w:hAnsiTheme="minorEastAsia"/>
          <w:sz w:val="24"/>
        </w:rPr>
        <w:t>完成审计报告及审计管理建议书出具，提供内部控制管理工具。</w:t>
      </w:r>
    </w:p>
    <w:p w14:paraId="1091EDB7">
      <w:pPr>
        <w:pStyle w:val="57"/>
        <w:keepNext w:val="0"/>
        <w:widowControl/>
        <w:numPr>
          <w:ilvl w:val="0"/>
          <w:numId w:val="10"/>
        </w:numPr>
        <w:rPr>
          <w:rFonts w:ascii="黑体" w:hAnsi="黑体" w:eastAsia="黑体" w:cs="宋体"/>
          <w:szCs w:val="28"/>
        </w:rPr>
      </w:pPr>
      <w:bookmarkStart w:id="390" w:name="_Toc29213"/>
      <w:bookmarkStart w:id="391" w:name="_Toc242533987"/>
      <w:bookmarkStart w:id="392" w:name="_Toc95148211"/>
      <w:bookmarkStart w:id="393" w:name="_Toc74143870"/>
      <w:bookmarkStart w:id="394" w:name="_Toc109031573"/>
      <w:bookmarkStart w:id="395" w:name="_Toc19441"/>
      <w:r>
        <w:rPr>
          <w:rFonts w:ascii="黑体" w:hAnsi="黑体" w:eastAsia="黑体" w:cs="宋体"/>
          <w:szCs w:val="28"/>
        </w:rPr>
        <w:t>投标文件格式</w:t>
      </w:r>
      <w:bookmarkEnd w:id="390"/>
      <w:bookmarkEnd w:id="391"/>
      <w:bookmarkEnd w:id="392"/>
      <w:bookmarkEnd w:id="393"/>
      <w:bookmarkEnd w:id="394"/>
      <w:bookmarkEnd w:id="395"/>
    </w:p>
    <w:p w14:paraId="68B63687">
      <w:pPr>
        <w:rPr>
          <w:rFonts w:eastAsia="黑体"/>
          <w:b/>
          <w:sz w:val="28"/>
          <w:szCs w:val="22"/>
        </w:rPr>
      </w:pPr>
      <w:r>
        <w:rPr>
          <w:rFonts w:hint="eastAsia" w:ascii="Calibri" w:hAnsi="Calibri" w:eastAsia="黑体" w:cs="黑体"/>
          <w:b/>
          <w:sz w:val="28"/>
          <w:szCs w:val="22"/>
        </w:rPr>
        <w:t>附件</w:t>
      </w:r>
      <w:r>
        <w:rPr>
          <w:rFonts w:ascii="Calibri" w:hAnsi="Calibri" w:eastAsia="黑体"/>
          <w:b/>
          <w:sz w:val="28"/>
          <w:szCs w:val="22"/>
        </w:rPr>
        <w:t>1</w:t>
      </w:r>
    </w:p>
    <w:p w14:paraId="69459577">
      <w:pPr>
        <w:jc w:val="center"/>
        <w:rPr>
          <w:rFonts w:eastAsia="黑体"/>
          <w:b/>
          <w:sz w:val="28"/>
          <w:szCs w:val="22"/>
        </w:rPr>
      </w:pPr>
      <w:bookmarkStart w:id="396" w:name="_Toc278876641"/>
      <w:bookmarkStart w:id="397" w:name="_Toc290401063"/>
      <w:bookmarkStart w:id="398" w:name="_Toc533251966"/>
      <w:bookmarkStart w:id="399" w:name="_Toc283368335"/>
      <w:r>
        <w:rPr>
          <w:rFonts w:hint="eastAsia" w:ascii="Calibri" w:hAnsi="Calibri" w:eastAsia="黑体" w:cs="黑体"/>
          <w:b/>
          <w:sz w:val="28"/>
          <w:szCs w:val="22"/>
        </w:rPr>
        <w:t>投标函</w:t>
      </w:r>
    </w:p>
    <w:p w14:paraId="4AD0B568">
      <w:pPr>
        <w:tabs>
          <w:tab w:val="left" w:pos="720"/>
        </w:tabs>
        <w:spacing w:line="312" w:lineRule="auto"/>
        <w:ind w:right="3"/>
        <w:rPr>
          <w:rFonts w:ascii="宋体" w:hAnsi="宋体" w:cs="宋体"/>
          <w:sz w:val="24"/>
          <w:szCs w:val="22"/>
        </w:rPr>
      </w:pPr>
      <w:r>
        <w:rPr>
          <w:rFonts w:hint="eastAsia" w:ascii="宋体" w:hAnsi="宋体" w:cs="宋体"/>
          <w:sz w:val="24"/>
          <w:szCs w:val="22"/>
        </w:rPr>
        <w:t xml:space="preserve">致重汽汽车金融有限公司：              </w:t>
      </w:r>
    </w:p>
    <w:p w14:paraId="01FE35D9">
      <w:pPr>
        <w:spacing w:before="156" w:beforeLines="50" w:line="312" w:lineRule="auto"/>
        <w:ind w:firstLine="480" w:firstLineChars="200"/>
        <w:rPr>
          <w:rFonts w:ascii="宋体" w:hAnsi="宋体" w:cs="宋体"/>
          <w:sz w:val="24"/>
          <w:szCs w:val="22"/>
        </w:rPr>
      </w:pPr>
      <w:r>
        <w:rPr>
          <w:rFonts w:hint="eastAsia" w:ascii="宋体" w:hAnsi="宋体" w:cs="宋体"/>
          <w:sz w:val="24"/>
          <w:szCs w:val="22"/>
        </w:rPr>
        <w:t>1.根据贵司内部控制外部审计项目招标文件，本人代表投标人_____________（投标人名称）提交下述文件：资质证明文件、技术标书、商务标书。</w:t>
      </w:r>
    </w:p>
    <w:p w14:paraId="6804E6B8">
      <w:pPr>
        <w:spacing w:before="156" w:beforeLines="50" w:line="312" w:lineRule="auto"/>
        <w:ind w:firstLine="480" w:firstLineChars="200"/>
        <w:rPr>
          <w:rFonts w:ascii="宋体" w:hAnsi="宋体" w:cs="宋体"/>
          <w:sz w:val="24"/>
          <w:szCs w:val="22"/>
        </w:rPr>
      </w:pPr>
      <w:r>
        <w:rPr>
          <w:rFonts w:hint="eastAsia" w:ascii="宋体" w:hAnsi="宋体" w:cs="宋体"/>
          <w:sz w:val="24"/>
          <w:szCs w:val="22"/>
        </w:rPr>
        <w:t>2、我方郑重承诺：投标人将全部满足招标文件中的各项实质性要求，若有与招标文件中有偏离的，已在《商务条款偏离表》或《技术规格、参数偏离表》中陈述。除了《商务条款偏离表》或《技术规格、参数偏离表》陈述的偏离外，如果发现投标文件中另有与招标文件中不一致的响应或没有响应，投标人同意招标人有权要求投标人按照招标文件的要求提供服务。投标人并同意按照招标文件的规定履行合同责任和义务。</w:t>
      </w:r>
    </w:p>
    <w:p w14:paraId="69010801">
      <w:pPr>
        <w:spacing w:before="156" w:beforeLines="50" w:line="312" w:lineRule="auto"/>
        <w:ind w:firstLine="480" w:firstLineChars="200"/>
        <w:rPr>
          <w:rFonts w:ascii="宋体" w:hAnsi="宋体" w:cs="宋体"/>
          <w:sz w:val="24"/>
          <w:szCs w:val="22"/>
        </w:rPr>
      </w:pPr>
      <w:r>
        <w:rPr>
          <w:rFonts w:hint="eastAsia" w:ascii="宋体" w:hAnsi="宋体" w:cs="宋体"/>
          <w:sz w:val="24"/>
          <w:szCs w:val="22"/>
        </w:rPr>
        <w:t>3、我方已详细审查全部招标文件，包括修改文件（如有的话）以及全部参考资料和有关附件。我们完全理解并同意放弃对这方面有不明及误解的权利。</w:t>
      </w:r>
    </w:p>
    <w:p w14:paraId="3A3B0714">
      <w:pPr>
        <w:spacing w:before="156" w:beforeLines="50" w:line="312" w:lineRule="auto"/>
        <w:ind w:firstLine="480" w:firstLineChars="200"/>
        <w:rPr>
          <w:rFonts w:ascii="宋体" w:hAnsi="宋体" w:cs="宋体"/>
          <w:sz w:val="24"/>
          <w:szCs w:val="22"/>
        </w:rPr>
      </w:pPr>
      <w:r>
        <w:rPr>
          <w:rFonts w:hint="eastAsia" w:ascii="宋体" w:hAnsi="宋体" w:cs="宋体"/>
          <w:sz w:val="24"/>
          <w:szCs w:val="22"/>
        </w:rPr>
        <w:t>4、我方的投标自投标截止之日起至合同签署日一直有效。</w:t>
      </w:r>
    </w:p>
    <w:p w14:paraId="69AE617C">
      <w:pPr>
        <w:spacing w:before="156" w:beforeLines="50" w:line="312" w:lineRule="auto"/>
        <w:ind w:firstLine="480" w:firstLineChars="200"/>
        <w:rPr>
          <w:rFonts w:ascii="宋体" w:hAnsi="宋体" w:cs="宋体"/>
          <w:sz w:val="24"/>
          <w:szCs w:val="22"/>
        </w:rPr>
      </w:pPr>
      <w:r>
        <w:rPr>
          <w:rFonts w:hint="eastAsia" w:ascii="宋体" w:hAnsi="宋体" w:cs="宋体"/>
          <w:sz w:val="24"/>
          <w:szCs w:val="22"/>
        </w:rPr>
        <w:t>5、我方同意提供按照贵方可能要求的与我方投标有关的一切数据或资料，理解贵方不一定要接受最低价的投标或收到的任何投标。</w:t>
      </w:r>
    </w:p>
    <w:p w14:paraId="4FCFED34">
      <w:pPr>
        <w:spacing w:before="156" w:beforeLines="50" w:line="312" w:lineRule="auto"/>
        <w:ind w:firstLine="480" w:firstLineChars="200"/>
        <w:rPr>
          <w:rFonts w:ascii="宋体" w:hAnsi="宋体" w:cs="宋体"/>
          <w:sz w:val="24"/>
          <w:szCs w:val="22"/>
        </w:rPr>
      </w:pPr>
      <w:r>
        <w:rPr>
          <w:rFonts w:hint="eastAsia" w:ascii="宋体" w:hAnsi="宋体" w:cs="宋体"/>
          <w:sz w:val="24"/>
          <w:szCs w:val="22"/>
        </w:rPr>
        <w:t>投标人承诺所提供的所有数据和资料均真实有效，如存在虚报情况，投标人愿为此承担一切法律责任，并主动退出本项目竞标。</w:t>
      </w:r>
    </w:p>
    <w:p w14:paraId="36F76290">
      <w:pPr>
        <w:spacing w:before="156" w:beforeLines="50" w:line="312" w:lineRule="auto"/>
        <w:ind w:firstLine="480" w:firstLineChars="200"/>
        <w:rPr>
          <w:rFonts w:ascii="宋体" w:hAnsi="宋体" w:cs="宋体"/>
          <w:sz w:val="24"/>
          <w:szCs w:val="22"/>
        </w:rPr>
      </w:pPr>
      <w:r>
        <w:rPr>
          <w:rFonts w:hint="eastAsia" w:ascii="宋体" w:hAnsi="宋体" w:cs="宋体"/>
          <w:sz w:val="24"/>
          <w:szCs w:val="22"/>
        </w:rPr>
        <w:t>6、与本投标有关的一切正式往来通讯请寄：</w:t>
      </w:r>
    </w:p>
    <w:p w14:paraId="579607E1">
      <w:pPr>
        <w:spacing w:before="156" w:beforeLines="50" w:line="312" w:lineRule="auto"/>
        <w:ind w:firstLine="480" w:firstLineChars="200"/>
        <w:rPr>
          <w:rFonts w:ascii="宋体" w:hAnsi="宋体" w:cs="宋体"/>
          <w:sz w:val="24"/>
          <w:szCs w:val="22"/>
        </w:rPr>
      </w:pPr>
      <w:r>
        <w:rPr>
          <w:rFonts w:hint="eastAsia" w:ascii="宋体" w:hAnsi="宋体" w:cs="宋体"/>
          <w:sz w:val="24"/>
          <w:szCs w:val="22"/>
        </w:rPr>
        <w:t>地址：                                   邮编：</w:t>
      </w:r>
    </w:p>
    <w:p w14:paraId="21540F0D">
      <w:pPr>
        <w:spacing w:before="156" w:beforeLines="50" w:line="312" w:lineRule="auto"/>
        <w:ind w:firstLine="480" w:firstLineChars="200"/>
        <w:rPr>
          <w:rFonts w:ascii="宋体" w:hAnsi="宋体" w:cs="宋体"/>
          <w:sz w:val="24"/>
          <w:szCs w:val="22"/>
        </w:rPr>
      </w:pPr>
      <w:r>
        <w:rPr>
          <w:rFonts w:hint="eastAsia" w:ascii="宋体" w:hAnsi="宋体" w:cs="宋体"/>
          <w:sz w:val="24"/>
          <w:szCs w:val="22"/>
        </w:rPr>
        <w:t>电话：                                   传真：</w:t>
      </w:r>
    </w:p>
    <w:p w14:paraId="71B711D5">
      <w:pPr>
        <w:tabs>
          <w:tab w:val="left" w:pos="720"/>
        </w:tabs>
        <w:spacing w:line="312" w:lineRule="auto"/>
        <w:ind w:right="3" w:firstLine="2640" w:firstLineChars="1100"/>
        <w:rPr>
          <w:rFonts w:ascii="宋体" w:hAnsi="宋体" w:cs="宋体"/>
          <w:sz w:val="24"/>
          <w:szCs w:val="22"/>
        </w:rPr>
      </w:pPr>
      <w:r>
        <w:rPr>
          <w:rFonts w:hint="eastAsia" w:ascii="宋体" w:hAnsi="宋体" w:cs="宋体"/>
          <w:sz w:val="24"/>
          <w:szCs w:val="22"/>
        </w:rPr>
        <w:t xml:space="preserve"> 投    标    人（公章）：                 </w:t>
      </w:r>
    </w:p>
    <w:p w14:paraId="792D887D">
      <w:pPr>
        <w:spacing w:line="312" w:lineRule="auto"/>
        <w:ind w:right="-687" w:rightChars="-327" w:firstLine="2760" w:firstLineChars="1150"/>
        <w:rPr>
          <w:rFonts w:ascii="宋体" w:hAnsi="宋体" w:cs="宋体"/>
          <w:sz w:val="24"/>
          <w:szCs w:val="22"/>
        </w:rPr>
      </w:pPr>
      <w:r>
        <w:rPr>
          <w:rFonts w:hint="eastAsia" w:ascii="宋体" w:hAnsi="宋体" w:cs="宋体"/>
          <w:sz w:val="24"/>
          <w:szCs w:val="22"/>
        </w:rPr>
        <w:t>法定代表人或授权委托人（签字或盖章）：</w:t>
      </w:r>
    </w:p>
    <w:p w14:paraId="745DD718">
      <w:pPr>
        <w:spacing w:line="312" w:lineRule="auto"/>
        <w:ind w:right="-687" w:rightChars="-327" w:firstLine="2760" w:firstLineChars="1150"/>
        <w:rPr>
          <w:rFonts w:ascii="宋体" w:hAnsi="宋体" w:cs="宋体"/>
          <w:sz w:val="24"/>
          <w:szCs w:val="22"/>
        </w:rPr>
      </w:pPr>
      <w:r>
        <w:rPr>
          <w:rFonts w:hint="eastAsia" w:ascii="宋体" w:hAnsi="宋体" w:cs="宋体"/>
          <w:sz w:val="24"/>
          <w:szCs w:val="22"/>
        </w:rPr>
        <w:t>日       期：         年      月      日</w:t>
      </w:r>
    </w:p>
    <w:bookmarkEnd w:id="396"/>
    <w:bookmarkEnd w:id="397"/>
    <w:bookmarkEnd w:id="398"/>
    <w:bookmarkEnd w:id="399"/>
    <w:p w14:paraId="4EE02D99">
      <w:pPr>
        <w:rPr>
          <w:rFonts w:ascii="Calibri" w:hAnsi="Calibri" w:eastAsia="黑体" w:cs="黑体"/>
          <w:b/>
          <w:sz w:val="28"/>
          <w:szCs w:val="22"/>
        </w:rPr>
      </w:pPr>
    </w:p>
    <w:p w14:paraId="4DE7E599">
      <w:pPr>
        <w:rPr>
          <w:rFonts w:hint="eastAsia" w:ascii="Calibri" w:hAnsi="Calibri" w:eastAsia="黑体" w:cs="黑体"/>
          <w:b/>
          <w:sz w:val="28"/>
          <w:szCs w:val="22"/>
        </w:rPr>
      </w:pPr>
    </w:p>
    <w:p w14:paraId="087A4ADA">
      <w:pPr>
        <w:rPr>
          <w:rFonts w:eastAsia="黑体"/>
        </w:rPr>
      </w:pPr>
      <w:r>
        <w:rPr>
          <w:rFonts w:hint="eastAsia" w:ascii="Calibri" w:hAnsi="Calibri" w:eastAsia="黑体" w:cs="黑体"/>
          <w:b/>
          <w:sz w:val="28"/>
          <w:szCs w:val="22"/>
        </w:rPr>
        <w:t>附件</w:t>
      </w:r>
      <w:r>
        <w:rPr>
          <w:rFonts w:ascii="Calibri" w:hAnsi="Calibri" w:eastAsia="黑体"/>
          <w:b/>
          <w:sz w:val="28"/>
          <w:szCs w:val="22"/>
        </w:rPr>
        <w:t>2</w:t>
      </w:r>
    </w:p>
    <w:p w14:paraId="2EDA666E">
      <w:pPr>
        <w:spacing w:line="360" w:lineRule="auto"/>
        <w:jc w:val="center"/>
        <w:rPr>
          <w:rFonts w:ascii="宋体" w:hAnsi="宋体" w:cs="宋体"/>
          <w:color w:val="000000"/>
          <w:sz w:val="32"/>
          <w:szCs w:val="32"/>
        </w:rPr>
      </w:pPr>
      <w:r>
        <w:rPr>
          <w:rFonts w:hint="eastAsia" w:ascii="宋体" w:hAnsi="宋体" w:cs="宋体"/>
          <w:b/>
          <w:bCs/>
          <w:color w:val="000000"/>
          <w:sz w:val="32"/>
          <w:szCs w:val="32"/>
        </w:rPr>
        <w:t>法定代表人授权委托书</w:t>
      </w:r>
    </w:p>
    <w:p w14:paraId="46289B71">
      <w:pPr>
        <w:spacing w:line="360" w:lineRule="auto"/>
        <w:ind w:firstLine="480" w:firstLineChars="200"/>
        <w:jc w:val="left"/>
        <w:rPr>
          <w:rFonts w:ascii="宋体" w:hAnsi="宋体"/>
          <w:color w:val="000000"/>
          <w:sz w:val="24"/>
        </w:rPr>
      </w:pPr>
      <w:r>
        <w:rPr>
          <w:rFonts w:hint="eastAsia" w:ascii="宋体" w:hAnsi="宋体"/>
          <w:color w:val="000000"/>
          <w:sz w:val="24"/>
        </w:rPr>
        <w:t>本授权委托书声明：我</w:t>
      </w:r>
      <w:r>
        <w:rPr>
          <w:rFonts w:hint="eastAsia" w:ascii="宋体" w:hAnsi="宋体"/>
          <w:color w:val="000000"/>
          <w:sz w:val="24"/>
          <w:u w:val="single"/>
        </w:rPr>
        <w:t xml:space="preserve">        </w:t>
      </w:r>
      <w:r>
        <w:rPr>
          <w:rFonts w:hint="eastAsia" w:ascii="宋体" w:hAnsi="宋体"/>
          <w:color w:val="000000"/>
          <w:sz w:val="24"/>
        </w:rPr>
        <w:t>（姓名）系</w:t>
      </w:r>
      <w:r>
        <w:rPr>
          <w:rFonts w:hint="eastAsia" w:ascii="宋体" w:hAnsi="宋体"/>
          <w:color w:val="000000"/>
          <w:sz w:val="24"/>
          <w:u w:val="single"/>
        </w:rPr>
        <w:t xml:space="preserve">                        </w:t>
      </w:r>
      <w:r>
        <w:rPr>
          <w:rFonts w:hint="eastAsia" w:ascii="宋体" w:hAnsi="宋体"/>
          <w:color w:val="000000"/>
          <w:sz w:val="24"/>
        </w:rPr>
        <w:t>（投标人全称）的法定代表人，就</w:t>
      </w:r>
      <w:r>
        <w:rPr>
          <w:rFonts w:hint="eastAsia" w:ascii="宋体" w:hAnsi="宋体"/>
          <w:color w:val="000000"/>
          <w:sz w:val="24"/>
          <w:u w:val="single"/>
        </w:rPr>
        <w:t>重汽汽金2026年度财务报表及内部控制审计项目</w:t>
      </w:r>
      <w:r>
        <w:rPr>
          <w:rFonts w:hint="eastAsia" w:ascii="宋体" w:hAnsi="宋体"/>
          <w:color w:val="000000"/>
          <w:sz w:val="24"/>
        </w:rPr>
        <w:t>现授权委托</w:t>
      </w:r>
      <w:r>
        <w:rPr>
          <w:rFonts w:hint="eastAsia" w:ascii="宋体" w:hAnsi="宋体"/>
          <w:color w:val="000000"/>
          <w:sz w:val="24"/>
          <w:u w:val="single"/>
        </w:rPr>
        <w:t xml:space="preserve">          </w:t>
      </w:r>
      <w:r>
        <w:rPr>
          <w:rFonts w:hint="eastAsia" w:ascii="宋体" w:hAnsi="宋体"/>
          <w:color w:val="000000"/>
          <w:sz w:val="24"/>
        </w:rPr>
        <w:t>（单位名称）的</w:t>
      </w:r>
      <w:r>
        <w:rPr>
          <w:rFonts w:hint="eastAsia" w:ascii="宋体" w:hAnsi="宋体"/>
          <w:color w:val="000000"/>
          <w:sz w:val="24"/>
          <w:u w:val="single"/>
        </w:rPr>
        <w:t xml:space="preserve">             </w:t>
      </w:r>
      <w:r>
        <w:rPr>
          <w:rFonts w:hint="eastAsia" w:ascii="宋体" w:hAnsi="宋体"/>
          <w:color w:val="000000"/>
          <w:sz w:val="24"/>
        </w:rPr>
        <w:t>（姓名、职务）为我公司全权代表，全权代表在投标文件、评标过程中的书面承诺、合同等所签署的一切文件和处理与之有关的一切事务，我均予以承认。</w:t>
      </w:r>
    </w:p>
    <w:p w14:paraId="51F7C146">
      <w:pPr>
        <w:spacing w:line="360" w:lineRule="auto"/>
        <w:ind w:firstLine="480" w:firstLineChars="200"/>
        <w:rPr>
          <w:rFonts w:ascii="宋体" w:hAnsi="宋体"/>
          <w:color w:val="000000"/>
          <w:sz w:val="24"/>
        </w:rPr>
      </w:pPr>
      <w:r>
        <w:rPr>
          <w:rFonts w:hint="eastAsia" w:ascii="宋体" w:hAnsi="宋体"/>
          <w:color w:val="000000"/>
          <w:sz w:val="24"/>
        </w:rPr>
        <w:t>全权代表无转委权。特此委托。</w:t>
      </w:r>
    </w:p>
    <w:tbl>
      <w:tblPr>
        <w:tblStyle w:val="25"/>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49C295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2B0DC660">
            <w:pPr>
              <w:adjustRightInd w:val="0"/>
              <w:snapToGrid w:val="0"/>
              <w:spacing w:before="93" w:beforeLines="30" w:line="312" w:lineRule="auto"/>
              <w:jc w:val="center"/>
              <w:rPr>
                <w:rFonts w:ascii="宋体" w:hAnsi="Calibri"/>
                <w:sz w:val="24"/>
              </w:rPr>
            </w:pPr>
            <w:r>
              <w:rPr>
                <w:rFonts w:hint="eastAsia" w:ascii="宋体" w:hAnsi="宋体"/>
                <w:sz w:val="24"/>
              </w:rPr>
              <w:t>附法人身份证明复印件（</w:t>
            </w:r>
            <w:r>
              <w:rPr>
                <w:rFonts w:hint="eastAsia" w:ascii="宋体" w:hAnsi="宋体"/>
                <w:color w:val="000000" w:themeColor="text1"/>
                <w:sz w:val="24"/>
                <w14:textFill>
                  <w14:solidFill>
                    <w14:schemeClr w14:val="tx1"/>
                  </w14:solidFill>
                </w14:textFill>
              </w:rPr>
              <w:t>正反面）</w:t>
            </w:r>
          </w:p>
          <w:p w14:paraId="5DB15762">
            <w:pPr>
              <w:adjustRightInd w:val="0"/>
              <w:snapToGrid w:val="0"/>
              <w:spacing w:before="93" w:beforeLines="30" w:line="312" w:lineRule="auto"/>
              <w:jc w:val="center"/>
              <w:rPr>
                <w:rFonts w:ascii="宋体" w:hAnsi="Calibri"/>
                <w:sz w:val="24"/>
              </w:rPr>
            </w:pPr>
            <w:r>
              <w:rPr>
                <w:rFonts w:hint="eastAsia" w:ascii="宋体" w:hAnsi="宋体"/>
                <w:sz w:val="24"/>
              </w:rPr>
              <w:t>附授权代理人身份证明复印件（正反面）</w:t>
            </w:r>
          </w:p>
        </w:tc>
      </w:tr>
    </w:tbl>
    <w:p w14:paraId="6D1BDF19">
      <w:pPr>
        <w:spacing w:line="360" w:lineRule="auto"/>
        <w:ind w:firstLine="480" w:firstLineChars="200"/>
        <w:rPr>
          <w:rFonts w:ascii="宋体" w:hAnsi="宋体"/>
          <w:color w:val="000000"/>
          <w:sz w:val="24"/>
        </w:rPr>
      </w:pPr>
      <w:r>
        <w:rPr>
          <w:rFonts w:hint="eastAsia" w:ascii="宋体" w:hAnsi="宋体"/>
          <w:color w:val="000000"/>
          <w:sz w:val="24"/>
        </w:rPr>
        <w:t>全权代表姓名：</w:t>
      </w:r>
      <w:r>
        <w:rPr>
          <w:rFonts w:ascii="宋体" w:hAnsi="宋体"/>
          <w:color w:val="000000"/>
          <w:sz w:val="24"/>
        </w:rPr>
        <w:t xml:space="preserve">            </w:t>
      </w:r>
      <w:r>
        <w:rPr>
          <w:rFonts w:hint="eastAsia" w:ascii="宋体" w:hAnsi="宋体"/>
          <w:color w:val="000000"/>
          <w:sz w:val="24"/>
        </w:rPr>
        <w:t>性别：</w:t>
      </w:r>
      <w:r>
        <w:rPr>
          <w:rFonts w:ascii="宋体" w:hAnsi="宋体"/>
          <w:color w:val="000000"/>
          <w:sz w:val="24"/>
        </w:rPr>
        <w:t xml:space="preserve">          </w:t>
      </w:r>
      <w:r>
        <w:rPr>
          <w:rFonts w:hint="eastAsia" w:ascii="宋体" w:hAnsi="宋体"/>
          <w:color w:val="000000"/>
          <w:sz w:val="24"/>
        </w:rPr>
        <w:t>年龄：</w:t>
      </w:r>
    </w:p>
    <w:p w14:paraId="458B0E97">
      <w:pPr>
        <w:spacing w:line="360" w:lineRule="auto"/>
        <w:ind w:firstLine="480" w:firstLineChars="200"/>
        <w:rPr>
          <w:rFonts w:ascii="宋体" w:hAnsi="宋体"/>
          <w:color w:val="000000"/>
          <w:sz w:val="24"/>
        </w:rPr>
      </w:pPr>
      <w:r>
        <w:rPr>
          <w:rFonts w:hint="eastAsia" w:ascii="宋体" w:hAnsi="宋体"/>
          <w:color w:val="000000"/>
          <w:sz w:val="24"/>
        </w:rPr>
        <w:t>单位：</w:t>
      </w:r>
      <w:r>
        <w:rPr>
          <w:rFonts w:ascii="宋体" w:hAnsi="宋体"/>
          <w:color w:val="000000"/>
          <w:sz w:val="24"/>
        </w:rPr>
        <w:t xml:space="preserve">                    </w:t>
      </w:r>
      <w:r>
        <w:rPr>
          <w:rFonts w:hint="eastAsia" w:ascii="宋体" w:hAnsi="宋体"/>
          <w:color w:val="000000"/>
          <w:sz w:val="24"/>
        </w:rPr>
        <w:t>部门：</w:t>
      </w:r>
      <w:r>
        <w:rPr>
          <w:rFonts w:ascii="宋体" w:hAnsi="宋体"/>
          <w:color w:val="000000"/>
          <w:sz w:val="24"/>
        </w:rPr>
        <w:t xml:space="preserve">          </w:t>
      </w:r>
      <w:r>
        <w:rPr>
          <w:rFonts w:hint="eastAsia" w:ascii="宋体" w:hAnsi="宋体"/>
          <w:color w:val="000000"/>
          <w:sz w:val="24"/>
        </w:rPr>
        <w:t>职务：</w:t>
      </w:r>
    </w:p>
    <w:p w14:paraId="6C840934">
      <w:pPr>
        <w:spacing w:line="360" w:lineRule="auto"/>
        <w:ind w:firstLine="480" w:firstLineChars="200"/>
        <w:rPr>
          <w:rFonts w:ascii="宋体" w:hAnsi="宋体"/>
          <w:color w:val="000000"/>
          <w:sz w:val="24"/>
        </w:rPr>
      </w:pPr>
      <w:r>
        <w:rPr>
          <w:rFonts w:hint="eastAsia" w:ascii="宋体" w:hAnsi="宋体"/>
          <w:color w:val="000000"/>
          <w:sz w:val="24"/>
        </w:rPr>
        <w:t>法定代表人签字或盖章</w:t>
      </w:r>
      <w:r>
        <w:rPr>
          <w:rFonts w:ascii="宋体" w:hAnsi="宋体"/>
          <w:color w:val="000000"/>
          <w:sz w:val="24"/>
        </w:rPr>
        <w:t xml:space="preserve">                          </w:t>
      </w:r>
    </w:p>
    <w:p w14:paraId="3F501650">
      <w:pPr>
        <w:spacing w:line="360" w:lineRule="auto"/>
        <w:ind w:firstLine="480" w:firstLineChars="200"/>
        <w:rPr>
          <w:rFonts w:ascii="宋体" w:hAnsi="宋体"/>
          <w:color w:val="000000"/>
          <w:sz w:val="24"/>
        </w:rPr>
      </w:pPr>
      <w:r>
        <w:rPr>
          <w:rFonts w:hint="eastAsia" w:ascii="宋体" w:hAnsi="宋体"/>
          <w:color w:val="000000"/>
          <w:sz w:val="24"/>
        </w:rPr>
        <w:t>被授权人签字：</w:t>
      </w:r>
      <w:r>
        <w:rPr>
          <w:rFonts w:ascii="宋体" w:hAnsi="宋体"/>
          <w:color w:val="000000"/>
          <w:sz w:val="24"/>
        </w:rPr>
        <w:t xml:space="preserve">  </w:t>
      </w:r>
    </w:p>
    <w:p w14:paraId="4517CAEC">
      <w:pPr>
        <w:spacing w:line="360" w:lineRule="auto"/>
        <w:ind w:firstLine="480" w:firstLineChars="200"/>
        <w:rPr>
          <w:rFonts w:ascii="宋体" w:hAnsi="宋体"/>
          <w:color w:val="000000"/>
          <w:sz w:val="24"/>
        </w:rPr>
      </w:pPr>
      <w:r>
        <w:rPr>
          <w:rFonts w:hint="eastAsia" w:ascii="宋体" w:hAnsi="宋体"/>
          <w:color w:val="000000"/>
          <w:sz w:val="24"/>
        </w:rPr>
        <w:t>被授权人电话：</w:t>
      </w:r>
      <w:r>
        <w:rPr>
          <w:rFonts w:ascii="宋体" w:hAnsi="宋体"/>
          <w:color w:val="000000"/>
          <w:sz w:val="24"/>
        </w:rPr>
        <w:t xml:space="preserve">   </w:t>
      </w:r>
    </w:p>
    <w:p w14:paraId="4E40C5EB">
      <w:pPr>
        <w:spacing w:line="360" w:lineRule="auto"/>
        <w:ind w:firstLine="480" w:firstLineChars="200"/>
        <w:rPr>
          <w:rFonts w:ascii="宋体" w:hAnsi="宋体"/>
          <w:color w:val="000000"/>
          <w:sz w:val="24"/>
        </w:rPr>
      </w:pPr>
      <w:r>
        <w:rPr>
          <w:rFonts w:hint="eastAsia" w:ascii="宋体" w:hAnsi="宋体"/>
          <w:color w:val="000000"/>
          <w:sz w:val="24"/>
        </w:rPr>
        <w:t>投标人名称（公章）</w:t>
      </w:r>
      <w:r>
        <w:rPr>
          <w:rFonts w:ascii="宋体" w:hAnsi="宋体"/>
          <w:color w:val="000000"/>
          <w:sz w:val="24"/>
        </w:rPr>
        <w:t xml:space="preserve">                       </w:t>
      </w:r>
    </w:p>
    <w:p w14:paraId="1EAA9B8A">
      <w:pPr>
        <w:spacing w:line="460" w:lineRule="exact"/>
        <w:ind w:firstLine="5520" w:firstLineChars="2300"/>
        <w:rPr>
          <w:rFonts w:ascii="宋体" w:hAnsi="Calibri"/>
          <w:sz w:val="24"/>
          <w:u w:val="single"/>
        </w:rPr>
      </w:pP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77852E4E">
      <w:pPr>
        <w:spacing w:line="360" w:lineRule="auto"/>
        <w:ind w:firstLine="4800" w:firstLineChars="2000"/>
        <w:rPr>
          <w:rFonts w:ascii="宋体" w:hAnsi="宋体" w:cs="宋体"/>
          <w:sz w:val="24"/>
          <w:szCs w:val="21"/>
        </w:rPr>
      </w:pPr>
    </w:p>
    <w:p w14:paraId="33748780">
      <w:pPr>
        <w:spacing w:line="360" w:lineRule="auto"/>
        <w:ind w:firstLine="4800" w:firstLineChars="2000"/>
        <w:rPr>
          <w:rFonts w:ascii="宋体" w:hAnsi="宋体" w:cs="宋体"/>
          <w:sz w:val="24"/>
          <w:szCs w:val="21"/>
        </w:rPr>
      </w:pPr>
    </w:p>
    <w:p w14:paraId="65E6ADEC">
      <w:pPr>
        <w:spacing w:line="360" w:lineRule="auto"/>
        <w:ind w:firstLine="4800" w:firstLineChars="2000"/>
        <w:rPr>
          <w:rFonts w:ascii="宋体" w:hAnsi="宋体" w:cs="宋体"/>
          <w:sz w:val="24"/>
          <w:szCs w:val="21"/>
        </w:rPr>
      </w:pPr>
    </w:p>
    <w:p w14:paraId="1F8F8621">
      <w:pPr>
        <w:spacing w:line="360" w:lineRule="auto"/>
        <w:ind w:firstLine="4800" w:firstLineChars="2000"/>
        <w:rPr>
          <w:rFonts w:ascii="宋体" w:hAnsi="宋体" w:cs="宋体"/>
          <w:sz w:val="24"/>
          <w:szCs w:val="21"/>
        </w:rPr>
      </w:pPr>
    </w:p>
    <w:p w14:paraId="63A3125F">
      <w:pPr>
        <w:rPr>
          <w:rFonts w:eastAsia="黑体"/>
          <w:b/>
          <w:sz w:val="28"/>
          <w:szCs w:val="22"/>
        </w:rPr>
      </w:pPr>
      <w:r>
        <w:rPr>
          <w:rFonts w:ascii="Calibri" w:hAnsi="Calibri"/>
          <w:szCs w:val="22"/>
        </w:rPr>
        <w:br w:type="page"/>
      </w:r>
      <w:bookmarkStart w:id="400" w:name="_Toc386297882"/>
      <w:r>
        <w:rPr>
          <w:rFonts w:hint="eastAsia" w:ascii="Calibri" w:hAnsi="Calibri" w:eastAsia="黑体" w:cs="黑体"/>
          <w:b/>
          <w:sz w:val="28"/>
          <w:szCs w:val="22"/>
        </w:rPr>
        <w:t>附件</w:t>
      </w:r>
      <w:r>
        <w:rPr>
          <w:rFonts w:ascii="Calibri" w:hAnsi="Calibri" w:eastAsia="黑体"/>
          <w:b/>
          <w:sz w:val="28"/>
          <w:szCs w:val="22"/>
        </w:rPr>
        <w:t>3</w:t>
      </w:r>
    </w:p>
    <w:p w14:paraId="7CCA0E25">
      <w:pPr>
        <w:jc w:val="center"/>
        <w:rPr>
          <w:sz w:val="32"/>
          <w:szCs w:val="22"/>
        </w:rPr>
      </w:pPr>
      <w:r>
        <w:rPr>
          <w:rFonts w:hint="eastAsia" w:ascii="Calibri" w:hAnsi="Calibri" w:eastAsia="黑体" w:cs="黑体"/>
          <w:b/>
          <w:sz w:val="28"/>
          <w:szCs w:val="22"/>
        </w:rPr>
        <w:t>竞标人资格证明文件</w:t>
      </w:r>
      <w:bookmarkEnd w:id="400"/>
    </w:p>
    <w:p w14:paraId="24F59133">
      <w:pPr>
        <w:spacing w:line="360" w:lineRule="auto"/>
        <w:rPr>
          <w:rFonts w:ascii="宋体" w:hAnsi="宋体" w:cs="宋体"/>
          <w:sz w:val="24"/>
          <w:szCs w:val="22"/>
        </w:rPr>
      </w:pPr>
      <w:r>
        <w:rPr>
          <w:rFonts w:hint="eastAsia" w:ascii="宋体" w:hAnsi="宋体" w:cs="宋体"/>
          <w:sz w:val="24"/>
          <w:szCs w:val="22"/>
        </w:rPr>
        <w:t>重汽汽车金融有限公司：</w:t>
      </w:r>
    </w:p>
    <w:p w14:paraId="59EDBF47">
      <w:pPr>
        <w:spacing w:line="360" w:lineRule="auto"/>
        <w:ind w:firstLine="480" w:firstLineChars="200"/>
        <w:rPr>
          <w:rFonts w:ascii="宋体" w:hAnsi="宋体" w:cs="宋体"/>
          <w:sz w:val="24"/>
          <w:szCs w:val="22"/>
        </w:rPr>
      </w:pPr>
      <w:r>
        <w:rPr>
          <w:rFonts w:hint="eastAsia" w:ascii="宋体" w:hAnsi="宋体" w:cs="宋体"/>
          <w:sz w:val="24"/>
          <w:szCs w:val="22"/>
        </w:rPr>
        <w:t>贵公司组织的</w:t>
      </w:r>
      <w:r>
        <w:rPr>
          <w:rFonts w:ascii="宋体" w:hAnsi="宋体" w:cs="宋体"/>
          <w:sz w:val="24"/>
          <w:szCs w:val="22"/>
          <w:u w:val="single"/>
        </w:rPr>
        <w:t xml:space="preserve">                </w:t>
      </w:r>
      <w:r>
        <w:rPr>
          <w:rFonts w:hint="eastAsia" w:ascii="宋体" w:hAnsi="宋体" w:cs="宋体"/>
          <w:sz w:val="24"/>
          <w:szCs w:val="22"/>
        </w:rPr>
        <w:t>项目招标采购活动，我公司愿意参加，并证明提交的下列文件、证明和陈述均是准确的、真实的。若与真实情况不符，我公司愿意承担由此而产生的一切后果。</w:t>
      </w:r>
    </w:p>
    <w:p w14:paraId="4AB9E56C">
      <w:pPr>
        <w:numPr>
          <w:ilvl w:val="0"/>
          <w:numId w:val="11"/>
        </w:numPr>
        <w:spacing w:line="360" w:lineRule="auto"/>
        <w:ind w:firstLine="480" w:firstLineChars="200"/>
        <w:rPr>
          <w:rFonts w:ascii="宋体" w:hAnsi="宋体" w:cs="宋体"/>
          <w:sz w:val="24"/>
          <w:szCs w:val="22"/>
        </w:rPr>
      </w:pPr>
      <w:r>
        <w:rPr>
          <w:rFonts w:hint="eastAsia" w:ascii="宋体" w:hAnsi="宋体" w:cs="宋体"/>
          <w:sz w:val="24"/>
          <w:szCs w:val="22"/>
        </w:rPr>
        <w:t>工商营业执照副本复印件（加盖公章）。</w:t>
      </w:r>
    </w:p>
    <w:p w14:paraId="7AB3702E">
      <w:pPr>
        <w:numPr>
          <w:ilvl w:val="0"/>
          <w:numId w:val="11"/>
        </w:numPr>
        <w:spacing w:line="360" w:lineRule="auto"/>
        <w:ind w:firstLine="480" w:firstLineChars="200"/>
        <w:rPr>
          <w:rFonts w:ascii="宋体" w:hAnsi="宋体" w:cs="宋体"/>
          <w:sz w:val="24"/>
          <w:szCs w:val="22"/>
        </w:rPr>
      </w:pPr>
      <w:r>
        <w:rPr>
          <w:rFonts w:hint="eastAsia" w:ascii="宋体" w:hAnsi="宋体" w:cs="宋体"/>
          <w:sz w:val="24"/>
          <w:szCs w:val="22"/>
        </w:rPr>
        <w:t>竞标人认为有必要提供的其他证明文件（加盖公章）。</w:t>
      </w:r>
    </w:p>
    <w:p w14:paraId="2632F69B">
      <w:pPr>
        <w:spacing w:line="360" w:lineRule="auto"/>
        <w:rPr>
          <w:sz w:val="24"/>
          <w:szCs w:val="22"/>
        </w:rPr>
      </w:pPr>
    </w:p>
    <w:p w14:paraId="14345A70">
      <w:pPr>
        <w:spacing w:line="360" w:lineRule="auto"/>
        <w:rPr>
          <w:rFonts w:ascii="宋体" w:hAnsi="宋体" w:cs="宋体"/>
          <w:sz w:val="24"/>
          <w:szCs w:val="22"/>
        </w:rPr>
      </w:pPr>
    </w:p>
    <w:p w14:paraId="06A43F4E">
      <w:pPr>
        <w:spacing w:line="360" w:lineRule="auto"/>
        <w:rPr>
          <w:rFonts w:ascii="宋体" w:hAnsi="宋体" w:cs="宋体"/>
          <w:sz w:val="24"/>
          <w:szCs w:val="22"/>
        </w:rPr>
      </w:pPr>
    </w:p>
    <w:p w14:paraId="03CB3986">
      <w:pPr>
        <w:spacing w:line="360" w:lineRule="auto"/>
        <w:rPr>
          <w:rFonts w:ascii="宋体" w:hAnsi="宋体" w:cs="宋体"/>
          <w:sz w:val="24"/>
          <w:szCs w:val="22"/>
        </w:rPr>
      </w:pPr>
    </w:p>
    <w:p w14:paraId="398CD051">
      <w:pPr>
        <w:spacing w:line="360" w:lineRule="auto"/>
        <w:rPr>
          <w:rFonts w:ascii="宋体" w:hAnsi="宋体" w:cs="宋体"/>
          <w:sz w:val="24"/>
          <w:szCs w:val="22"/>
        </w:rPr>
      </w:pPr>
    </w:p>
    <w:p w14:paraId="16A25158">
      <w:pPr>
        <w:spacing w:line="360" w:lineRule="auto"/>
        <w:rPr>
          <w:sz w:val="24"/>
          <w:szCs w:val="22"/>
        </w:rPr>
      </w:pPr>
    </w:p>
    <w:p w14:paraId="64990723">
      <w:pPr>
        <w:spacing w:line="360" w:lineRule="auto"/>
        <w:rPr>
          <w:sz w:val="24"/>
          <w:szCs w:val="22"/>
        </w:rPr>
      </w:pPr>
    </w:p>
    <w:p w14:paraId="19764E74">
      <w:pPr>
        <w:spacing w:line="360" w:lineRule="auto"/>
        <w:rPr>
          <w:sz w:val="24"/>
        </w:rPr>
      </w:pPr>
      <w:r>
        <w:rPr>
          <w:rFonts w:ascii="Calibri" w:hAnsi="Calibri"/>
          <w:sz w:val="24"/>
          <w:szCs w:val="22"/>
        </w:rPr>
        <w:br w:type="textWrapping"/>
      </w:r>
      <w:r>
        <w:rPr>
          <w:rFonts w:hint="eastAsia" w:ascii="Calibri" w:hAnsi="Calibri" w:cs="宋体"/>
          <w:sz w:val="24"/>
        </w:rPr>
        <w:t>竞标人名称：（加盖公章）</w:t>
      </w:r>
    </w:p>
    <w:p w14:paraId="1E126D2F">
      <w:pPr>
        <w:spacing w:line="360" w:lineRule="auto"/>
        <w:rPr>
          <w:sz w:val="24"/>
        </w:rPr>
      </w:pPr>
      <w:r>
        <w:rPr>
          <w:rFonts w:hint="eastAsia" w:ascii="Calibri" w:hAnsi="Calibri" w:cs="宋体"/>
          <w:sz w:val="24"/>
        </w:rPr>
        <w:t>法定代表人或其代理人：（签字）</w:t>
      </w:r>
    </w:p>
    <w:p w14:paraId="06450D9E">
      <w:pPr>
        <w:spacing w:line="360" w:lineRule="auto"/>
        <w:rPr>
          <w:rFonts w:ascii="黑体" w:hAnsi="Calibri" w:eastAsia="黑体" w:cs="黑体"/>
          <w:sz w:val="30"/>
          <w:szCs w:val="22"/>
        </w:rPr>
      </w:pPr>
    </w:p>
    <w:p w14:paraId="42B770EB">
      <w:pPr>
        <w:widowControl/>
        <w:jc w:val="left"/>
        <w:rPr>
          <w:rFonts w:eastAsia="黑体"/>
          <w:b/>
          <w:sz w:val="28"/>
          <w:szCs w:val="22"/>
        </w:rPr>
      </w:pPr>
      <w:r>
        <w:rPr>
          <w:rFonts w:hint="eastAsia" w:ascii="宋体" w:hAnsi="宋体"/>
          <w:sz w:val="24"/>
          <w:szCs w:val="22"/>
        </w:rPr>
        <w:br w:type="page"/>
      </w:r>
      <w:r>
        <w:rPr>
          <w:rFonts w:hint="eastAsia" w:ascii="Calibri" w:hAnsi="Calibri" w:eastAsia="黑体" w:cs="黑体"/>
          <w:b/>
          <w:sz w:val="28"/>
          <w:szCs w:val="22"/>
        </w:rPr>
        <w:t>附件</w:t>
      </w:r>
      <w:r>
        <w:rPr>
          <w:rFonts w:ascii="Calibri" w:hAnsi="Calibri" w:eastAsia="黑体"/>
          <w:b/>
          <w:sz w:val="28"/>
          <w:szCs w:val="22"/>
        </w:rPr>
        <w:t>4</w:t>
      </w:r>
    </w:p>
    <w:p w14:paraId="24188DE7">
      <w:pPr>
        <w:widowControl/>
        <w:jc w:val="center"/>
        <w:rPr>
          <w:rFonts w:eastAsia="黑体"/>
          <w:b/>
          <w:sz w:val="28"/>
          <w:szCs w:val="22"/>
        </w:rPr>
      </w:pPr>
      <w:r>
        <w:rPr>
          <w:rFonts w:hint="eastAsia" w:ascii="Calibri" w:hAnsi="Calibri" w:eastAsia="黑体" w:cs="黑体"/>
          <w:b/>
          <w:sz w:val="28"/>
          <w:szCs w:val="22"/>
        </w:rPr>
        <w:t>开标一览表</w:t>
      </w:r>
    </w:p>
    <w:p w14:paraId="1FF25C4B">
      <w:pPr>
        <w:spacing w:before="6"/>
        <w:ind w:right="88"/>
        <w:jc w:val="left"/>
        <w:rPr>
          <w:rFonts w:ascii="宋体" w:hAnsi="宋体" w:cs="宋体"/>
          <w:color w:val="000000"/>
          <w:sz w:val="24"/>
          <w:u w:val="single"/>
        </w:rPr>
      </w:pPr>
      <w:r>
        <w:rPr>
          <w:rFonts w:hint="eastAsia" w:ascii="宋体" w:hAnsi="宋体" w:cs="宋体"/>
          <w:color w:val="000000"/>
          <w:sz w:val="24"/>
        </w:rPr>
        <w:t>项目名称：</w:t>
      </w:r>
    </w:p>
    <w:p w14:paraId="6ABF5A2A">
      <w:pPr>
        <w:spacing w:before="6"/>
        <w:ind w:right="88"/>
        <w:jc w:val="left"/>
        <w:rPr>
          <w:rFonts w:ascii="宋体" w:hAnsi="宋体" w:cs="宋体"/>
          <w:color w:val="000000"/>
          <w:sz w:val="24"/>
          <w:u w:val="single"/>
        </w:rPr>
      </w:pPr>
      <w:r>
        <w:rPr>
          <w:rFonts w:hint="eastAsia" w:ascii="宋体" w:hAnsi="宋体" w:cs="宋体"/>
          <w:color w:val="000000"/>
          <w:sz w:val="24"/>
        </w:rPr>
        <w:t>投标人名称（公章）：</w:t>
      </w:r>
    </w:p>
    <w:p w14:paraId="1C6F3FA9">
      <w:pPr>
        <w:spacing w:before="6"/>
        <w:ind w:right="88"/>
        <w:jc w:val="left"/>
        <w:rPr>
          <w:rFonts w:ascii="宋体" w:hAnsi="宋体" w:cs="宋体"/>
          <w:color w:val="000000"/>
          <w:sz w:val="24"/>
          <w:u w:val="single"/>
        </w:rPr>
      </w:pPr>
      <w:r>
        <w:rPr>
          <w:rFonts w:hint="eastAsia" w:ascii="Calibri" w:hAnsi="Calibri" w:cs="宋体"/>
          <w:sz w:val="24"/>
        </w:rPr>
        <w:t>投标人代表签字：</w:t>
      </w:r>
    </w:p>
    <w:tbl>
      <w:tblPr>
        <w:tblStyle w:val="25"/>
        <w:tblpPr w:leftFromText="180" w:rightFromText="180" w:vertAnchor="text" w:horzAnchor="margin" w:tblpXSpec="center" w:tblpY="390"/>
        <w:tblW w:w="10881" w:type="dxa"/>
        <w:tblInd w:w="0" w:type="dxa"/>
        <w:tblLayout w:type="fixed"/>
        <w:tblCellMar>
          <w:top w:w="0" w:type="dxa"/>
          <w:left w:w="108" w:type="dxa"/>
          <w:bottom w:w="0" w:type="dxa"/>
          <w:right w:w="108" w:type="dxa"/>
        </w:tblCellMar>
      </w:tblPr>
      <w:tblGrid>
        <w:gridCol w:w="2574"/>
        <w:gridCol w:w="2632"/>
        <w:gridCol w:w="1212"/>
        <w:gridCol w:w="1925"/>
        <w:gridCol w:w="2538"/>
      </w:tblGrid>
      <w:tr w14:paraId="76B2A410">
        <w:tblPrEx>
          <w:tblCellMar>
            <w:top w:w="0" w:type="dxa"/>
            <w:left w:w="108" w:type="dxa"/>
            <w:bottom w:w="0" w:type="dxa"/>
            <w:right w:w="108" w:type="dxa"/>
          </w:tblCellMar>
        </w:tblPrEx>
        <w:trPr>
          <w:trHeight w:val="1168" w:hRule="atLeast"/>
        </w:trPr>
        <w:tc>
          <w:tcPr>
            <w:tcW w:w="2574" w:type="dxa"/>
            <w:tcBorders>
              <w:top w:val="single" w:color="000000" w:sz="12" w:space="0"/>
              <w:left w:val="single" w:color="auto" w:sz="4" w:space="0"/>
              <w:bottom w:val="single" w:color="000000" w:sz="8" w:space="0"/>
              <w:right w:val="single" w:color="000000" w:sz="8" w:space="0"/>
            </w:tcBorders>
            <w:shd w:val="clear" w:color="auto" w:fill="auto"/>
            <w:vAlign w:val="center"/>
          </w:tcPr>
          <w:p w14:paraId="127E6820">
            <w:pPr>
              <w:jc w:val="center"/>
              <w:rPr>
                <w:rFonts w:ascii="宋体" w:hAnsi="宋体" w:cs="宋体"/>
                <w:color w:val="000000"/>
                <w:sz w:val="24"/>
              </w:rPr>
            </w:pPr>
            <w:r>
              <w:rPr>
                <w:rFonts w:hint="eastAsia" w:ascii="宋体" w:hAnsi="宋体" w:cs="宋体"/>
                <w:color w:val="000000"/>
                <w:sz w:val="24"/>
              </w:rPr>
              <w:t>项目名称</w:t>
            </w:r>
          </w:p>
        </w:tc>
        <w:tc>
          <w:tcPr>
            <w:tcW w:w="2632" w:type="dxa"/>
            <w:tcBorders>
              <w:top w:val="single" w:color="000000" w:sz="12" w:space="0"/>
              <w:left w:val="nil"/>
              <w:bottom w:val="single" w:color="000000" w:sz="8" w:space="0"/>
              <w:right w:val="single" w:color="000000" w:sz="12" w:space="0"/>
            </w:tcBorders>
            <w:shd w:val="clear" w:color="auto" w:fill="auto"/>
            <w:vAlign w:val="center"/>
          </w:tcPr>
          <w:p w14:paraId="086C4D03">
            <w:pPr>
              <w:jc w:val="center"/>
              <w:rPr>
                <w:rFonts w:ascii="宋体" w:hAnsi="宋体" w:cs="宋体"/>
                <w:color w:val="000000"/>
                <w:sz w:val="24"/>
              </w:rPr>
            </w:pPr>
            <w:r>
              <w:rPr>
                <w:rFonts w:hint="eastAsia" w:ascii="宋体" w:hAnsi="宋体" w:cs="宋体"/>
                <w:color w:val="000000"/>
                <w:sz w:val="24"/>
              </w:rPr>
              <w:t>投标总价（不含税）</w:t>
            </w:r>
          </w:p>
        </w:tc>
        <w:tc>
          <w:tcPr>
            <w:tcW w:w="1212" w:type="dxa"/>
            <w:tcBorders>
              <w:top w:val="single" w:color="000000" w:sz="12" w:space="0"/>
              <w:left w:val="nil"/>
              <w:bottom w:val="single" w:color="000000" w:sz="8" w:space="0"/>
              <w:right w:val="single" w:color="000000" w:sz="12" w:space="0"/>
            </w:tcBorders>
            <w:shd w:val="clear" w:color="auto" w:fill="auto"/>
            <w:vAlign w:val="center"/>
          </w:tcPr>
          <w:p w14:paraId="2ECBE6B3">
            <w:pPr>
              <w:jc w:val="center"/>
              <w:rPr>
                <w:rFonts w:ascii="宋体" w:hAnsi="宋体" w:cs="宋体"/>
                <w:color w:val="000000"/>
                <w:sz w:val="24"/>
              </w:rPr>
            </w:pPr>
            <w:r>
              <w:rPr>
                <w:rFonts w:hint="eastAsia" w:ascii="宋体" w:hAnsi="宋体" w:cs="宋体"/>
                <w:color w:val="000000"/>
                <w:sz w:val="24"/>
              </w:rPr>
              <w:t>税率</w:t>
            </w:r>
          </w:p>
        </w:tc>
        <w:tc>
          <w:tcPr>
            <w:tcW w:w="1925" w:type="dxa"/>
            <w:tcBorders>
              <w:top w:val="single" w:color="000000" w:sz="12" w:space="0"/>
              <w:left w:val="nil"/>
              <w:bottom w:val="single" w:color="000000" w:sz="8" w:space="0"/>
              <w:right w:val="single" w:color="000000" w:sz="12" w:space="0"/>
            </w:tcBorders>
            <w:shd w:val="clear" w:color="auto" w:fill="auto"/>
            <w:vAlign w:val="center"/>
          </w:tcPr>
          <w:p w14:paraId="244E1E20">
            <w:pPr>
              <w:jc w:val="center"/>
              <w:rPr>
                <w:rFonts w:ascii="宋体" w:hAnsi="宋体" w:cs="宋体"/>
                <w:color w:val="000000"/>
                <w:sz w:val="24"/>
              </w:rPr>
            </w:pPr>
            <w:r>
              <w:rPr>
                <w:rFonts w:hint="eastAsia" w:ascii="宋体" w:hAnsi="宋体" w:cs="宋体"/>
                <w:color w:val="000000"/>
                <w:sz w:val="24"/>
              </w:rPr>
              <w:t>投标总价（含税）</w:t>
            </w:r>
          </w:p>
        </w:tc>
        <w:tc>
          <w:tcPr>
            <w:tcW w:w="2538" w:type="dxa"/>
            <w:tcBorders>
              <w:top w:val="single" w:color="000000" w:sz="12" w:space="0"/>
              <w:left w:val="nil"/>
              <w:bottom w:val="single" w:color="000000" w:sz="8" w:space="0"/>
              <w:right w:val="single" w:color="000000" w:sz="12" w:space="0"/>
            </w:tcBorders>
          </w:tcPr>
          <w:p w14:paraId="45F99C25">
            <w:pPr>
              <w:jc w:val="center"/>
              <w:rPr>
                <w:rFonts w:ascii="宋体" w:hAnsi="宋体" w:cs="宋体"/>
                <w:color w:val="000000"/>
                <w:sz w:val="24"/>
              </w:rPr>
            </w:pPr>
          </w:p>
          <w:p w14:paraId="1121CE5B">
            <w:pPr>
              <w:jc w:val="center"/>
              <w:rPr>
                <w:rFonts w:ascii="宋体" w:hAnsi="宋体" w:cs="宋体"/>
                <w:color w:val="000000"/>
                <w:sz w:val="24"/>
              </w:rPr>
            </w:pPr>
            <w:r>
              <w:rPr>
                <w:rFonts w:hint="eastAsia" w:ascii="宋体" w:hAnsi="宋体" w:cs="宋体"/>
                <w:color w:val="000000"/>
                <w:sz w:val="24"/>
              </w:rPr>
              <w:t>备注（列明分项价格）</w:t>
            </w:r>
          </w:p>
        </w:tc>
      </w:tr>
      <w:tr w14:paraId="4E7641CE">
        <w:tblPrEx>
          <w:tblCellMar>
            <w:top w:w="0" w:type="dxa"/>
            <w:left w:w="108" w:type="dxa"/>
            <w:bottom w:w="0" w:type="dxa"/>
            <w:right w:w="108" w:type="dxa"/>
          </w:tblCellMar>
        </w:tblPrEx>
        <w:trPr>
          <w:trHeight w:val="1168" w:hRule="atLeast"/>
        </w:trPr>
        <w:tc>
          <w:tcPr>
            <w:tcW w:w="2574" w:type="dxa"/>
            <w:tcBorders>
              <w:top w:val="nil"/>
              <w:left w:val="single" w:color="auto" w:sz="4" w:space="0"/>
              <w:bottom w:val="single" w:color="000000" w:sz="8" w:space="0"/>
              <w:right w:val="single" w:color="000000" w:sz="8" w:space="0"/>
            </w:tcBorders>
            <w:shd w:val="clear" w:color="auto" w:fill="auto"/>
            <w:vAlign w:val="center"/>
          </w:tcPr>
          <w:p w14:paraId="745DE2B2">
            <w:pPr>
              <w:jc w:val="center"/>
              <w:rPr>
                <w:rFonts w:ascii="宋体" w:hAnsi="宋体" w:cs="宋体"/>
                <w:sz w:val="22"/>
              </w:rPr>
            </w:pPr>
            <w:r>
              <w:rPr>
                <w:rFonts w:hint="eastAsia" w:ascii="宋体" w:hAnsi="宋体" w:cs="宋体"/>
                <w:sz w:val="22"/>
              </w:rPr>
              <w:t>重汽汽车金融有限公司2026年度财务报表及</w:t>
            </w:r>
          </w:p>
          <w:p w14:paraId="4F82D9A1">
            <w:pPr>
              <w:jc w:val="center"/>
              <w:rPr>
                <w:rFonts w:ascii="宋体" w:hAnsi="宋体" w:cs="宋体"/>
                <w:b/>
                <w:sz w:val="48"/>
                <w:szCs w:val="48"/>
                <w:lang w:bidi="ar"/>
              </w:rPr>
            </w:pPr>
            <w:r>
              <w:rPr>
                <w:rFonts w:hint="eastAsia" w:ascii="宋体" w:hAnsi="宋体" w:cs="宋体"/>
                <w:sz w:val="22"/>
              </w:rPr>
              <w:t>内部控制审计项目</w:t>
            </w:r>
          </w:p>
        </w:tc>
        <w:tc>
          <w:tcPr>
            <w:tcW w:w="2632" w:type="dxa"/>
            <w:tcBorders>
              <w:top w:val="nil"/>
              <w:left w:val="nil"/>
              <w:bottom w:val="single" w:color="000000" w:sz="8" w:space="0"/>
              <w:right w:val="single" w:color="000000" w:sz="12" w:space="0"/>
            </w:tcBorders>
            <w:shd w:val="clear" w:color="auto" w:fill="auto"/>
            <w:vAlign w:val="center"/>
          </w:tcPr>
          <w:p w14:paraId="36501720">
            <w:pPr>
              <w:jc w:val="center"/>
              <w:rPr>
                <w:rFonts w:ascii="宋体" w:hAnsi="宋体" w:cs="宋体"/>
                <w:sz w:val="24"/>
              </w:rPr>
            </w:pPr>
          </w:p>
        </w:tc>
        <w:tc>
          <w:tcPr>
            <w:tcW w:w="1212" w:type="dxa"/>
            <w:tcBorders>
              <w:top w:val="nil"/>
              <w:left w:val="nil"/>
              <w:bottom w:val="single" w:color="000000" w:sz="8" w:space="0"/>
              <w:right w:val="single" w:color="000000" w:sz="12" w:space="0"/>
            </w:tcBorders>
            <w:shd w:val="clear" w:color="auto" w:fill="auto"/>
            <w:vAlign w:val="center"/>
          </w:tcPr>
          <w:p w14:paraId="7F5CD657">
            <w:pPr>
              <w:jc w:val="center"/>
              <w:rPr>
                <w:rFonts w:ascii="宋体" w:hAnsi="宋体" w:cs="宋体"/>
                <w:sz w:val="24"/>
              </w:rPr>
            </w:pPr>
          </w:p>
        </w:tc>
        <w:tc>
          <w:tcPr>
            <w:tcW w:w="1925" w:type="dxa"/>
            <w:tcBorders>
              <w:top w:val="nil"/>
              <w:left w:val="nil"/>
              <w:bottom w:val="single" w:color="000000" w:sz="8" w:space="0"/>
              <w:right w:val="single" w:color="000000" w:sz="12" w:space="0"/>
            </w:tcBorders>
            <w:shd w:val="clear" w:color="auto" w:fill="auto"/>
            <w:vAlign w:val="center"/>
          </w:tcPr>
          <w:p w14:paraId="5184DDED">
            <w:pPr>
              <w:jc w:val="center"/>
              <w:rPr>
                <w:rFonts w:ascii="宋体" w:hAnsi="宋体" w:cs="宋体"/>
                <w:sz w:val="24"/>
              </w:rPr>
            </w:pPr>
          </w:p>
        </w:tc>
        <w:tc>
          <w:tcPr>
            <w:tcW w:w="2538" w:type="dxa"/>
            <w:tcBorders>
              <w:top w:val="nil"/>
              <w:left w:val="nil"/>
              <w:bottom w:val="single" w:color="000000" w:sz="8" w:space="0"/>
              <w:right w:val="single" w:color="000000" w:sz="12" w:space="0"/>
            </w:tcBorders>
          </w:tcPr>
          <w:p w14:paraId="3A9CECE9">
            <w:pPr>
              <w:jc w:val="left"/>
              <w:rPr>
                <w:rFonts w:ascii="宋体" w:hAnsi="宋体" w:cs="宋体"/>
                <w:sz w:val="24"/>
              </w:rPr>
            </w:pPr>
          </w:p>
          <w:p w14:paraId="5B5D0FCE">
            <w:pPr>
              <w:jc w:val="left"/>
              <w:rPr>
                <w:rFonts w:ascii="宋体" w:hAnsi="宋体" w:cs="宋体"/>
                <w:sz w:val="24"/>
              </w:rPr>
            </w:pPr>
            <w:r>
              <w:rPr>
                <w:rFonts w:hint="eastAsia" w:ascii="宋体" w:hAnsi="宋体" w:cs="宋体"/>
                <w:sz w:val="24"/>
              </w:rPr>
              <w:t>年报审计：</w:t>
            </w:r>
          </w:p>
          <w:p w14:paraId="6A765EDC">
            <w:pPr>
              <w:jc w:val="left"/>
              <w:rPr>
                <w:rFonts w:ascii="宋体" w:hAnsi="宋体" w:cs="宋体"/>
                <w:sz w:val="24"/>
              </w:rPr>
            </w:pPr>
            <w:r>
              <w:rPr>
                <w:rFonts w:hint="eastAsia" w:ascii="宋体" w:hAnsi="宋体" w:cs="宋体"/>
                <w:sz w:val="24"/>
              </w:rPr>
              <w:t>内控审计：</w:t>
            </w:r>
          </w:p>
        </w:tc>
      </w:tr>
    </w:tbl>
    <w:p w14:paraId="197D8823">
      <w:pPr>
        <w:spacing w:before="62"/>
        <w:ind w:right="88"/>
        <w:jc w:val="right"/>
        <w:rPr>
          <w:rFonts w:ascii="宋体" w:hAnsi="宋体" w:cs="宋体"/>
          <w:color w:val="000000"/>
          <w:sz w:val="24"/>
        </w:rPr>
      </w:pPr>
      <w:r>
        <w:rPr>
          <w:rFonts w:hint="eastAsia" w:ascii="宋体" w:hAnsi="宋体" w:cs="宋体"/>
          <w:color w:val="000000"/>
          <w:sz w:val="24"/>
        </w:rPr>
        <w:t xml:space="preserve">   单位：元</w:t>
      </w:r>
    </w:p>
    <w:p w14:paraId="6E4E6D49">
      <w:pPr>
        <w:pStyle w:val="13"/>
        <w:spacing w:before="48"/>
        <w:ind w:left="400" w:hanging="400"/>
        <w:rPr>
          <w:sz w:val="24"/>
          <w:szCs w:val="24"/>
        </w:rPr>
      </w:pPr>
    </w:p>
    <w:p w14:paraId="09A317EF">
      <w:pPr>
        <w:pStyle w:val="13"/>
        <w:spacing w:before="48"/>
        <w:ind w:left="400" w:hanging="400"/>
        <w:rPr>
          <w:rFonts w:ascii="宋体" w:hAnsi="宋体" w:cs="宋体"/>
          <w:spacing w:val="-1"/>
          <w:sz w:val="24"/>
          <w:szCs w:val="24"/>
        </w:rPr>
      </w:pPr>
      <w:r>
        <w:rPr>
          <w:rFonts w:hint="eastAsia" w:ascii="宋体" w:hAnsi="宋体" w:cs="宋体"/>
          <w:sz w:val="24"/>
          <w:szCs w:val="24"/>
        </w:rPr>
        <w:t>说明：</w:t>
      </w:r>
    </w:p>
    <w:p w14:paraId="0D212623">
      <w:pPr>
        <w:pStyle w:val="13"/>
        <w:numPr>
          <w:ilvl w:val="0"/>
          <w:numId w:val="12"/>
        </w:numPr>
        <w:spacing w:before="48"/>
        <w:ind w:left="400" w:hanging="400"/>
        <w:rPr>
          <w:rFonts w:ascii="宋体" w:hAnsi="宋体" w:cs="宋体"/>
          <w:sz w:val="24"/>
          <w:szCs w:val="24"/>
        </w:rPr>
      </w:pPr>
      <w:r>
        <w:rPr>
          <w:rFonts w:hint="eastAsia" w:ascii="宋体" w:hAnsi="宋体" w:cs="宋体"/>
          <w:sz w:val="24"/>
          <w:szCs w:val="24"/>
        </w:rPr>
        <w:t>开标一览表中“投标总价”是指提供服务的全部费用的报价。</w:t>
      </w:r>
    </w:p>
    <w:p w14:paraId="42F36827">
      <w:pPr>
        <w:pStyle w:val="13"/>
        <w:spacing w:before="48"/>
        <w:ind w:left="400" w:hanging="4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、投标人严格按照规定的格式填写。</w:t>
      </w:r>
    </w:p>
    <w:p w14:paraId="355D2817">
      <w:pPr>
        <w:rPr>
          <w:rFonts w:ascii="宋体" w:hAnsi="宋体" w:cs="宋体"/>
          <w:color w:val="000000"/>
          <w:sz w:val="24"/>
        </w:rPr>
      </w:pPr>
    </w:p>
    <w:p w14:paraId="691B8F9E">
      <w:pPr>
        <w:spacing w:before="2"/>
        <w:rPr>
          <w:rFonts w:ascii="宋体" w:hAnsi="宋体" w:cs="宋体"/>
          <w:color w:val="000000"/>
        </w:rPr>
      </w:pPr>
    </w:p>
    <w:p w14:paraId="0E6194C4">
      <w:pPr>
        <w:pStyle w:val="13"/>
        <w:spacing w:before="48"/>
        <w:ind w:left="400" w:hanging="400"/>
        <w:jc w:val="right"/>
        <w:rPr>
          <w:rFonts w:ascii="宋体" w:hAnsi="宋体" w:cs="宋体"/>
          <w:color w:val="000000"/>
          <w:sz w:val="24"/>
          <w:szCs w:val="24"/>
        </w:rPr>
      </w:pPr>
      <w:r>
        <w:rPr>
          <w:rFonts w:hint="eastAsia" w:ascii="宋体" w:hAnsi="宋体" w:cs="宋体"/>
          <w:color w:val="000000"/>
          <w:sz w:val="24"/>
          <w:szCs w:val="24"/>
        </w:rPr>
        <w:t>日期：  年  月   日</w:t>
      </w:r>
    </w:p>
    <w:p w14:paraId="405EF197">
      <w:pPr>
        <w:rPr>
          <w:rFonts w:ascii="Calibri" w:hAnsi="Calibri" w:eastAsia="黑体" w:cs="黑体"/>
          <w:b/>
          <w:sz w:val="28"/>
          <w:szCs w:val="22"/>
        </w:rPr>
      </w:pPr>
    </w:p>
    <w:p w14:paraId="359E819F">
      <w:pPr>
        <w:rPr>
          <w:rFonts w:ascii="Calibri" w:hAnsi="Calibri" w:eastAsia="黑体" w:cs="黑体"/>
          <w:b/>
          <w:sz w:val="28"/>
          <w:szCs w:val="22"/>
        </w:rPr>
      </w:pPr>
    </w:p>
    <w:p w14:paraId="34B473AF">
      <w:pPr>
        <w:rPr>
          <w:rFonts w:ascii="Calibri" w:hAnsi="Calibri" w:eastAsia="黑体" w:cs="黑体"/>
          <w:b/>
          <w:sz w:val="28"/>
          <w:szCs w:val="22"/>
        </w:rPr>
      </w:pPr>
    </w:p>
    <w:p w14:paraId="2CF90D3A">
      <w:pPr>
        <w:rPr>
          <w:rFonts w:ascii="Calibri" w:hAnsi="Calibri" w:eastAsia="黑体" w:cs="黑体"/>
          <w:b/>
          <w:sz w:val="28"/>
          <w:szCs w:val="22"/>
        </w:rPr>
      </w:pPr>
    </w:p>
    <w:p w14:paraId="569644D4">
      <w:pPr>
        <w:rPr>
          <w:rFonts w:ascii="Calibri" w:hAnsi="Calibri" w:eastAsia="黑体" w:cs="黑体"/>
          <w:b/>
          <w:sz w:val="28"/>
          <w:szCs w:val="22"/>
        </w:rPr>
      </w:pPr>
    </w:p>
    <w:p w14:paraId="79731D87">
      <w:pPr>
        <w:rPr>
          <w:rFonts w:ascii="Calibri" w:hAnsi="Calibri" w:eastAsia="黑体" w:cs="黑体"/>
          <w:b/>
          <w:sz w:val="28"/>
          <w:szCs w:val="22"/>
        </w:rPr>
      </w:pPr>
    </w:p>
    <w:p w14:paraId="18586A26">
      <w:pPr>
        <w:rPr>
          <w:rFonts w:ascii="Calibri" w:hAnsi="Calibri" w:eastAsia="黑体" w:cs="黑体"/>
          <w:b/>
          <w:sz w:val="28"/>
          <w:szCs w:val="22"/>
        </w:rPr>
      </w:pPr>
    </w:p>
    <w:p w14:paraId="31166D34">
      <w:pPr>
        <w:rPr>
          <w:rFonts w:ascii="Calibri" w:hAnsi="Calibri" w:eastAsia="黑体" w:cs="黑体"/>
          <w:b/>
          <w:sz w:val="28"/>
          <w:szCs w:val="22"/>
        </w:rPr>
      </w:pPr>
    </w:p>
    <w:p w14:paraId="6FD1FD25">
      <w:pPr>
        <w:rPr>
          <w:rFonts w:ascii="Calibri" w:hAnsi="Calibri" w:eastAsia="黑体" w:cs="黑体"/>
          <w:b/>
          <w:sz w:val="28"/>
          <w:szCs w:val="22"/>
        </w:rPr>
      </w:pPr>
    </w:p>
    <w:p w14:paraId="30978F11">
      <w:pPr>
        <w:rPr>
          <w:rFonts w:ascii="Calibri" w:hAnsi="Calibri" w:eastAsia="黑体" w:cs="黑体"/>
          <w:b/>
          <w:sz w:val="28"/>
          <w:szCs w:val="22"/>
        </w:rPr>
      </w:pPr>
    </w:p>
    <w:p w14:paraId="25F5BE93">
      <w:pPr>
        <w:rPr>
          <w:rFonts w:eastAsia="黑体"/>
          <w:b/>
          <w:sz w:val="28"/>
          <w:szCs w:val="22"/>
        </w:rPr>
      </w:pPr>
      <w:r>
        <w:rPr>
          <w:rFonts w:hint="eastAsia" w:ascii="Calibri" w:hAnsi="Calibri" w:eastAsia="黑体" w:cs="黑体"/>
          <w:b/>
          <w:sz w:val="28"/>
          <w:szCs w:val="22"/>
        </w:rPr>
        <w:t>附件</w:t>
      </w:r>
      <w:r>
        <w:rPr>
          <w:rFonts w:ascii="Calibri" w:hAnsi="Calibri" w:eastAsia="黑体"/>
          <w:b/>
          <w:sz w:val="28"/>
          <w:szCs w:val="22"/>
        </w:rPr>
        <w:t>5</w:t>
      </w:r>
    </w:p>
    <w:p w14:paraId="7483041D">
      <w:pPr>
        <w:jc w:val="center"/>
        <w:rPr>
          <w:rFonts w:eastAsia="黑体"/>
          <w:b/>
          <w:sz w:val="28"/>
          <w:szCs w:val="22"/>
        </w:rPr>
      </w:pPr>
      <w:r>
        <w:rPr>
          <w:rFonts w:hint="eastAsia" w:ascii="Calibri" w:hAnsi="Calibri" w:eastAsia="黑体" w:cs="黑体"/>
          <w:b/>
          <w:sz w:val="28"/>
          <w:szCs w:val="22"/>
        </w:rPr>
        <w:t>商务条款偏离表</w:t>
      </w:r>
    </w:p>
    <w:p w14:paraId="2F323CD6">
      <w:pPr>
        <w:rPr>
          <w:rFonts w:eastAsia="黑体"/>
          <w:b/>
          <w:sz w:val="22"/>
          <w:szCs w:val="22"/>
        </w:rPr>
      </w:pPr>
    </w:p>
    <w:tbl>
      <w:tblPr>
        <w:tblStyle w:val="25"/>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79"/>
        <w:gridCol w:w="3060"/>
        <w:gridCol w:w="1079"/>
        <w:gridCol w:w="2474"/>
      </w:tblGrid>
      <w:tr w14:paraId="1F2B8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33C1C69B">
            <w:pPr>
              <w:jc w:val="center"/>
              <w:rPr>
                <w:rFonts w:ascii="宋体" w:hAnsi="宋体" w:cs="宋体"/>
                <w:sz w:val="24"/>
                <w:szCs w:val="22"/>
              </w:rPr>
            </w:pPr>
            <w:r>
              <w:rPr>
                <w:rFonts w:hint="eastAsia" w:ascii="宋体" w:hAnsi="宋体" w:cs="宋体"/>
                <w:sz w:val="24"/>
                <w:szCs w:val="22"/>
              </w:rPr>
              <w:t>序号</w:t>
            </w:r>
          </w:p>
        </w:tc>
        <w:tc>
          <w:tcPr>
            <w:tcW w:w="413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4F4317">
            <w:pPr>
              <w:jc w:val="center"/>
              <w:rPr>
                <w:rFonts w:ascii="宋体" w:hAnsi="宋体" w:cs="宋体"/>
                <w:sz w:val="24"/>
                <w:szCs w:val="22"/>
              </w:rPr>
            </w:pPr>
            <w:r>
              <w:rPr>
                <w:rFonts w:hint="eastAsia" w:ascii="宋体" w:hAnsi="宋体" w:cs="宋体"/>
                <w:sz w:val="24"/>
                <w:szCs w:val="22"/>
              </w:rPr>
              <w:t>招标文件条款</w:t>
            </w:r>
          </w:p>
        </w:tc>
        <w:tc>
          <w:tcPr>
            <w:tcW w:w="355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3A4301A">
            <w:pPr>
              <w:jc w:val="center"/>
              <w:rPr>
                <w:rFonts w:ascii="宋体" w:hAnsi="宋体" w:cs="宋体"/>
                <w:sz w:val="24"/>
                <w:szCs w:val="22"/>
              </w:rPr>
            </w:pPr>
            <w:r>
              <w:rPr>
                <w:rFonts w:hint="eastAsia" w:ascii="宋体" w:hAnsi="宋体" w:cs="宋体"/>
                <w:sz w:val="24"/>
                <w:szCs w:val="22"/>
              </w:rPr>
              <w:t>投标书条款</w:t>
            </w:r>
          </w:p>
        </w:tc>
      </w:tr>
      <w:tr w14:paraId="5AC54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6F6642C3">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79B1AE71">
            <w:pPr>
              <w:jc w:val="center"/>
              <w:rPr>
                <w:rFonts w:ascii="宋体" w:hAnsi="宋体" w:cs="宋体"/>
                <w:sz w:val="24"/>
                <w:szCs w:val="22"/>
              </w:rPr>
            </w:pPr>
            <w:r>
              <w:rPr>
                <w:rFonts w:hint="eastAsia" w:ascii="宋体" w:hAnsi="宋体" w:cs="宋体"/>
                <w:sz w:val="24"/>
                <w:szCs w:val="22"/>
              </w:rPr>
              <w:t>条款号</w:t>
            </w: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143869A2">
            <w:pPr>
              <w:jc w:val="center"/>
              <w:rPr>
                <w:rFonts w:ascii="宋体" w:hAnsi="宋体" w:cs="宋体"/>
                <w:sz w:val="24"/>
                <w:szCs w:val="22"/>
              </w:rPr>
            </w:pPr>
            <w:r>
              <w:rPr>
                <w:rFonts w:hint="eastAsia" w:ascii="宋体" w:hAnsi="宋体" w:cs="宋体"/>
                <w:sz w:val="24"/>
                <w:szCs w:val="22"/>
              </w:rPr>
              <w:t>条款内容</w:t>
            </w: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5B06F252">
            <w:pPr>
              <w:jc w:val="center"/>
              <w:rPr>
                <w:rFonts w:ascii="宋体" w:hAnsi="宋体" w:cs="宋体"/>
                <w:sz w:val="24"/>
                <w:szCs w:val="22"/>
              </w:rPr>
            </w:pPr>
            <w:r>
              <w:rPr>
                <w:rFonts w:hint="eastAsia" w:ascii="宋体" w:hAnsi="宋体" w:cs="宋体"/>
                <w:sz w:val="24"/>
                <w:szCs w:val="22"/>
              </w:rPr>
              <w:t>条款号</w:t>
            </w:r>
          </w:p>
        </w:tc>
        <w:tc>
          <w:tcPr>
            <w:tcW w:w="2474" w:type="dxa"/>
            <w:tcBorders>
              <w:top w:val="single" w:color="auto" w:sz="4" w:space="0"/>
              <w:left w:val="single" w:color="auto" w:sz="4" w:space="0"/>
              <w:bottom w:val="single" w:color="auto" w:sz="4" w:space="0"/>
              <w:right w:val="single" w:color="auto" w:sz="4" w:space="0"/>
            </w:tcBorders>
            <w:shd w:val="clear" w:color="auto" w:fill="auto"/>
            <w:vAlign w:val="center"/>
          </w:tcPr>
          <w:p w14:paraId="030D5EBB">
            <w:pPr>
              <w:jc w:val="center"/>
              <w:rPr>
                <w:rFonts w:ascii="宋体" w:hAnsi="宋体" w:cs="宋体"/>
                <w:sz w:val="24"/>
                <w:szCs w:val="22"/>
              </w:rPr>
            </w:pPr>
            <w:r>
              <w:rPr>
                <w:rFonts w:hint="eastAsia" w:ascii="宋体" w:hAnsi="宋体" w:cs="宋体"/>
                <w:sz w:val="24"/>
                <w:szCs w:val="22"/>
              </w:rPr>
              <w:t>条款内容</w:t>
            </w:r>
          </w:p>
        </w:tc>
      </w:tr>
      <w:tr w14:paraId="5E591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71636981">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17470116">
            <w:pPr>
              <w:rPr>
                <w:rFonts w:ascii="宋体" w:hAnsi="宋体" w:cs="宋体"/>
                <w:sz w:val="24"/>
                <w:szCs w:val="22"/>
              </w:rPr>
            </w:pP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5A31FE5C">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01CBF68A">
            <w:pPr>
              <w:rPr>
                <w:rFonts w:ascii="宋体" w:hAnsi="宋体" w:cs="宋体"/>
                <w:sz w:val="24"/>
                <w:szCs w:val="22"/>
              </w:rPr>
            </w:pPr>
          </w:p>
        </w:tc>
        <w:tc>
          <w:tcPr>
            <w:tcW w:w="2474" w:type="dxa"/>
            <w:tcBorders>
              <w:top w:val="single" w:color="auto" w:sz="4" w:space="0"/>
              <w:left w:val="single" w:color="auto" w:sz="4" w:space="0"/>
              <w:bottom w:val="single" w:color="auto" w:sz="4" w:space="0"/>
              <w:right w:val="single" w:color="auto" w:sz="4" w:space="0"/>
            </w:tcBorders>
            <w:shd w:val="clear" w:color="auto" w:fill="auto"/>
            <w:vAlign w:val="center"/>
          </w:tcPr>
          <w:p w14:paraId="7C163DCD">
            <w:pPr>
              <w:rPr>
                <w:rFonts w:ascii="宋体" w:hAnsi="宋体" w:cs="宋体"/>
                <w:sz w:val="24"/>
                <w:szCs w:val="22"/>
              </w:rPr>
            </w:pPr>
          </w:p>
        </w:tc>
      </w:tr>
      <w:tr w14:paraId="47BDB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000BC759">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44979626">
            <w:pPr>
              <w:rPr>
                <w:rFonts w:ascii="宋体" w:hAnsi="宋体" w:cs="宋体"/>
                <w:sz w:val="24"/>
                <w:szCs w:val="22"/>
              </w:rPr>
            </w:pP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50D03A9D">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254DA08F">
            <w:pPr>
              <w:rPr>
                <w:rFonts w:ascii="宋体" w:hAnsi="宋体" w:cs="宋体"/>
                <w:sz w:val="24"/>
                <w:szCs w:val="22"/>
              </w:rPr>
            </w:pPr>
          </w:p>
        </w:tc>
        <w:tc>
          <w:tcPr>
            <w:tcW w:w="2474" w:type="dxa"/>
            <w:tcBorders>
              <w:top w:val="single" w:color="auto" w:sz="4" w:space="0"/>
              <w:left w:val="single" w:color="auto" w:sz="4" w:space="0"/>
              <w:bottom w:val="single" w:color="auto" w:sz="4" w:space="0"/>
              <w:right w:val="single" w:color="auto" w:sz="4" w:space="0"/>
            </w:tcBorders>
            <w:shd w:val="clear" w:color="auto" w:fill="auto"/>
            <w:vAlign w:val="center"/>
          </w:tcPr>
          <w:p w14:paraId="5D291C65">
            <w:pPr>
              <w:rPr>
                <w:rFonts w:ascii="宋体" w:hAnsi="宋体" w:cs="宋体"/>
                <w:sz w:val="24"/>
                <w:szCs w:val="22"/>
              </w:rPr>
            </w:pPr>
          </w:p>
        </w:tc>
      </w:tr>
      <w:tr w14:paraId="69058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55C28027">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41314857">
            <w:pPr>
              <w:rPr>
                <w:rFonts w:ascii="宋体" w:hAnsi="宋体" w:cs="宋体"/>
                <w:sz w:val="24"/>
                <w:szCs w:val="22"/>
              </w:rPr>
            </w:pP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245F95C7">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463E1820">
            <w:pPr>
              <w:rPr>
                <w:rFonts w:ascii="宋体" w:hAnsi="宋体" w:cs="宋体"/>
                <w:sz w:val="24"/>
                <w:szCs w:val="22"/>
              </w:rPr>
            </w:pPr>
          </w:p>
        </w:tc>
        <w:tc>
          <w:tcPr>
            <w:tcW w:w="2474" w:type="dxa"/>
            <w:tcBorders>
              <w:top w:val="single" w:color="auto" w:sz="4" w:space="0"/>
              <w:left w:val="single" w:color="auto" w:sz="4" w:space="0"/>
              <w:bottom w:val="single" w:color="auto" w:sz="4" w:space="0"/>
              <w:right w:val="single" w:color="auto" w:sz="4" w:space="0"/>
            </w:tcBorders>
            <w:shd w:val="clear" w:color="auto" w:fill="auto"/>
            <w:vAlign w:val="center"/>
          </w:tcPr>
          <w:p w14:paraId="427E988B">
            <w:pPr>
              <w:rPr>
                <w:rFonts w:ascii="宋体" w:hAnsi="宋体" w:cs="宋体"/>
                <w:sz w:val="24"/>
                <w:szCs w:val="22"/>
              </w:rPr>
            </w:pPr>
          </w:p>
        </w:tc>
      </w:tr>
      <w:tr w14:paraId="51AAE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29B18BEA">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3AD53D3C">
            <w:pPr>
              <w:rPr>
                <w:rFonts w:ascii="宋体" w:hAnsi="宋体" w:cs="宋体"/>
                <w:sz w:val="24"/>
                <w:szCs w:val="22"/>
              </w:rPr>
            </w:pP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68308030">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37C8045C">
            <w:pPr>
              <w:rPr>
                <w:rFonts w:ascii="宋体" w:hAnsi="宋体" w:cs="宋体"/>
                <w:sz w:val="24"/>
                <w:szCs w:val="22"/>
              </w:rPr>
            </w:pPr>
          </w:p>
        </w:tc>
        <w:tc>
          <w:tcPr>
            <w:tcW w:w="2474" w:type="dxa"/>
            <w:tcBorders>
              <w:top w:val="single" w:color="auto" w:sz="4" w:space="0"/>
              <w:left w:val="single" w:color="auto" w:sz="4" w:space="0"/>
              <w:bottom w:val="single" w:color="auto" w:sz="4" w:space="0"/>
              <w:right w:val="single" w:color="auto" w:sz="4" w:space="0"/>
            </w:tcBorders>
            <w:shd w:val="clear" w:color="auto" w:fill="auto"/>
            <w:vAlign w:val="center"/>
          </w:tcPr>
          <w:p w14:paraId="3372F960">
            <w:pPr>
              <w:rPr>
                <w:rFonts w:ascii="宋体" w:hAnsi="宋体" w:cs="宋体"/>
                <w:sz w:val="24"/>
                <w:szCs w:val="22"/>
              </w:rPr>
            </w:pPr>
          </w:p>
        </w:tc>
      </w:tr>
      <w:tr w14:paraId="766E5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64CB158C">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42D42310">
            <w:pPr>
              <w:rPr>
                <w:rFonts w:ascii="宋体" w:hAnsi="宋体" w:cs="宋体"/>
                <w:sz w:val="24"/>
                <w:szCs w:val="22"/>
              </w:rPr>
            </w:pP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7FD377D6">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5E39F737">
            <w:pPr>
              <w:rPr>
                <w:rFonts w:ascii="宋体" w:hAnsi="宋体" w:cs="宋体"/>
                <w:sz w:val="24"/>
                <w:szCs w:val="22"/>
              </w:rPr>
            </w:pPr>
          </w:p>
        </w:tc>
        <w:tc>
          <w:tcPr>
            <w:tcW w:w="2474" w:type="dxa"/>
            <w:tcBorders>
              <w:top w:val="single" w:color="auto" w:sz="4" w:space="0"/>
              <w:left w:val="single" w:color="auto" w:sz="4" w:space="0"/>
              <w:bottom w:val="single" w:color="auto" w:sz="4" w:space="0"/>
              <w:right w:val="single" w:color="auto" w:sz="4" w:space="0"/>
            </w:tcBorders>
            <w:shd w:val="clear" w:color="auto" w:fill="auto"/>
            <w:vAlign w:val="center"/>
          </w:tcPr>
          <w:p w14:paraId="6CCC0BE8">
            <w:pPr>
              <w:rPr>
                <w:rFonts w:ascii="宋体" w:hAnsi="宋体" w:cs="宋体"/>
                <w:sz w:val="24"/>
                <w:szCs w:val="22"/>
              </w:rPr>
            </w:pPr>
          </w:p>
        </w:tc>
      </w:tr>
      <w:tr w14:paraId="3E6F3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46E55B9F">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158E8369">
            <w:pPr>
              <w:rPr>
                <w:rFonts w:ascii="宋体" w:hAnsi="宋体" w:cs="宋体"/>
                <w:sz w:val="24"/>
                <w:szCs w:val="22"/>
              </w:rPr>
            </w:pP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2739994B">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3E7072A6">
            <w:pPr>
              <w:rPr>
                <w:rFonts w:ascii="宋体" w:hAnsi="宋体" w:cs="宋体"/>
                <w:sz w:val="24"/>
                <w:szCs w:val="22"/>
              </w:rPr>
            </w:pPr>
          </w:p>
        </w:tc>
        <w:tc>
          <w:tcPr>
            <w:tcW w:w="2474" w:type="dxa"/>
            <w:tcBorders>
              <w:top w:val="single" w:color="auto" w:sz="4" w:space="0"/>
              <w:left w:val="single" w:color="auto" w:sz="4" w:space="0"/>
              <w:bottom w:val="single" w:color="auto" w:sz="4" w:space="0"/>
              <w:right w:val="single" w:color="auto" w:sz="4" w:space="0"/>
            </w:tcBorders>
            <w:shd w:val="clear" w:color="auto" w:fill="auto"/>
            <w:vAlign w:val="center"/>
          </w:tcPr>
          <w:p w14:paraId="37B0E8C8">
            <w:pPr>
              <w:rPr>
                <w:rFonts w:ascii="宋体" w:hAnsi="宋体" w:cs="宋体"/>
                <w:sz w:val="24"/>
                <w:szCs w:val="22"/>
              </w:rPr>
            </w:pPr>
          </w:p>
        </w:tc>
      </w:tr>
      <w:tr w14:paraId="259E2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0E7BD5F4">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4727F169">
            <w:pPr>
              <w:rPr>
                <w:rFonts w:ascii="宋体" w:hAnsi="宋体" w:cs="宋体"/>
                <w:sz w:val="24"/>
                <w:szCs w:val="22"/>
              </w:rPr>
            </w:pP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77E77E73">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1E8B3551">
            <w:pPr>
              <w:rPr>
                <w:rFonts w:ascii="宋体" w:hAnsi="宋体" w:cs="宋体"/>
                <w:sz w:val="24"/>
                <w:szCs w:val="22"/>
              </w:rPr>
            </w:pPr>
          </w:p>
        </w:tc>
        <w:tc>
          <w:tcPr>
            <w:tcW w:w="2474" w:type="dxa"/>
            <w:tcBorders>
              <w:top w:val="single" w:color="auto" w:sz="4" w:space="0"/>
              <w:left w:val="single" w:color="auto" w:sz="4" w:space="0"/>
              <w:bottom w:val="single" w:color="auto" w:sz="4" w:space="0"/>
              <w:right w:val="single" w:color="auto" w:sz="4" w:space="0"/>
            </w:tcBorders>
            <w:shd w:val="clear" w:color="auto" w:fill="auto"/>
            <w:vAlign w:val="center"/>
          </w:tcPr>
          <w:p w14:paraId="5C6E8FD0">
            <w:pPr>
              <w:rPr>
                <w:rFonts w:ascii="宋体" w:hAnsi="宋体" w:cs="宋体"/>
                <w:sz w:val="24"/>
                <w:szCs w:val="22"/>
              </w:rPr>
            </w:pPr>
          </w:p>
        </w:tc>
      </w:tr>
      <w:tr w14:paraId="56B25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7D2FDB68">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5629975A">
            <w:pPr>
              <w:rPr>
                <w:rFonts w:ascii="宋体" w:hAnsi="宋体" w:cs="宋体"/>
                <w:sz w:val="24"/>
                <w:szCs w:val="22"/>
              </w:rPr>
            </w:pP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6DADD203">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00601FC6">
            <w:pPr>
              <w:rPr>
                <w:rFonts w:ascii="宋体" w:hAnsi="宋体" w:cs="宋体"/>
                <w:sz w:val="24"/>
                <w:szCs w:val="22"/>
              </w:rPr>
            </w:pPr>
          </w:p>
        </w:tc>
        <w:tc>
          <w:tcPr>
            <w:tcW w:w="2474" w:type="dxa"/>
            <w:tcBorders>
              <w:top w:val="single" w:color="auto" w:sz="4" w:space="0"/>
              <w:left w:val="single" w:color="auto" w:sz="4" w:space="0"/>
              <w:bottom w:val="single" w:color="auto" w:sz="4" w:space="0"/>
              <w:right w:val="single" w:color="auto" w:sz="4" w:space="0"/>
            </w:tcBorders>
            <w:shd w:val="clear" w:color="auto" w:fill="auto"/>
            <w:vAlign w:val="center"/>
          </w:tcPr>
          <w:p w14:paraId="1DFF81A5">
            <w:pPr>
              <w:rPr>
                <w:rFonts w:ascii="宋体" w:hAnsi="宋体" w:cs="宋体"/>
                <w:sz w:val="24"/>
                <w:szCs w:val="22"/>
              </w:rPr>
            </w:pPr>
          </w:p>
        </w:tc>
      </w:tr>
      <w:tr w14:paraId="5564F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6DFAF228">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6BA15BF5">
            <w:pPr>
              <w:rPr>
                <w:rFonts w:ascii="宋体" w:hAnsi="宋体" w:cs="宋体"/>
                <w:sz w:val="24"/>
                <w:szCs w:val="22"/>
              </w:rPr>
            </w:pP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07615B8C">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036230C8">
            <w:pPr>
              <w:rPr>
                <w:rFonts w:ascii="宋体" w:hAnsi="宋体" w:cs="宋体"/>
                <w:sz w:val="24"/>
                <w:szCs w:val="22"/>
              </w:rPr>
            </w:pPr>
          </w:p>
        </w:tc>
        <w:tc>
          <w:tcPr>
            <w:tcW w:w="2474" w:type="dxa"/>
            <w:tcBorders>
              <w:top w:val="single" w:color="auto" w:sz="4" w:space="0"/>
              <w:left w:val="single" w:color="auto" w:sz="4" w:space="0"/>
              <w:bottom w:val="single" w:color="auto" w:sz="4" w:space="0"/>
              <w:right w:val="single" w:color="auto" w:sz="4" w:space="0"/>
            </w:tcBorders>
            <w:shd w:val="clear" w:color="auto" w:fill="auto"/>
            <w:vAlign w:val="center"/>
          </w:tcPr>
          <w:p w14:paraId="787F35D1">
            <w:pPr>
              <w:rPr>
                <w:rFonts w:ascii="宋体" w:hAnsi="宋体" w:cs="宋体"/>
                <w:sz w:val="24"/>
                <w:szCs w:val="22"/>
              </w:rPr>
            </w:pPr>
          </w:p>
        </w:tc>
      </w:tr>
      <w:tr w14:paraId="76E15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567BEE54">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1101783C">
            <w:pPr>
              <w:rPr>
                <w:rFonts w:ascii="宋体" w:hAnsi="宋体" w:cs="宋体"/>
                <w:sz w:val="24"/>
                <w:szCs w:val="22"/>
              </w:rPr>
            </w:pP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136C4B94">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4E3C59A6">
            <w:pPr>
              <w:rPr>
                <w:rFonts w:ascii="宋体" w:hAnsi="宋体" w:cs="宋体"/>
                <w:sz w:val="24"/>
                <w:szCs w:val="22"/>
              </w:rPr>
            </w:pPr>
          </w:p>
        </w:tc>
        <w:tc>
          <w:tcPr>
            <w:tcW w:w="2474" w:type="dxa"/>
            <w:tcBorders>
              <w:top w:val="single" w:color="auto" w:sz="4" w:space="0"/>
              <w:left w:val="single" w:color="auto" w:sz="4" w:space="0"/>
              <w:bottom w:val="single" w:color="auto" w:sz="4" w:space="0"/>
              <w:right w:val="single" w:color="auto" w:sz="4" w:space="0"/>
            </w:tcBorders>
            <w:shd w:val="clear" w:color="auto" w:fill="auto"/>
            <w:vAlign w:val="center"/>
          </w:tcPr>
          <w:p w14:paraId="038B3A7A">
            <w:pPr>
              <w:rPr>
                <w:rFonts w:ascii="宋体" w:hAnsi="宋体" w:cs="宋体"/>
                <w:sz w:val="24"/>
                <w:szCs w:val="22"/>
              </w:rPr>
            </w:pPr>
          </w:p>
        </w:tc>
      </w:tr>
      <w:tr w14:paraId="26A54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0F2CEE31">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0FD9369A">
            <w:pPr>
              <w:rPr>
                <w:rFonts w:ascii="宋体" w:hAnsi="宋体" w:cs="宋体"/>
                <w:sz w:val="24"/>
                <w:szCs w:val="22"/>
              </w:rPr>
            </w:pP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3F0FCC68">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0C222D11">
            <w:pPr>
              <w:rPr>
                <w:rFonts w:ascii="宋体" w:hAnsi="宋体" w:cs="宋体"/>
                <w:sz w:val="24"/>
                <w:szCs w:val="22"/>
              </w:rPr>
            </w:pPr>
          </w:p>
        </w:tc>
        <w:tc>
          <w:tcPr>
            <w:tcW w:w="2474" w:type="dxa"/>
            <w:tcBorders>
              <w:top w:val="single" w:color="auto" w:sz="4" w:space="0"/>
              <w:left w:val="single" w:color="auto" w:sz="4" w:space="0"/>
              <w:bottom w:val="single" w:color="auto" w:sz="4" w:space="0"/>
              <w:right w:val="single" w:color="auto" w:sz="4" w:space="0"/>
            </w:tcBorders>
            <w:shd w:val="clear" w:color="auto" w:fill="auto"/>
            <w:vAlign w:val="center"/>
          </w:tcPr>
          <w:p w14:paraId="12E2901C">
            <w:pPr>
              <w:rPr>
                <w:rFonts w:ascii="宋体" w:hAnsi="宋体" w:cs="宋体"/>
                <w:sz w:val="24"/>
                <w:szCs w:val="22"/>
              </w:rPr>
            </w:pPr>
          </w:p>
        </w:tc>
      </w:tr>
    </w:tbl>
    <w:p w14:paraId="258C1C63">
      <w:pPr>
        <w:rPr>
          <w:rFonts w:ascii="宋体" w:hAnsi="宋体" w:cs="宋体"/>
          <w:sz w:val="24"/>
          <w:szCs w:val="22"/>
        </w:rPr>
      </w:pPr>
      <w:r>
        <w:rPr>
          <w:rFonts w:hint="eastAsia" w:ascii="宋体" w:hAnsi="宋体" w:cs="宋体"/>
          <w:sz w:val="24"/>
          <w:szCs w:val="22"/>
        </w:rPr>
        <w:t>投标人名称：                   投标人代表签字：           日期：</w:t>
      </w:r>
    </w:p>
    <w:p w14:paraId="60B066C5">
      <w:pPr>
        <w:rPr>
          <w:rFonts w:ascii="宋体" w:hAnsi="宋体" w:cs="宋体"/>
          <w:sz w:val="24"/>
          <w:szCs w:val="22"/>
        </w:rPr>
      </w:pPr>
      <w:r>
        <w:rPr>
          <w:rFonts w:hint="eastAsia" w:ascii="宋体" w:hAnsi="宋体" w:cs="宋体"/>
          <w:sz w:val="24"/>
          <w:szCs w:val="22"/>
        </w:rPr>
        <w:t>注：为避免歧义，无偏离也应提报该表，并注明“无”字。如无该表则即使在其他部分已反映，也被视为“无偏离”。</w:t>
      </w:r>
    </w:p>
    <w:p w14:paraId="73300202">
      <w:pPr>
        <w:rPr>
          <w:rFonts w:ascii="宋体" w:hAnsi="宋体" w:cs="宋体"/>
          <w:sz w:val="24"/>
          <w:szCs w:val="22"/>
        </w:rPr>
      </w:pPr>
    </w:p>
    <w:p w14:paraId="20DF66B4">
      <w:pPr>
        <w:rPr>
          <w:rFonts w:ascii="Calibri" w:hAnsi="Calibri" w:eastAsia="黑体" w:cs="黑体"/>
          <w:b/>
          <w:sz w:val="28"/>
          <w:szCs w:val="22"/>
        </w:rPr>
      </w:pPr>
    </w:p>
    <w:p w14:paraId="1AD9470C">
      <w:pPr>
        <w:rPr>
          <w:rFonts w:ascii="Calibri" w:hAnsi="Calibri" w:eastAsia="黑体" w:cs="黑体"/>
          <w:b/>
          <w:sz w:val="28"/>
          <w:szCs w:val="22"/>
        </w:rPr>
      </w:pPr>
    </w:p>
    <w:p w14:paraId="7AE2760F">
      <w:pPr>
        <w:rPr>
          <w:rFonts w:eastAsia="黑体"/>
          <w:b/>
          <w:sz w:val="28"/>
          <w:szCs w:val="22"/>
        </w:rPr>
      </w:pPr>
      <w:r>
        <w:rPr>
          <w:rFonts w:hint="eastAsia" w:ascii="Calibri" w:hAnsi="Calibri" w:eastAsia="黑体" w:cs="黑体"/>
          <w:b/>
          <w:sz w:val="28"/>
          <w:szCs w:val="22"/>
        </w:rPr>
        <w:t>附件</w:t>
      </w:r>
      <w:r>
        <w:rPr>
          <w:rFonts w:hint="eastAsia" w:ascii="Calibri" w:hAnsi="Calibri" w:eastAsia="黑体"/>
          <w:b/>
          <w:sz w:val="28"/>
          <w:szCs w:val="22"/>
        </w:rPr>
        <w:t>6</w:t>
      </w:r>
    </w:p>
    <w:p w14:paraId="1A2EA215">
      <w:pPr>
        <w:jc w:val="center"/>
        <w:rPr>
          <w:rFonts w:eastAsia="黑体"/>
          <w:b/>
          <w:sz w:val="28"/>
          <w:szCs w:val="22"/>
        </w:rPr>
      </w:pPr>
      <w:r>
        <w:rPr>
          <w:rFonts w:hint="eastAsia" w:ascii="Calibri" w:hAnsi="Calibri" w:eastAsia="黑体" w:cs="黑体"/>
          <w:b/>
          <w:sz w:val="28"/>
          <w:szCs w:val="22"/>
        </w:rPr>
        <w:t>技术规格、参数偏离表</w:t>
      </w:r>
    </w:p>
    <w:p w14:paraId="74323C50">
      <w:pPr>
        <w:rPr>
          <w:rFonts w:ascii="宋体" w:hAnsi="宋体" w:cs="宋体"/>
          <w:sz w:val="24"/>
          <w:szCs w:val="22"/>
        </w:rPr>
      </w:pPr>
    </w:p>
    <w:tbl>
      <w:tblPr>
        <w:tblStyle w:val="25"/>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1079"/>
        <w:gridCol w:w="2893"/>
        <w:gridCol w:w="1109"/>
        <w:gridCol w:w="2612"/>
      </w:tblGrid>
      <w:tr w14:paraId="51639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0FB86FC1">
            <w:pPr>
              <w:jc w:val="center"/>
              <w:rPr>
                <w:rFonts w:ascii="宋体" w:hAnsi="宋体" w:cs="宋体"/>
                <w:sz w:val="24"/>
                <w:szCs w:val="22"/>
              </w:rPr>
            </w:pPr>
            <w:r>
              <w:rPr>
                <w:rFonts w:hint="eastAsia" w:ascii="宋体" w:hAnsi="宋体" w:cs="宋体"/>
                <w:sz w:val="24"/>
                <w:szCs w:val="22"/>
              </w:rPr>
              <w:t>序号</w:t>
            </w:r>
          </w:p>
        </w:tc>
        <w:tc>
          <w:tcPr>
            <w:tcW w:w="397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AC0A6A0">
            <w:pPr>
              <w:jc w:val="center"/>
              <w:rPr>
                <w:rFonts w:ascii="宋体" w:hAnsi="宋体" w:cs="宋体"/>
                <w:sz w:val="24"/>
                <w:szCs w:val="22"/>
              </w:rPr>
            </w:pPr>
            <w:r>
              <w:rPr>
                <w:rFonts w:hint="eastAsia" w:ascii="宋体" w:hAnsi="宋体" w:cs="宋体"/>
                <w:sz w:val="24"/>
                <w:szCs w:val="22"/>
              </w:rPr>
              <w:t>招标文件条款</w:t>
            </w:r>
          </w:p>
        </w:tc>
        <w:tc>
          <w:tcPr>
            <w:tcW w:w="372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3F46825">
            <w:pPr>
              <w:jc w:val="center"/>
              <w:rPr>
                <w:rFonts w:ascii="宋体" w:hAnsi="宋体" w:cs="宋体"/>
                <w:sz w:val="24"/>
                <w:szCs w:val="22"/>
              </w:rPr>
            </w:pPr>
            <w:r>
              <w:rPr>
                <w:rFonts w:hint="eastAsia" w:ascii="宋体" w:hAnsi="宋体" w:cs="宋体"/>
                <w:sz w:val="24"/>
                <w:szCs w:val="22"/>
              </w:rPr>
              <w:t>投标书条款</w:t>
            </w:r>
          </w:p>
        </w:tc>
      </w:tr>
      <w:tr w14:paraId="22C16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586BBDA0">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386F2723">
            <w:pPr>
              <w:jc w:val="center"/>
              <w:rPr>
                <w:rFonts w:ascii="宋体" w:hAnsi="宋体" w:cs="宋体"/>
                <w:sz w:val="24"/>
                <w:szCs w:val="22"/>
              </w:rPr>
            </w:pPr>
            <w:r>
              <w:rPr>
                <w:rFonts w:hint="eastAsia" w:ascii="宋体" w:hAnsi="宋体" w:cs="宋体"/>
                <w:sz w:val="24"/>
                <w:szCs w:val="22"/>
              </w:rPr>
              <w:t>条款号</w:t>
            </w:r>
          </w:p>
        </w:tc>
        <w:tc>
          <w:tcPr>
            <w:tcW w:w="2893" w:type="dxa"/>
            <w:tcBorders>
              <w:top w:val="single" w:color="auto" w:sz="4" w:space="0"/>
              <w:left w:val="single" w:color="auto" w:sz="4" w:space="0"/>
              <w:bottom w:val="single" w:color="auto" w:sz="4" w:space="0"/>
              <w:right w:val="single" w:color="auto" w:sz="4" w:space="0"/>
            </w:tcBorders>
            <w:shd w:val="clear" w:color="auto" w:fill="auto"/>
            <w:vAlign w:val="center"/>
          </w:tcPr>
          <w:p w14:paraId="21BE04FB">
            <w:pPr>
              <w:jc w:val="center"/>
              <w:rPr>
                <w:rFonts w:ascii="宋体" w:hAnsi="宋体" w:cs="宋体"/>
                <w:sz w:val="24"/>
                <w:szCs w:val="22"/>
              </w:rPr>
            </w:pPr>
            <w:r>
              <w:rPr>
                <w:rFonts w:hint="eastAsia" w:ascii="宋体" w:hAnsi="宋体" w:cs="宋体"/>
                <w:sz w:val="24"/>
                <w:szCs w:val="22"/>
              </w:rPr>
              <w:t>条款内容</w:t>
            </w: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3677B36E">
            <w:pPr>
              <w:jc w:val="center"/>
              <w:rPr>
                <w:rFonts w:ascii="宋体" w:hAnsi="宋体" w:cs="宋体"/>
                <w:sz w:val="24"/>
                <w:szCs w:val="22"/>
              </w:rPr>
            </w:pPr>
            <w:r>
              <w:rPr>
                <w:rFonts w:hint="eastAsia" w:ascii="宋体" w:hAnsi="宋体" w:cs="宋体"/>
                <w:sz w:val="24"/>
                <w:szCs w:val="22"/>
              </w:rPr>
              <w:t>条款号</w:t>
            </w:r>
          </w:p>
        </w:tc>
        <w:tc>
          <w:tcPr>
            <w:tcW w:w="2612" w:type="dxa"/>
            <w:tcBorders>
              <w:top w:val="single" w:color="auto" w:sz="4" w:space="0"/>
              <w:left w:val="single" w:color="auto" w:sz="4" w:space="0"/>
              <w:bottom w:val="single" w:color="auto" w:sz="4" w:space="0"/>
              <w:right w:val="single" w:color="auto" w:sz="4" w:space="0"/>
            </w:tcBorders>
            <w:shd w:val="clear" w:color="auto" w:fill="auto"/>
            <w:vAlign w:val="center"/>
          </w:tcPr>
          <w:p w14:paraId="4E7F1FBB">
            <w:pPr>
              <w:jc w:val="center"/>
              <w:rPr>
                <w:rFonts w:ascii="宋体" w:hAnsi="宋体" w:cs="宋体"/>
                <w:sz w:val="24"/>
                <w:szCs w:val="22"/>
              </w:rPr>
            </w:pPr>
            <w:r>
              <w:rPr>
                <w:rFonts w:hint="eastAsia" w:ascii="宋体" w:hAnsi="宋体" w:cs="宋体"/>
                <w:sz w:val="24"/>
                <w:szCs w:val="22"/>
              </w:rPr>
              <w:t>条款内容</w:t>
            </w:r>
          </w:p>
        </w:tc>
      </w:tr>
      <w:tr w14:paraId="516A7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78F66A8B">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58D99129">
            <w:pPr>
              <w:rPr>
                <w:rFonts w:ascii="宋体" w:hAnsi="宋体" w:cs="宋体"/>
                <w:sz w:val="24"/>
                <w:szCs w:val="22"/>
              </w:rPr>
            </w:pPr>
          </w:p>
        </w:tc>
        <w:tc>
          <w:tcPr>
            <w:tcW w:w="2893" w:type="dxa"/>
            <w:tcBorders>
              <w:top w:val="single" w:color="auto" w:sz="4" w:space="0"/>
              <w:left w:val="single" w:color="auto" w:sz="4" w:space="0"/>
              <w:bottom w:val="single" w:color="auto" w:sz="4" w:space="0"/>
              <w:right w:val="single" w:color="auto" w:sz="4" w:space="0"/>
            </w:tcBorders>
            <w:shd w:val="clear" w:color="auto" w:fill="auto"/>
            <w:vAlign w:val="center"/>
          </w:tcPr>
          <w:p w14:paraId="0B447B00">
            <w:pPr>
              <w:rPr>
                <w:rFonts w:ascii="宋体" w:hAnsi="宋体" w:cs="宋体"/>
                <w:sz w:val="24"/>
                <w:szCs w:val="22"/>
              </w:rPr>
            </w:pP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0487D7A1">
            <w:pPr>
              <w:rPr>
                <w:rFonts w:ascii="宋体" w:hAnsi="宋体" w:cs="宋体"/>
                <w:sz w:val="24"/>
                <w:szCs w:val="22"/>
              </w:rPr>
            </w:pPr>
          </w:p>
        </w:tc>
        <w:tc>
          <w:tcPr>
            <w:tcW w:w="2612" w:type="dxa"/>
            <w:tcBorders>
              <w:top w:val="single" w:color="auto" w:sz="4" w:space="0"/>
              <w:left w:val="single" w:color="auto" w:sz="4" w:space="0"/>
              <w:bottom w:val="single" w:color="auto" w:sz="4" w:space="0"/>
              <w:right w:val="single" w:color="auto" w:sz="4" w:space="0"/>
            </w:tcBorders>
            <w:shd w:val="clear" w:color="auto" w:fill="auto"/>
            <w:vAlign w:val="center"/>
          </w:tcPr>
          <w:p w14:paraId="59EA93D1">
            <w:pPr>
              <w:rPr>
                <w:rFonts w:ascii="宋体" w:hAnsi="宋体" w:cs="宋体"/>
                <w:sz w:val="24"/>
                <w:szCs w:val="22"/>
              </w:rPr>
            </w:pPr>
          </w:p>
        </w:tc>
      </w:tr>
      <w:tr w14:paraId="5FB93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53C85843">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4AA36784">
            <w:pPr>
              <w:rPr>
                <w:rFonts w:ascii="宋体" w:hAnsi="宋体" w:cs="宋体"/>
                <w:sz w:val="24"/>
                <w:szCs w:val="22"/>
              </w:rPr>
            </w:pPr>
          </w:p>
        </w:tc>
        <w:tc>
          <w:tcPr>
            <w:tcW w:w="2893" w:type="dxa"/>
            <w:tcBorders>
              <w:top w:val="single" w:color="auto" w:sz="4" w:space="0"/>
              <w:left w:val="single" w:color="auto" w:sz="4" w:space="0"/>
              <w:bottom w:val="single" w:color="auto" w:sz="4" w:space="0"/>
              <w:right w:val="single" w:color="auto" w:sz="4" w:space="0"/>
            </w:tcBorders>
            <w:shd w:val="clear" w:color="auto" w:fill="auto"/>
            <w:vAlign w:val="center"/>
          </w:tcPr>
          <w:p w14:paraId="116A9FB3">
            <w:pPr>
              <w:rPr>
                <w:rFonts w:ascii="宋体" w:hAnsi="宋体" w:cs="宋体"/>
                <w:sz w:val="24"/>
                <w:szCs w:val="22"/>
              </w:rPr>
            </w:pP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212A86A9">
            <w:pPr>
              <w:rPr>
                <w:rFonts w:ascii="宋体" w:hAnsi="宋体" w:cs="宋体"/>
                <w:sz w:val="24"/>
                <w:szCs w:val="22"/>
              </w:rPr>
            </w:pPr>
          </w:p>
        </w:tc>
        <w:tc>
          <w:tcPr>
            <w:tcW w:w="2612" w:type="dxa"/>
            <w:tcBorders>
              <w:top w:val="single" w:color="auto" w:sz="4" w:space="0"/>
              <w:left w:val="single" w:color="auto" w:sz="4" w:space="0"/>
              <w:bottom w:val="single" w:color="auto" w:sz="4" w:space="0"/>
              <w:right w:val="single" w:color="auto" w:sz="4" w:space="0"/>
            </w:tcBorders>
            <w:shd w:val="clear" w:color="auto" w:fill="auto"/>
            <w:vAlign w:val="center"/>
          </w:tcPr>
          <w:p w14:paraId="3737A1DA">
            <w:pPr>
              <w:rPr>
                <w:rFonts w:ascii="宋体" w:hAnsi="宋体" w:cs="宋体"/>
                <w:sz w:val="24"/>
                <w:szCs w:val="22"/>
              </w:rPr>
            </w:pPr>
          </w:p>
        </w:tc>
      </w:tr>
      <w:tr w14:paraId="182AE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027623CF">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0E8C5FAA">
            <w:pPr>
              <w:rPr>
                <w:rFonts w:ascii="宋体" w:hAnsi="宋体" w:cs="宋体"/>
                <w:sz w:val="24"/>
                <w:szCs w:val="22"/>
              </w:rPr>
            </w:pPr>
          </w:p>
        </w:tc>
        <w:tc>
          <w:tcPr>
            <w:tcW w:w="2893" w:type="dxa"/>
            <w:tcBorders>
              <w:top w:val="single" w:color="auto" w:sz="4" w:space="0"/>
              <w:left w:val="single" w:color="auto" w:sz="4" w:space="0"/>
              <w:bottom w:val="single" w:color="auto" w:sz="4" w:space="0"/>
              <w:right w:val="single" w:color="auto" w:sz="4" w:space="0"/>
            </w:tcBorders>
            <w:shd w:val="clear" w:color="auto" w:fill="auto"/>
            <w:vAlign w:val="center"/>
          </w:tcPr>
          <w:p w14:paraId="4213CD74">
            <w:pPr>
              <w:rPr>
                <w:rFonts w:ascii="宋体" w:hAnsi="宋体" w:cs="宋体"/>
                <w:sz w:val="24"/>
                <w:szCs w:val="22"/>
              </w:rPr>
            </w:pP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2A738D19">
            <w:pPr>
              <w:rPr>
                <w:rFonts w:ascii="宋体" w:hAnsi="宋体" w:cs="宋体"/>
                <w:sz w:val="24"/>
                <w:szCs w:val="22"/>
              </w:rPr>
            </w:pPr>
          </w:p>
        </w:tc>
        <w:tc>
          <w:tcPr>
            <w:tcW w:w="2612" w:type="dxa"/>
            <w:tcBorders>
              <w:top w:val="single" w:color="auto" w:sz="4" w:space="0"/>
              <w:left w:val="single" w:color="auto" w:sz="4" w:space="0"/>
              <w:bottom w:val="single" w:color="auto" w:sz="4" w:space="0"/>
              <w:right w:val="single" w:color="auto" w:sz="4" w:space="0"/>
            </w:tcBorders>
            <w:shd w:val="clear" w:color="auto" w:fill="auto"/>
            <w:vAlign w:val="center"/>
          </w:tcPr>
          <w:p w14:paraId="2F8FF9A7">
            <w:pPr>
              <w:rPr>
                <w:rFonts w:ascii="宋体" w:hAnsi="宋体" w:cs="宋体"/>
                <w:sz w:val="24"/>
                <w:szCs w:val="22"/>
              </w:rPr>
            </w:pPr>
          </w:p>
        </w:tc>
      </w:tr>
      <w:tr w14:paraId="17842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4693F8BF">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36608A8E">
            <w:pPr>
              <w:rPr>
                <w:rFonts w:ascii="宋体" w:hAnsi="宋体" w:cs="宋体"/>
                <w:sz w:val="24"/>
                <w:szCs w:val="22"/>
              </w:rPr>
            </w:pPr>
          </w:p>
        </w:tc>
        <w:tc>
          <w:tcPr>
            <w:tcW w:w="2893" w:type="dxa"/>
            <w:tcBorders>
              <w:top w:val="single" w:color="auto" w:sz="4" w:space="0"/>
              <w:left w:val="single" w:color="auto" w:sz="4" w:space="0"/>
              <w:bottom w:val="single" w:color="auto" w:sz="4" w:space="0"/>
              <w:right w:val="single" w:color="auto" w:sz="4" w:space="0"/>
            </w:tcBorders>
            <w:shd w:val="clear" w:color="auto" w:fill="auto"/>
            <w:vAlign w:val="center"/>
          </w:tcPr>
          <w:p w14:paraId="4E4DA080">
            <w:pPr>
              <w:rPr>
                <w:rFonts w:ascii="宋体" w:hAnsi="宋体" w:cs="宋体"/>
                <w:sz w:val="24"/>
                <w:szCs w:val="22"/>
              </w:rPr>
            </w:pP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2AB437DD">
            <w:pPr>
              <w:rPr>
                <w:rFonts w:ascii="宋体" w:hAnsi="宋体" w:cs="宋体"/>
                <w:sz w:val="24"/>
                <w:szCs w:val="22"/>
              </w:rPr>
            </w:pPr>
          </w:p>
        </w:tc>
        <w:tc>
          <w:tcPr>
            <w:tcW w:w="2612" w:type="dxa"/>
            <w:tcBorders>
              <w:top w:val="single" w:color="auto" w:sz="4" w:space="0"/>
              <w:left w:val="single" w:color="auto" w:sz="4" w:space="0"/>
              <w:bottom w:val="single" w:color="auto" w:sz="4" w:space="0"/>
              <w:right w:val="single" w:color="auto" w:sz="4" w:space="0"/>
            </w:tcBorders>
            <w:shd w:val="clear" w:color="auto" w:fill="auto"/>
            <w:vAlign w:val="center"/>
          </w:tcPr>
          <w:p w14:paraId="10545FD8">
            <w:pPr>
              <w:rPr>
                <w:rFonts w:ascii="宋体" w:hAnsi="宋体" w:cs="宋体"/>
                <w:sz w:val="24"/>
                <w:szCs w:val="22"/>
              </w:rPr>
            </w:pPr>
          </w:p>
        </w:tc>
      </w:tr>
      <w:tr w14:paraId="0170D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0EEF1EFC">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4F00E7DB">
            <w:pPr>
              <w:rPr>
                <w:rFonts w:ascii="宋体" w:hAnsi="宋体" w:cs="宋体"/>
                <w:sz w:val="24"/>
                <w:szCs w:val="22"/>
              </w:rPr>
            </w:pPr>
          </w:p>
        </w:tc>
        <w:tc>
          <w:tcPr>
            <w:tcW w:w="2893" w:type="dxa"/>
            <w:tcBorders>
              <w:top w:val="single" w:color="auto" w:sz="4" w:space="0"/>
              <w:left w:val="single" w:color="auto" w:sz="4" w:space="0"/>
              <w:bottom w:val="single" w:color="auto" w:sz="4" w:space="0"/>
              <w:right w:val="single" w:color="auto" w:sz="4" w:space="0"/>
            </w:tcBorders>
            <w:shd w:val="clear" w:color="auto" w:fill="auto"/>
            <w:vAlign w:val="center"/>
          </w:tcPr>
          <w:p w14:paraId="5481628F">
            <w:pPr>
              <w:rPr>
                <w:rFonts w:ascii="宋体" w:hAnsi="宋体" w:cs="宋体"/>
                <w:sz w:val="24"/>
                <w:szCs w:val="22"/>
              </w:rPr>
            </w:pP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4243489A">
            <w:pPr>
              <w:rPr>
                <w:rFonts w:ascii="宋体" w:hAnsi="宋体" w:cs="宋体"/>
                <w:sz w:val="24"/>
                <w:szCs w:val="22"/>
              </w:rPr>
            </w:pPr>
          </w:p>
        </w:tc>
        <w:tc>
          <w:tcPr>
            <w:tcW w:w="2612" w:type="dxa"/>
            <w:tcBorders>
              <w:top w:val="single" w:color="auto" w:sz="4" w:space="0"/>
              <w:left w:val="single" w:color="auto" w:sz="4" w:space="0"/>
              <w:bottom w:val="single" w:color="auto" w:sz="4" w:space="0"/>
              <w:right w:val="single" w:color="auto" w:sz="4" w:space="0"/>
            </w:tcBorders>
            <w:shd w:val="clear" w:color="auto" w:fill="auto"/>
            <w:vAlign w:val="center"/>
          </w:tcPr>
          <w:p w14:paraId="5C12E967">
            <w:pPr>
              <w:rPr>
                <w:rFonts w:ascii="宋体" w:hAnsi="宋体" w:cs="宋体"/>
                <w:sz w:val="24"/>
                <w:szCs w:val="22"/>
              </w:rPr>
            </w:pPr>
          </w:p>
        </w:tc>
      </w:tr>
      <w:tr w14:paraId="6A1AA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4F6FC9BC">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20EFFD43">
            <w:pPr>
              <w:rPr>
                <w:rFonts w:ascii="宋体" w:hAnsi="宋体" w:cs="宋体"/>
                <w:sz w:val="24"/>
                <w:szCs w:val="22"/>
              </w:rPr>
            </w:pPr>
          </w:p>
        </w:tc>
        <w:tc>
          <w:tcPr>
            <w:tcW w:w="2893" w:type="dxa"/>
            <w:tcBorders>
              <w:top w:val="single" w:color="auto" w:sz="4" w:space="0"/>
              <w:left w:val="single" w:color="auto" w:sz="4" w:space="0"/>
              <w:bottom w:val="single" w:color="auto" w:sz="4" w:space="0"/>
              <w:right w:val="single" w:color="auto" w:sz="4" w:space="0"/>
            </w:tcBorders>
            <w:shd w:val="clear" w:color="auto" w:fill="auto"/>
            <w:vAlign w:val="center"/>
          </w:tcPr>
          <w:p w14:paraId="5B3B5B2B">
            <w:pPr>
              <w:rPr>
                <w:rFonts w:ascii="宋体" w:hAnsi="宋体" w:cs="宋体"/>
                <w:sz w:val="24"/>
                <w:szCs w:val="22"/>
              </w:rPr>
            </w:pP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507EE818">
            <w:pPr>
              <w:rPr>
                <w:rFonts w:ascii="宋体" w:hAnsi="宋体" w:cs="宋体"/>
                <w:sz w:val="24"/>
                <w:szCs w:val="22"/>
              </w:rPr>
            </w:pPr>
          </w:p>
        </w:tc>
        <w:tc>
          <w:tcPr>
            <w:tcW w:w="2612" w:type="dxa"/>
            <w:tcBorders>
              <w:top w:val="single" w:color="auto" w:sz="4" w:space="0"/>
              <w:left w:val="single" w:color="auto" w:sz="4" w:space="0"/>
              <w:bottom w:val="single" w:color="auto" w:sz="4" w:space="0"/>
              <w:right w:val="single" w:color="auto" w:sz="4" w:space="0"/>
            </w:tcBorders>
            <w:shd w:val="clear" w:color="auto" w:fill="auto"/>
            <w:vAlign w:val="center"/>
          </w:tcPr>
          <w:p w14:paraId="33379177">
            <w:pPr>
              <w:rPr>
                <w:rFonts w:ascii="宋体" w:hAnsi="宋体" w:cs="宋体"/>
                <w:sz w:val="24"/>
                <w:szCs w:val="22"/>
              </w:rPr>
            </w:pPr>
          </w:p>
        </w:tc>
      </w:tr>
      <w:tr w14:paraId="47234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66F59C3E">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6AF4FECB">
            <w:pPr>
              <w:rPr>
                <w:rFonts w:ascii="宋体" w:hAnsi="宋体" w:cs="宋体"/>
                <w:sz w:val="24"/>
                <w:szCs w:val="22"/>
              </w:rPr>
            </w:pPr>
          </w:p>
        </w:tc>
        <w:tc>
          <w:tcPr>
            <w:tcW w:w="2893" w:type="dxa"/>
            <w:tcBorders>
              <w:top w:val="single" w:color="auto" w:sz="4" w:space="0"/>
              <w:left w:val="single" w:color="auto" w:sz="4" w:space="0"/>
              <w:bottom w:val="single" w:color="auto" w:sz="4" w:space="0"/>
              <w:right w:val="single" w:color="auto" w:sz="4" w:space="0"/>
            </w:tcBorders>
            <w:shd w:val="clear" w:color="auto" w:fill="auto"/>
            <w:vAlign w:val="center"/>
          </w:tcPr>
          <w:p w14:paraId="323ECA0C">
            <w:pPr>
              <w:rPr>
                <w:rFonts w:ascii="宋体" w:hAnsi="宋体" w:cs="宋体"/>
                <w:sz w:val="24"/>
                <w:szCs w:val="22"/>
              </w:rPr>
            </w:pP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7AC2BE01">
            <w:pPr>
              <w:rPr>
                <w:rFonts w:ascii="宋体" w:hAnsi="宋体" w:cs="宋体"/>
                <w:sz w:val="24"/>
                <w:szCs w:val="22"/>
              </w:rPr>
            </w:pPr>
          </w:p>
        </w:tc>
        <w:tc>
          <w:tcPr>
            <w:tcW w:w="2612" w:type="dxa"/>
            <w:tcBorders>
              <w:top w:val="single" w:color="auto" w:sz="4" w:space="0"/>
              <w:left w:val="single" w:color="auto" w:sz="4" w:space="0"/>
              <w:bottom w:val="single" w:color="auto" w:sz="4" w:space="0"/>
              <w:right w:val="single" w:color="auto" w:sz="4" w:space="0"/>
            </w:tcBorders>
            <w:shd w:val="clear" w:color="auto" w:fill="auto"/>
            <w:vAlign w:val="center"/>
          </w:tcPr>
          <w:p w14:paraId="01F98E66">
            <w:pPr>
              <w:rPr>
                <w:rFonts w:ascii="宋体" w:hAnsi="宋体" w:cs="宋体"/>
                <w:sz w:val="24"/>
                <w:szCs w:val="22"/>
              </w:rPr>
            </w:pPr>
          </w:p>
        </w:tc>
      </w:tr>
      <w:tr w14:paraId="5707A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438AE170">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0CFEBC3A">
            <w:pPr>
              <w:rPr>
                <w:rFonts w:ascii="宋体" w:hAnsi="宋体" w:cs="宋体"/>
                <w:sz w:val="24"/>
                <w:szCs w:val="22"/>
              </w:rPr>
            </w:pPr>
          </w:p>
        </w:tc>
        <w:tc>
          <w:tcPr>
            <w:tcW w:w="2893" w:type="dxa"/>
            <w:tcBorders>
              <w:top w:val="single" w:color="auto" w:sz="4" w:space="0"/>
              <w:left w:val="single" w:color="auto" w:sz="4" w:space="0"/>
              <w:bottom w:val="single" w:color="auto" w:sz="4" w:space="0"/>
              <w:right w:val="single" w:color="auto" w:sz="4" w:space="0"/>
            </w:tcBorders>
            <w:shd w:val="clear" w:color="auto" w:fill="auto"/>
            <w:vAlign w:val="center"/>
          </w:tcPr>
          <w:p w14:paraId="3A8B725D">
            <w:pPr>
              <w:rPr>
                <w:rFonts w:ascii="宋体" w:hAnsi="宋体" w:cs="宋体"/>
                <w:sz w:val="24"/>
                <w:szCs w:val="22"/>
              </w:rPr>
            </w:pP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2CF8ECE8">
            <w:pPr>
              <w:rPr>
                <w:rFonts w:ascii="宋体" w:hAnsi="宋体" w:cs="宋体"/>
                <w:sz w:val="24"/>
                <w:szCs w:val="22"/>
              </w:rPr>
            </w:pPr>
          </w:p>
        </w:tc>
        <w:tc>
          <w:tcPr>
            <w:tcW w:w="2612" w:type="dxa"/>
            <w:tcBorders>
              <w:top w:val="single" w:color="auto" w:sz="4" w:space="0"/>
              <w:left w:val="single" w:color="auto" w:sz="4" w:space="0"/>
              <w:bottom w:val="single" w:color="auto" w:sz="4" w:space="0"/>
              <w:right w:val="single" w:color="auto" w:sz="4" w:space="0"/>
            </w:tcBorders>
            <w:shd w:val="clear" w:color="auto" w:fill="auto"/>
            <w:vAlign w:val="center"/>
          </w:tcPr>
          <w:p w14:paraId="344120A8">
            <w:pPr>
              <w:rPr>
                <w:rFonts w:ascii="宋体" w:hAnsi="宋体" w:cs="宋体"/>
                <w:sz w:val="24"/>
                <w:szCs w:val="22"/>
              </w:rPr>
            </w:pPr>
          </w:p>
        </w:tc>
      </w:tr>
      <w:tr w14:paraId="77B4A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67E8865B">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50EBE433">
            <w:pPr>
              <w:rPr>
                <w:rFonts w:ascii="宋体" w:hAnsi="宋体" w:cs="宋体"/>
                <w:sz w:val="24"/>
                <w:szCs w:val="22"/>
              </w:rPr>
            </w:pPr>
          </w:p>
        </w:tc>
        <w:tc>
          <w:tcPr>
            <w:tcW w:w="2893" w:type="dxa"/>
            <w:tcBorders>
              <w:top w:val="single" w:color="auto" w:sz="4" w:space="0"/>
              <w:left w:val="single" w:color="auto" w:sz="4" w:space="0"/>
              <w:bottom w:val="single" w:color="auto" w:sz="4" w:space="0"/>
              <w:right w:val="single" w:color="auto" w:sz="4" w:space="0"/>
            </w:tcBorders>
            <w:shd w:val="clear" w:color="auto" w:fill="auto"/>
            <w:vAlign w:val="center"/>
          </w:tcPr>
          <w:p w14:paraId="7FB89B65">
            <w:pPr>
              <w:rPr>
                <w:rFonts w:ascii="宋体" w:hAnsi="宋体" w:cs="宋体"/>
                <w:sz w:val="24"/>
                <w:szCs w:val="22"/>
              </w:rPr>
            </w:pP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65BF566F">
            <w:pPr>
              <w:rPr>
                <w:rFonts w:ascii="宋体" w:hAnsi="宋体" w:cs="宋体"/>
                <w:sz w:val="24"/>
                <w:szCs w:val="22"/>
              </w:rPr>
            </w:pPr>
          </w:p>
        </w:tc>
        <w:tc>
          <w:tcPr>
            <w:tcW w:w="2612" w:type="dxa"/>
            <w:tcBorders>
              <w:top w:val="single" w:color="auto" w:sz="4" w:space="0"/>
              <w:left w:val="single" w:color="auto" w:sz="4" w:space="0"/>
              <w:bottom w:val="single" w:color="auto" w:sz="4" w:space="0"/>
              <w:right w:val="single" w:color="auto" w:sz="4" w:space="0"/>
            </w:tcBorders>
            <w:shd w:val="clear" w:color="auto" w:fill="auto"/>
            <w:vAlign w:val="center"/>
          </w:tcPr>
          <w:p w14:paraId="2FB09549">
            <w:pPr>
              <w:rPr>
                <w:rFonts w:ascii="宋体" w:hAnsi="宋体" w:cs="宋体"/>
                <w:sz w:val="24"/>
                <w:szCs w:val="22"/>
              </w:rPr>
            </w:pPr>
          </w:p>
        </w:tc>
      </w:tr>
      <w:tr w14:paraId="113B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59C279E5">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0D1D1097">
            <w:pPr>
              <w:rPr>
                <w:rFonts w:ascii="宋体" w:hAnsi="宋体" w:cs="宋体"/>
                <w:sz w:val="24"/>
                <w:szCs w:val="22"/>
              </w:rPr>
            </w:pPr>
          </w:p>
        </w:tc>
        <w:tc>
          <w:tcPr>
            <w:tcW w:w="2893" w:type="dxa"/>
            <w:tcBorders>
              <w:top w:val="single" w:color="auto" w:sz="4" w:space="0"/>
              <w:left w:val="single" w:color="auto" w:sz="4" w:space="0"/>
              <w:bottom w:val="single" w:color="auto" w:sz="4" w:space="0"/>
              <w:right w:val="single" w:color="auto" w:sz="4" w:space="0"/>
            </w:tcBorders>
            <w:shd w:val="clear" w:color="auto" w:fill="auto"/>
            <w:vAlign w:val="center"/>
          </w:tcPr>
          <w:p w14:paraId="508912D6">
            <w:pPr>
              <w:rPr>
                <w:rFonts w:ascii="宋体" w:hAnsi="宋体" w:cs="宋体"/>
                <w:sz w:val="24"/>
                <w:szCs w:val="22"/>
              </w:rPr>
            </w:pP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56B978F5">
            <w:pPr>
              <w:rPr>
                <w:rFonts w:ascii="宋体" w:hAnsi="宋体" w:cs="宋体"/>
                <w:sz w:val="24"/>
                <w:szCs w:val="22"/>
              </w:rPr>
            </w:pPr>
          </w:p>
        </w:tc>
        <w:tc>
          <w:tcPr>
            <w:tcW w:w="2612" w:type="dxa"/>
            <w:tcBorders>
              <w:top w:val="single" w:color="auto" w:sz="4" w:space="0"/>
              <w:left w:val="single" w:color="auto" w:sz="4" w:space="0"/>
              <w:bottom w:val="single" w:color="auto" w:sz="4" w:space="0"/>
              <w:right w:val="single" w:color="auto" w:sz="4" w:space="0"/>
            </w:tcBorders>
            <w:shd w:val="clear" w:color="auto" w:fill="auto"/>
            <w:vAlign w:val="center"/>
          </w:tcPr>
          <w:p w14:paraId="233DDE6E">
            <w:pPr>
              <w:rPr>
                <w:rFonts w:ascii="宋体" w:hAnsi="宋体" w:cs="宋体"/>
                <w:sz w:val="24"/>
                <w:szCs w:val="22"/>
              </w:rPr>
            </w:pPr>
          </w:p>
        </w:tc>
      </w:tr>
      <w:tr w14:paraId="774F0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43C47909">
            <w:pPr>
              <w:rPr>
                <w:rFonts w:ascii="宋体" w:hAnsi="宋体" w:cs="宋体"/>
                <w:sz w:val="24"/>
                <w:szCs w:val="22"/>
              </w:rPr>
            </w:pPr>
          </w:p>
        </w:tc>
        <w:tc>
          <w:tcPr>
            <w:tcW w:w="1079" w:type="dxa"/>
            <w:tcBorders>
              <w:top w:val="single" w:color="auto" w:sz="4" w:space="0"/>
              <w:left w:val="single" w:color="auto" w:sz="4" w:space="0"/>
              <w:bottom w:val="single" w:color="auto" w:sz="4" w:space="0"/>
              <w:right w:val="single" w:color="auto" w:sz="4" w:space="0"/>
            </w:tcBorders>
            <w:shd w:val="clear" w:color="auto" w:fill="auto"/>
            <w:vAlign w:val="center"/>
          </w:tcPr>
          <w:p w14:paraId="02CD720F">
            <w:pPr>
              <w:rPr>
                <w:rFonts w:ascii="宋体" w:hAnsi="宋体" w:cs="宋体"/>
                <w:sz w:val="24"/>
                <w:szCs w:val="22"/>
              </w:rPr>
            </w:pPr>
          </w:p>
        </w:tc>
        <w:tc>
          <w:tcPr>
            <w:tcW w:w="2893" w:type="dxa"/>
            <w:tcBorders>
              <w:top w:val="single" w:color="auto" w:sz="4" w:space="0"/>
              <w:left w:val="single" w:color="auto" w:sz="4" w:space="0"/>
              <w:bottom w:val="single" w:color="auto" w:sz="4" w:space="0"/>
              <w:right w:val="single" w:color="auto" w:sz="4" w:space="0"/>
            </w:tcBorders>
            <w:shd w:val="clear" w:color="auto" w:fill="auto"/>
            <w:vAlign w:val="center"/>
          </w:tcPr>
          <w:p w14:paraId="70A55380">
            <w:pPr>
              <w:rPr>
                <w:rFonts w:ascii="宋体" w:hAnsi="宋体" w:cs="宋体"/>
                <w:sz w:val="24"/>
                <w:szCs w:val="22"/>
              </w:rPr>
            </w:pPr>
          </w:p>
        </w:tc>
        <w:tc>
          <w:tcPr>
            <w:tcW w:w="1109" w:type="dxa"/>
            <w:tcBorders>
              <w:top w:val="single" w:color="auto" w:sz="4" w:space="0"/>
              <w:left w:val="single" w:color="auto" w:sz="4" w:space="0"/>
              <w:bottom w:val="single" w:color="auto" w:sz="4" w:space="0"/>
              <w:right w:val="single" w:color="auto" w:sz="4" w:space="0"/>
            </w:tcBorders>
            <w:shd w:val="clear" w:color="auto" w:fill="auto"/>
            <w:vAlign w:val="center"/>
          </w:tcPr>
          <w:p w14:paraId="04A59104">
            <w:pPr>
              <w:rPr>
                <w:rFonts w:ascii="宋体" w:hAnsi="宋体" w:cs="宋体"/>
                <w:sz w:val="24"/>
                <w:szCs w:val="22"/>
              </w:rPr>
            </w:pPr>
          </w:p>
        </w:tc>
        <w:tc>
          <w:tcPr>
            <w:tcW w:w="2612" w:type="dxa"/>
            <w:tcBorders>
              <w:top w:val="single" w:color="auto" w:sz="4" w:space="0"/>
              <w:left w:val="single" w:color="auto" w:sz="4" w:space="0"/>
              <w:bottom w:val="single" w:color="auto" w:sz="4" w:space="0"/>
              <w:right w:val="single" w:color="auto" w:sz="4" w:space="0"/>
            </w:tcBorders>
            <w:shd w:val="clear" w:color="auto" w:fill="auto"/>
            <w:vAlign w:val="center"/>
          </w:tcPr>
          <w:p w14:paraId="145EB475">
            <w:pPr>
              <w:rPr>
                <w:rFonts w:ascii="宋体" w:hAnsi="宋体" w:cs="宋体"/>
                <w:sz w:val="24"/>
                <w:szCs w:val="22"/>
              </w:rPr>
            </w:pPr>
          </w:p>
        </w:tc>
      </w:tr>
    </w:tbl>
    <w:p w14:paraId="71BEE5C7">
      <w:pPr>
        <w:rPr>
          <w:sz w:val="24"/>
        </w:rPr>
      </w:pPr>
      <w:r>
        <w:rPr>
          <w:rFonts w:hint="eastAsia" w:ascii="Calibri" w:hAnsi="Calibri" w:cs="宋体"/>
          <w:sz w:val="24"/>
        </w:rPr>
        <w:t>投标人名称：                            投标人代表签字：                                          日期：</w:t>
      </w:r>
    </w:p>
    <w:p w14:paraId="18DD740B">
      <w:pPr>
        <w:rPr>
          <w:sz w:val="24"/>
        </w:rPr>
      </w:pPr>
      <w:r>
        <w:rPr>
          <w:rFonts w:hint="eastAsia" w:ascii="Calibri" w:hAnsi="Calibri" w:cs="宋体"/>
          <w:sz w:val="24"/>
        </w:rPr>
        <w:t>注：为避免歧义，无偏离也应提报该表，并注明“无”字。如无该表则即使在其他部分已反映，也被视为“无偏离”。</w:t>
      </w:r>
    </w:p>
    <w:p w14:paraId="5FCD606B">
      <w:pPr>
        <w:rPr>
          <w:rFonts w:ascii="宋体" w:hAnsi="宋体" w:cs="宋体"/>
          <w:sz w:val="24"/>
          <w:szCs w:val="22"/>
        </w:rPr>
      </w:pPr>
    </w:p>
    <w:p w14:paraId="6D3EEAAB">
      <w:pPr>
        <w:pStyle w:val="15"/>
        <w:widowControl/>
        <w:spacing w:line="360" w:lineRule="auto"/>
        <w:ind w:left="820" w:hanging="400"/>
        <w:jc w:val="center"/>
      </w:pPr>
    </w:p>
    <w:p w14:paraId="1BB807DD">
      <w:pPr>
        <w:rPr>
          <w:rFonts w:hint="eastAsia" w:ascii="Calibri" w:hAnsi="Calibri" w:eastAsia="黑体" w:cs="黑体"/>
          <w:b/>
          <w:sz w:val="28"/>
          <w:szCs w:val="22"/>
        </w:rPr>
      </w:pPr>
    </w:p>
    <w:p w14:paraId="726323C2">
      <w:pPr>
        <w:rPr>
          <w:rFonts w:hint="eastAsia" w:ascii="Calibri" w:hAnsi="Calibri" w:eastAsia="黑体" w:cs="黑体"/>
          <w:b/>
          <w:sz w:val="28"/>
          <w:szCs w:val="22"/>
        </w:rPr>
      </w:pPr>
    </w:p>
    <w:p w14:paraId="7109BD03">
      <w:pPr>
        <w:rPr>
          <w:rFonts w:eastAsia="黑体"/>
          <w:b/>
          <w:sz w:val="28"/>
          <w:szCs w:val="22"/>
        </w:rPr>
      </w:pPr>
      <w:r>
        <w:rPr>
          <w:rFonts w:hint="eastAsia" w:ascii="Calibri" w:hAnsi="Calibri" w:eastAsia="黑体" w:cs="黑体"/>
          <w:b/>
          <w:sz w:val="28"/>
          <w:szCs w:val="22"/>
        </w:rPr>
        <w:t>附件</w:t>
      </w:r>
      <w:r>
        <w:rPr>
          <w:rFonts w:hint="eastAsia" w:ascii="Calibri" w:hAnsi="Calibri" w:eastAsia="黑体"/>
          <w:b/>
          <w:sz w:val="28"/>
          <w:szCs w:val="22"/>
        </w:rPr>
        <w:t>7</w:t>
      </w:r>
    </w:p>
    <w:p w14:paraId="7687F9F7">
      <w:pPr>
        <w:jc w:val="center"/>
        <w:rPr>
          <w:rFonts w:eastAsia="黑体"/>
          <w:b/>
          <w:sz w:val="28"/>
          <w:szCs w:val="22"/>
        </w:rPr>
      </w:pPr>
      <w:r>
        <w:rPr>
          <w:rFonts w:hint="eastAsia" w:ascii="Calibri" w:hAnsi="Calibri" w:eastAsia="黑体" w:cs="黑体"/>
          <w:b/>
          <w:sz w:val="28"/>
          <w:szCs w:val="22"/>
        </w:rPr>
        <w:t>项目实施方案</w:t>
      </w:r>
    </w:p>
    <w:p w14:paraId="54D8A6ED">
      <w:pPr>
        <w:spacing w:line="360" w:lineRule="auto"/>
        <w:ind w:firstLine="480" w:firstLineChars="200"/>
        <w:rPr>
          <w:rFonts w:ascii="宋体" w:hAnsi="宋体" w:cs="宋体"/>
          <w:sz w:val="24"/>
          <w:szCs w:val="22"/>
        </w:rPr>
      </w:pPr>
    </w:p>
    <w:p w14:paraId="34D0B6D4">
      <w:pPr>
        <w:spacing w:line="360" w:lineRule="auto"/>
        <w:ind w:firstLine="480" w:firstLineChars="200"/>
        <w:rPr>
          <w:rFonts w:ascii="宋体" w:hAnsi="宋体" w:cs="宋体"/>
          <w:color w:val="000000"/>
          <w:kern w:val="0"/>
          <w:sz w:val="24"/>
          <w:szCs w:val="22"/>
          <w:lang w:val="zh-CN"/>
        </w:rPr>
      </w:pPr>
      <w:r>
        <w:rPr>
          <w:rFonts w:hint="eastAsia" w:ascii="宋体" w:hAnsi="宋体" w:cs="宋体"/>
          <w:color w:val="000000"/>
          <w:kern w:val="0"/>
          <w:sz w:val="24"/>
          <w:szCs w:val="22"/>
          <w:lang w:val="zh-CN"/>
        </w:rPr>
        <w:t>1.要求呈现完整实施方案，包括本项目的规划蓝图及本项目实施内容、实施计划、实施效果、项目实施保障、项目团队介绍等。</w:t>
      </w:r>
    </w:p>
    <w:p w14:paraId="25EFFE0A">
      <w:pPr>
        <w:spacing w:line="360" w:lineRule="auto"/>
        <w:ind w:firstLine="480" w:firstLineChars="200"/>
        <w:rPr>
          <w:rFonts w:ascii="宋体" w:hAnsi="宋体" w:cs="宋体"/>
          <w:sz w:val="24"/>
          <w:szCs w:val="22"/>
        </w:rPr>
      </w:pPr>
      <w:r>
        <w:rPr>
          <w:rFonts w:hint="eastAsia" w:ascii="宋体" w:hAnsi="宋体" w:cs="宋体"/>
          <w:color w:val="000000"/>
          <w:kern w:val="0"/>
          <w:sz w:val="24"/>
          <w:szCs w:val="22"/>
        </w:rPr>
        <w:t>2.</w:t>
      </w:r>
      <w:r>
        <w:rPr>
          <w:rFonts w:hint="eastAsia" w:ascii="宋体" w:hAnsi="宋体" w:cs="宋体"/>
          <w:color w:val="000000"/>
          <w:kern w:val="0"/>
          <w:sz w:val="24"/>
          <w:szCs w:val="22"/>
          <w:lang w:val="zh-CN"/>
        </w:rPr>
        <w:t>实施方案不提供，按无效投标处理。</w:t>
      </w:r>
    </w:p>
    <w:p w14:paraId="1B7F660B">
      <w:pPr>
        <w:ind w:left="570"/>
        <w:rPr>
          <w:rFonts w:ascii="宋体" w:hAnsi="宋体" w:cs="宋体"/>
          <w:sz w:val="24"/>
          <w:szCs w:val="22"/>
        </w:rPr>
      </w:pPr>
    </w:p>
    <w:p w14:paraId="03E165EA">
      <w:pPr>
        <w:ind w:left="570"/>
        <w:rPr>
          <w:rFonts w:ascii="宋体" w:hAnsi="宋体" w:cs="宋体"/>
          <w:sz w:val="24"/>
          <w:szCs w:val="22"/>
        </w:rPr>
      </w:pPr>
    </w:p>
    <w:p w14:paraId="38E3355B">
      <w:pPr>
        <w:ind w:left="570"/>
        <w:rPr>
          <w:rFonts w:ascii="宋体" w:hAnsi="宋体" w:cs="宋体"/>
          <w:sz w:val="24"/>
          <w:szCs w:val="22"/>
        </w:rPr>
      </w:pPr>
    </w:p>
    <w:p w14:paraId="2D6033BE">
      <w:pPr>
        <w:ind w:left="570"/>
        <w:rPr>
          <w:rFonts w:ascii="宋体" w:hAnsi="宋体" w:cs="宋体"/>
          <w:sz w:val="24"/>
          <w:szCs w:val="22"/>
        </w:rPr>
      </w:pPr>
    </w:p>
    <w:p w14:paraId="67EF8540">
      <w:pPr>
        <w:ind w:left="570"/>
        <w:rPr>
          <w:rFonts w:ascii="宋体" w:hAnsi="宋体" w:cs="宋体"/>
          <w:sz w:val="24"/>
          <w:szCs w:val="22"/>
        </w:rPr>
      </w:pPr>
    </w:p>
    <w:p w14:paraId="3A7A5B7C">
      <w:pPr>
        <w:ind w:left="570"/>
        <w:rPr>
          <w:rFonts w:ascii="宋体" w:hAnsi="宋体" w:cs="宋体"/>
          <w:b/>
          <w:bCs/>
          <w:sz w:val="24"/>
          <w:szCs w:val="22"/>
        </w:rPr>
      </w:pPr>
      <w:r>
        <w:rPr>
          <w:rFonts w:hint="eastAsia" w:ascii="宋体" w:hAnsi="宋体" w:cs="宋体"/>
          <w:b/>
          <w:bCs/>
          <w:sz w:val="24"/>
          <w:szCs w:val="22"/>
        </w:rPr>
        <w:t>重要说明：投标人应根据上述内容、要求自行编制。</w:t>
      </w:r>
    </w:p>
    <w:p w14:paraId="6FE6F613">
      <w:pPr>
        <w:ind w:left="900"/>
        <w:rPr>
          <w:rFonts w:ascii="宋体" w:hAnsi="宋体" w:cs="宋体"/>
          <w:sz w:val="24"/>
          <w:szCs w:val="22"/>
        </w:rPr>
      </w:pPr>
    </w:p>
    <w:p w14:paraId="434CFD79">
      <w:pPr>
        <w:spacing w:line="520" w:lineRule="exact"/>
        <w:ind w:right="2"/>
        <w:rPr>
          <w:rFonts w:ascii="宋体" w:hAnsi="Courier New" w:cs="宋体"/>
          <w:sz w:val="24"/>
          <w:szCs w:val="22"/>
        </w:rPr>
      </w:pPr>
    </w:p>
    <w:p w14:paraId="4B86689E">
      <w:pPr>
        <w:spacing w:line="520" w:lineRule="exact"/>
        <w:ind w:right="2"/>
        <w:rPr>
          <w:rFonts w:ascii="宋体" w:hAnsi="Courier New" w:cs="宋体"/>
          <w:sz w:val="24"/>
          <w:szCs w:val="22"/>
        </w:rPr>
      </w:pPr>
    </w:p>
    <w:p w14:paraId="195F6A28">
      <w:pPr>
        <w:spacing w:line="520" w:lineRule="exact"/>
        <w:ind w:right="2"/>
        <w:rPr>
          <w:rFonts w:ascii="宋体" w:hAnsi="Courier New" w:cs="宋体"/>
          <w:sz w:val="24"/>
          <w:szCs w:val="22"/>
        </w:rPr>
      </w:pPr>
    </w:p>
    <w:p w14:paraId="04B40772">
      <w:pPr>
        <w:spacing w:line="520" w:lineRule="exact"/>
        <w:ind w:right="2"/>
        <w:rPr>
          <w:rFonts w:ascii="宋体" w:hAnsi="Courier New" w:cs="宋体"/>
          <w:sz w:val="24"/>
          <w:szCs w:val="22"/>
        </w:rPr>
      </w:pPr>
    </w:p>
    <w:p w14:paraId="71C2AD56">
      <w:pPr>
        <w:spacing w:line="520" w:lineRule="exact"/>
        <w:ind w:right="2"/>
        <w:rPr>
          <w:rFonts w:ascii="宋体" w:hAnsi="Courier New" w:cs="宋体"/>
          <w:sz w:val="24"/>
          <w:szCs w:val="22"/>
        </w:rPr>
      </w:pPr>
    </w:p>
    <w:p w14:paraId="664E2D30">
      <w:pPr>
        <w:spacing w:line="520" w:lineRule="exact"/>
        <w:ind w:right="2"/>
        <w:rPr>
          <w:rFonts w:ascii="宋体" w:hAnsi="Courier New" w:cs="宋体"/>
          <w:sz w:val="24"/>
          <w:szCs w:val="22"/>
        </w:rPr>
      </w:pPr>
    </w:p>
    <w:p w14:paraId="3C557F32">
      <w:pPr>
        <w:spacing w:line="520" w:lineRule="exact"/>
        <w:ind w:right="2"/>
        <w:rPr>
          <w:rFonts w:ascii="宋体" w:hAnsi="Courier New" w:cs="宋体"/>
          <w:sz w:val="24"/>
          <w:szCs w:val="22"/>
        </w:rPr>
      </w:pPr>
    </w:p>
    <w:p w14:paraId="36E4F025">
      <w:pPr>
        <w:spacing w:line="520" w:lineRule="exact"/>
        <w:ind w:right="2"/>
        <w:rPr>
          <w:rFonts w:ascii="宋体" w:hAnsi="Courier New" w:cs="宋体"/>
          <w:sz w:val="24"/>
          <w:szCs w:val="22"/>
        </w:rPr>
      </w:pPr>
    </w:p>
    <w:p w14:paraId="59685CCB">
      <w:pPr>
        <w:spacing w:line="520" w:lineRule="exact"/>
        <w:ind w:right="2"/>
        <w:rPr>
          <w:rFonts w:ascii="宋体" w:hAnsi="Courier New" w:cs="宋体"/>
          <w:sz w:val="24"/>
          <w:szCs w:val="22"/>
        </w:rPr>
      </w:pPr>
    </w:p>
    <w:p w14:paraId="777E5D06">
      <w:pPr>
        <w:spacing w:line="520" w:lineRule="exact"/>
        <w:ind w:right="2"/>
        <w:rPr>
          <w:rFonts w:ascii="宋体" w:hAnsi="Courier New" w:cs="宋体"/>
          <w:sz w:val="24"/>
          <w:szCs w:val="22"/>
        </w:rPr>
      </w:pPr>
    </w:p>
    <w:p w14:paraId="3FFDABC0">
      <w:pPr>
        <w:spacing w:line="520" w:lineRule="exact"/>
        <w:ind w:right="2"/>
        <w:rPr>
          <w:rFonts w:ascii="宋体" w:hAnsi="Courier New" w:cs="宋体"/>
          <w:sz w:val="24"/>
          <w:szCs w:val="22"/>
        </w:rPr>
      </w:pPr>
    </w:p>
    <w:p w14:paraId="5445E994">
      <w:pPr>
        <w:spacing w:line="520" w:lineRule="exact"/>
        <w:ind w:right="2"/>
        <w:rPr>
          <w:rFonts w:ascii="宋体" w:hAnsi="Courier New" w:cs="宋体"/>
          <w:sz w:val="24"/>
          <w:szCs w:val="22"/>
        </w:rPr>
      </w:pPr>
    </w:p>
    <w:p w14:paraId="719E43AF"/>
    <w:p w14:paraId="3AA7EA01">
      <w:pPr>
        <w:pStyle w:val="15"/>
        <w:spacing w:line="360" w:lineRule="auto"/>
        <w:ind w:firstLine="422" w:firstLineChars="200"/>
        <w:rPr>
          <w:rFonts w:hAnsi="宋体" w:cs="宋体"/>
          <w:b/>
          <w:bCs/>
          <w:szCs w:val="21"/>
        </w:rPr>
      </w:pP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Book Antiqua">
    <w:altName w:val="Segoe Print"/>
    <w:panose1 w:val="02040602050305030304"/>
    <w:charset w:val="00"/>
    <w:family w:val="roman"/>
    <w:pitch w:val="default"/>
    <w:sig w:usb0="00000000" w:usb1="00000000" w:usb2="00000000" w:usb3="00000000" w:csb0="0000009F" w:csb1="00000000"/>
  </w:font>
  <w:font w:name="华文细黑">
    <w:altName w:val="微软雅黑"/>
    <w:panose1 w:val="02010600040101010101"/>
    <w:charset w:val="86"/>
    <w:family w:val="auto"/>
    <w:pitch w:val="default"/>
    <w:sig w:usb0="00000000" w:usb1="00000000" w:usb2="00000010" w:usb3="00000000" w:csb0="0004009F" w:csb1="00000000"/>
  </w:font>
  <w:font w:name="Cambria">
    <w:panose1 w:val="02040503050406030204"/>
    <w:charset w:val="00"/>
    <w:family w:val="roman"/>
    <w:pitch w:val="default"/>
    <w:sig w:usb0="E00006FF" w:usb1="420024FF" w:usb2="02000000" w:usb3="00000000" w:csb0="2000019F"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323888"/>
    </w:sdtPr>
    <w:sdtContent>
      <w:sdt>
        <w:sdtPr>
          <w:id w:val="-861204125"/>
        </w:sdtPr>
        <w:sdtContent>
          <w:p w14:paraId="4B5B8EE5">
            <w:pPr>
              <w:pStyle w:val="17"/>
              <w:jc w:val="center"/>
            </w:pPr>
            <w:r>
              <w:rPr>
                <w:lang w:val="zh-CN"/>
              </w:rPr>
              <w:t xml:space="preserve"> </w:t>
            </w:r>
            <w:r>
              <w:rPr>
                <w:b/>
                <w:bCs/>
                <w:sz w:val="24"/>
              </w:rPr>
              <w:fldChar w:fldCharType="begin"/>
            </w:r>
            <w:r>
              <w:rPr>
                <w:b/>
                <w:bCs/>
              </w:rPr>
              <w:instrText xml:space="preserve">PAGE</w:instrText>
            </w:r>
            <w:r>
              <w:rPr>
                <w:b/>
                <w:bCs/>
                <w:sz w:val="24"/>
              </w:rPr>
              <w:fldChar w:fldCharType="separate"/>
            </w:r>
            <w:r>
              <w:rPr>
                <w:b/>
                <w:bCs/>
              </w:rPr>
              <w:t>12</w:t>
            </w:r>
            <w:r>
              <w:rPr>
                <w:b/>
                <w:bCs/>
                <w:sz w:val="24"/>
              </w:rPr>
              <w:fldChar w:fldCharType="end"/>
            </w:r>
            <w:r>
              <w:rPr>
                <w:lang w:val="zh-CN"/>
              </w:rPr>
              <w:t xml:space="preserve"> / </w:t>
            </w:r>
            <w:r>
              <w:rPr>
                <w:b/>
                <w:bCs/>
                <w:sz w:val="24"/>
              </w:rPr>
              <w:fldChar w:fldCharType="begin"/>
            </w:r>
            <w:r>
              <w:rPr>
                <w:b/>
                <w:bCs/>
              </w:rPr>
              <w:instrText xml:space="preserve">NUMPAGES</w:instrText>
            </w:r>
            <w:r>
              <w:rPr>
                <w:b/>
                <w:bCs/>
                <w:sz w:val="24"/>
              </w:rPr>
              <w:fldChar w:fldCharType="separate"/>
            </w:r>
            <w:r>
              <w:rPr>
                <w:b/>
                <w:bCs/>
              </w:rPr>
              <w:t>35</w:t>
            </w:r>
            <w:r>
              <w:rPr>
                <w:b/>
                <w:bCs/>
                <w:sz w:val="24"/>
              </w:rPr>
              <w:fldChar w:fldCharType="end"/>
            </w:r>
          </w:p>
        </w:sdtContent>
      </w:sdt>
    </w:sdtContent>
  </w:sdt>
  <w:p w14:paraId="240B309E">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392EB">
    <w:pPr>
      <w:pStyle w:val="1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id w:val="147460448"/>
                          </w:sdtPr>
                          <w:sdtContent>
                            <w:sdt>
                              <w:sdtPr>
                                <w:id w:val="147454190"/>
                              </w:sdtPr>
                              <w:sdtContent>
                                <w:p w14:paraId="28E8DC30">
                                  <w:pPr>
                                    <w:pStyle w:val="17"/>
                                    <w:jc w:val="center"/>
                                  </w:pPr>
                                  <w:r>
                                    <w:rPr>
                                      <w:lang w:val="zh-CN"/>
                                    </w:rPr>
                                    <w:t xml:space="preserve"> </w:t>
                                  </w:r>
                                  <w:r>
                                    <w:rPr>
                                      <w:b/>
                                      <w:bCs/>
                                      <w:sz w:val="24"/>
                                    </w:rPr>
                                    <w:fldChar w:fldCharType="begin"/>
                                  </w:r>
                                  <w:r>
                                    <w:rPr>
                                      <w:b/>
                                      <w:bCs/>
                                    </w:rPr>
                                    <w:instrText xml:space="preserve">PAGE</w:instrText>
                                  </w:r>
                                  <w:r>
                                    <w:rPr>
                                      <w:b/>
                                      <w:bCs/>
                                      <w:sz w:val="24"/>
                                    </w:rPr>
                                    <w:fldChar w:fldCharType="separate"/>
                                  </w:r>
                                  <w:r>
                                    <w:rPr>
                                      <w:b/>
                                      <w:bCs/>
                                    </w:rPr>
                                    <w:t>12</w:t>
                                  </w:r>
                                  <w:r>
                                    <w:rPr>
                                      <w:b/>
                                      <w:bCs/>
                                      <w:sz w:val="24"/>
                                    </w:rPr>
                                    <w:fldChar w:fldCharType="end"/>
                                  </w:r>
                                  <w:r>
                                    <w:rPr>
                                      <w:lang w:val="zh-CN"/>
                                    </w:rPr>
                                    <w:t xml:space="preserve"> / </w:t>
                                  </w:r>
                                  <w:r>
                                    <w:rPr>
                                      <w:b/>
                                      <w:bCs/>
                                      <w:sz w:val="24"/>
                                    </w:rPr>
                                    <w:fldChar w:fldCharType="begin"/>
                                  </w:r>
                                  <w:r>
                                    <w:rPr>
                                      <w:b/>
                                      <w:bCs/>
                                    </w:rPr>
                                    <w:instrText xml:space="preserve">NUMPAGES</w:instrText>
                                  </w:r>
                                  <w:r>
                                    <w:rPr>
                                      <w:b/>
                                      <w:bCs/>
                                      <w:sz w:val="24"/>
                                    </w:rPr>
                                    <w:fldChar w:fldCharType="separate"/>
                                  </w:r>
                                  <w:r>
                                    <w:rPr>
                                      <w:b/>
                                      <w:bCs/>
                                    </w:rPr>
                                    <w:t>35</w:t>
                                  </w:r>
                                  <w:r>
                                    <w:rPr>
                                      <w:b/>
                                      <w:bCs/>
                                      <w:sz w:val="24"/>
                                    </w:rPr>
                                    <w:fldChar w:fldCharType="end"/>
                                  </w:r>
                                </w:p>
                              </w:sdtContent>
                            </w:sdt>
                          </w:sdtContent>
                        </w:sdt>
                        <w:p w14:paraId="3FB81A4F"/>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sdt>
                    <w:sdtPr>
                      <w:id w:val="147460448"/>
                    </w:sdtPr>
                    <w:sdtContent>
                      <w:sdt>
                        <w:sdtPr>
                          <w:id w:val="147454190"/>
                        </w:sdtPr>
                        <w:sdtContent>
                          <w:p w14:paraId="28E8DC30">
                            <w:pPr>
                              <w:pStyle w:val="17"/>
                              <w:jc w:val="center"/>
                            </w:pPr>
                            <w:r>
                              <w:rPr>
                                <w:lang w:val="zh-CN"/>
                              </w:rPr>
                              <w:t xml:space="preserve"> </w:t>
                            </w:r>
                            <w:r>
                              <w:rPr>
                                <w:b/>
                                <w:bCs/>
                                <w:sz w:val="24"/>
                              </w:rPr>
                              <w:fldChar w:fldCharType="begin"/>
                            </w:r>
                            <w:r>
                              <w:rPr>
                                <w:b/>
                                <w:bCs/>
                              </w:rPr>
                              <w:instrText xml:space="preserve">PAGE</w:instrText>
                            </w:r>
                            <w:r>
                              <w:rPr>
                                <w:b/>
                                <w:bCs/>
                                <w:sz w:val="24"/>
                              </w:rPr>
                              <w:fldChar w:fldCharType="separate"/>
                            </w:r>
                            <w:r>
                              <w:rPr>
                                <w:b/>
                                <w:bCs/>
                              </w:rPr>
                              <w:t>12</w:t>
                            </w:r>
                            <w:r>
                              <w:rPr>
                                <w:b/>
                                <w:bCs/>
                                <w:sz w:val="24"/>
                              </w:rPr>
                              <w:fldChar w:fldCharType="end"/>
                            </w:r>
                            <w:r>
                              <w:rPr>
                                <w:lang w:val="zh-CN"/>
                              </w:rPr>
                              <w:t xml:space="preserve"> / </w:t>
                            </w:r>
                            <w:r>
                              <w:rPr>
                                <w:b/>
                                <w:bCs/>
                                <w:sz w:val="24"/>
                              </w:rPr>
                              <w:fldChar w:fldCharType="begin"/>
                            </w:r>
                            <w:r>
                              <w:rPr>
                                <w:b/>
                                <w:bCs/>
                              </w:rPr>
                              <w:instrText xml:space="preserve">NUMPAGES</w:instrText>
                            </w:r>
                            <w:r>
                              <w:rPr>
                                <w:b/>
                                <w:bCs/>
                                <w:sz w:val="24"/>
                              </w:rPr>
                              <w:fldChar w:fldCharType="separate"/>
                            </w:r>
                            <w:r>
                              <w:rPr>
                                <w:b/>
                                <w:bCs/>
                              </w:rPr>
                              <w:t>35</w:t>
                            </w:r>
                            <w:r>
                              <w:rPr>
                                <w:b/>
                                <w:bCs/>
                                <w:sz w:val="24"/>
                              </w:rPr>
                              <w:fldChar w:fldCharType="end"/>
                            </w:r>
                          </w:p>
                        </w:sdtContent>
                      </w:sdt>
                    </w:sdtContent>
                  </w:sdt>
                  <w:p w14:paraId="3FB81A4F"/>
                </w:txbxContent>
              </v:textbox>
            </v:shape>
          </w:pict>
        </mc:Fallback>
      </mc:AlternateContent>
    </w:r>
  </w:p>
  <w:p w14:paraId="2D39E56D">
    <w:pPr>
      <w:pStyle w:val="1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C49A9E"/>
    <w:multiLevelType w:val="multilevel"/>
    <w:tmpl w:val="8AC49A9E"/>
    <w:lvl w:ilvl="0" w:tentative="0">
      <w:start w:val="1"/>
      <w:numFmt w:val="decimal"/>
      <w:pStyle w:val="57"/>
      <w:isLgl/>
      <w:suff w:val="space"/>
      <w:lvlText w:val="%1"/>
      <w:lvlJc w:val="left"/>
      <w:pPr>
        <w:ind w:left="2127" w:firstLine="0"/>
      </w:pPr>
      <w:rPr>
        <w:rFonts w:hint="eastAsia"/>
      </w:rPr>
    </w:lvl>
    <w:lvl w:ilvl="1" w:tentative="0">
      <w:start w:val="1"/>
      <w:numFmt w:val="decimal"/>
      <w:pStyle w:val="69"/>
      <w:isLgl/>
      <w:suff w:val="space"/>
      <w:lvlText w:val="%1.%2"/>
      <w:lvlJc w:val="left"/>
      <w:pPr>
        <w:ind w:left="0" w:firstLine="0"/>
      </w:pPr>
      <w:rPr>
        <w:rFonts w:hint="eastAsia"/>
      </w:rPr>
    </w:lvl>
    <w:lvl w:ilvl="2" w:tentative="0">
      <w:start w:val="1"/>
      <w:numFmt w:val="decimal"/>
      <w:isLgl/>
      <w:suff w:val="space"/>
      <w:lvlText w:val="%1.%2.%3"/>
      <w:lvlJc w:val="left"/>
      <w:pPr>
        <w:ind w:left="0" w:firstLine="0"/>
      </w:pPr>
      <w:rPr>
        <w:rFonts w:hint="eastAsia"/>
      </w:rPr>
    </w:lvl>
    <w:lvl w:ilvl="3" w:tentative="0">
      <w:start w:val="1"/>
      <w:numFmt w:val="decimal"/>
      <w:isLgl/>
      <w:suff w:val="space"/>
      <w:lvlText w:val="%1.%2.%3.%4"/>
      <w:lvlJc w:val="left"/>
      <w:pPr>
        <w:ind w:left="0" w:firstLine="0"/>
      </w:pPr>
      <w:rPr>
        <w:rFonts w:hint="eastAsia"/>
      </w:rPr>
    </w:lvl>
    <w:lvl w:ilvl="4" w:tentative="0">
      <w:start w:val="1"/>
      <w:numFmt w:val="decimal"/>
      <w:isLgl/>
      <w:suff w:val="space"/>
      <w:lvlText w:val="%1.%2.%3.%4.%5"/>
      <w:lvlJc w:val="left"/>
      <w:pPr>
        <w:ind w:left="0" w:firstLine="0"/>
      </w:pPr>
      <w:rPr>
        <w:rFonts w:hint="eastAsia"/>
      </w:rPr>
    </w:lvl>
    <w:lvl w:ilvl="5" w:tentative="0">
      <w:start w:val="1"/>
      <w:numFmt w:val="decimal"/>
      <w:suff w:val="space"/>
      <w:lvlText w:val="%1.%2.%3.%4.%5.%6"/>
      <w:lvlJc w:val="left"/>
      <w:pPr>
        <w:ind w:left="0" w:firstLine="0"/>
      </w:pPr>
      <w:rPr>
        <w:rFonts w:hint="eastAsia"/>
      </w:rPr>
    </w:lvl>
    <w:lvl w:ilvl="6" w:tentative="0">
      <w:start w:val="1"/>
      <w:numFmt w:val="decimal"/>
      <w:isLgl/>
      <w:suff w:val="space"/>
      <w:lvlText w:val="%1.%2.%3.%4.%5.%6.%7"/>
      <w:lvlJc w:val="left"/>
      <w:pPr>
        <w:ind w:left="0" w:firstLine="0"/>
      </w:pPr>
      <w:rPr>
        <w:rFonts w:hint="eastAsia"/>
      </w:rPr>
    </w:lvl>
    <w:lvl w:ilvl="7" w:tentative="0">
      <w:start w:val="1"/>
      <w:numFmt w:val="decimal"/>
      <w:isLgl/>
      <w:suff w:val="space"/>
      <w:lvlText w:val="图%1"/>
      <w:lvlJc w:val="center"/>
      <w:pPr>
        <w:ind w:left="0" w:firstLine="0"/>
      </w:pPr>
      <w:rPr>
        <w:rFonts w:hint="eastAsia"/>
      </w:rPr>
    </w:lvl>
    <w:lvl w:ilvl="8" w:tentative="0">
      <w:start w:val="1"/>
      <w:numFmt w:val="decimal"/>
      <w:isLgl/>
      <w:suff w:val="space"/>
      <w:lvlText w:val="%9表%1"/>
      <w:lvlJc w:val="center"/>
      <w:pPr>
        <w:ind w:left="0" w:firstLine="0"/>
      </w:pPr>
      <w:rPr>
        <w:rFonts w:hint="eastAsia"/>
      </w:rPr>
    </w:lvl>
  </w:abstractNum>
  <w:abstractNum w:abstractNumId="1">
    <w:nsid w:val="94608D78"/>
    <w:multiLevelType w:val="singleLevel"/>
    <w:tmpl w:val="94608D78"/>
    <w:lvl w:ilvl="0" w:tentative="0">
      <w:start w:val="1"/>
      <w:numFmt w:val="decimal"/>
      <w:suff w:val="nothing"/>
      <w:lvlText w:val="%1、"/>
      <w:lvlJc w:val="left"/>
    </w:lvl>
  </w:abstractNum>
  <w:abstractNum w:abstractNumId="2">
    <w:nsid w:val="9E0A6A31"/>
    <w:multiLevelType w:val="multilevel"/>
    <w:tmpl w:val="9E0A6A31"/>
    <w:lvl w:ilvl="0" w:tentative="0">
      <w:start w:val="1"/>
      <w:numFmt w:val="decimal"/>
      <w:pStyle w:val="59"/>
      <w:lvlText w:val="%1）"/>
      <w:lvlJc w:val="left"/>
      <w:pPr>
        <w:ind w:left="840" w:hanging="420"/>
      </w:pPr>
      <w:rPr>
        <w:rFonts w:hint="eastAsia" w:ascii="Times New Roman" w:hAnsi="Times New Roman" w:eastAsia="宋体" w:cs="Times New Roman"/>
        <w:b/>
      </w:rPr>
    </w:lvl>
    <w:lvl w:ilvl="1" w:tentative="0">
      <w:start w:val="1"/>
      <w:numFmt w:val="decimal"/>
      <w:lvlText w:val="%2)"/>
      <w:lvlJc w:val="left"/>
      <w:pPr>
        <w:tabs>
          <w:tab w:val="left" w:pos="1113"/>
        </w:tabs>
        <w:ind w:left="1113" w:hanging="420"/>
      </w:pPr>
    </w:lvl>
    <w:lvl w:ilvl="2" w:tentative="0">
      <w:start w:val="1"/>
      <w:numFmt w:val="lowerRoman"/>
      <w:lvlText w:val="%3."/>
      <w:lvlJc w:val="right"/>
      <w:pPr>
        <w:ind w:left="1533" w:hanging="420"/>
      </w:pPr>
    </w:lvl>
    <w:lvl w:ilvl="3" w:tentative="0">
      <w:start w:val="1"/>
      <w:numFmt w:val="decimal"/>
      <w:lvlText w:val="%4."/>
      <w:lvlJc w:val="left"/>
      <w:pPr>
        <w:ind w:left="1953" w:hanging="420"/>
      </w:pPr>
    </w:lvl>
    <w:lvl w:ilvl="4" w:tentative="0">
      <w:start w:val="1"/>
      <w:numFmt w:val="lowerLetter"/>
      <w:lvlText w:val="%5)"/>
      <w:lvlJc w:val="left"/>
      <w:pPr>
        <w:ind w:left="2373" w:hanging="420"/>
      </w:pPr>
    </w:lvl>
    <w:lvl w:ilvl="5" w:tentative="0">
      <w:start w:val="1"/>
      <w:numFmt w:val="lowerRoman"/>
      <w:lvlText w:val="%6."/>
      <w:lvlJc w:val="right"/>
      <w:pPr>
        <w:ind w:left="2793" w:hanging="420"/>
      </w:pPr>
    </w:lvl>
    <w:lvl w:ilvl="6" w:tentative="0">
      <w:start w:val="1"/>
      <w:numFmt w:val="decimal"/>
      <w:lvlText w:val="%7."/>
      <w:lvlJc w:val="left"/>
      <w:pPr>
        <w:ind w:left="3213" w:hanging="420"/>
      </w:pPr>
    </w:lvl>
    <w:lvl w:ilvl="7" w:tentative="0">
      <w:start w:val="1"/>
      <w:numFmt w:val="lowerLetter"/>
      <w:lvlText w:val="%8)"/>
      <w:lvlJc w:val="left"/>
      <w:pPr>
        <w:ind w:left="3633" w:hanging="420"/>
      </w:pPr>
    </w:lvl>
    <w:lvl w:ilvl="8" w:tentative="0">
      <w:start w:val="1"/>
      <w:numFmt w:val="lowerRoman"/>
      <w:lvlText w:val="%9."/>
      <w:lvlJc w:val="right"/>
      <w:pPr>
        <w:ind w:left="4053" w:hanging="420"/>
      </w:pPr>
    </w:lvl>
  </w:abstractNum>
  <w:abstractNum w:abstractNumId="3">
    <w:nsid w:val="A494FB61"/>
    <w:multiLevelType w:val="multilevel"/>
    <w:tmpl w:val="A494FB61"/>
    <w:lvl w:ilvl="0" w:tentative="0">
      <w:start w:val="1"/>
      <w:numFmt w:val="decimal"/>
      <w:isLgl/>
      <w:suff w:val="space"/>
      <w:lvlText w:val="%1"/>
      <w:lvlJc w:val="left"/>
      <w:pPr>
        <w:ind w:left="0" w:firstLine="0"/>
      </w:pPr>
    </w:lvl>
    <w:lvl w:ilvl="1" w:tentative="0">
      <w:start w:val="1"/>
      <w:numFmt w:val="decimal"/>
      <w:isLgl/>
      <w:suff w:val="space"/>
      <w:lvlText w:val="%1.%2"/>
      <w:lvlJc w:val="left"/>
      <w:pPr>
        <w:ind w:left="0" w:firstLine="0"/>
        <w:textAlignment w:val="baseline"/>
      </w:pPr>
      <w:rPr>
        <w:rFonts w:ascii="Times New Roman" w:hAnsi="Times New Roman" w:cs="Times New Roman"/>
        <w:b w:val="0"/>
        <w:bCs w:val="0"/>
        <w:iCs w:val="0"/>
        <w:caps w:val="0"/>
        <w:strike w:val="0"/>
        <w:dstrike w:val="0"/>
        <w:vanish w:val="0"/>
        <w:spacing w:val="0"/>
        <w:position w:val="0"/>
        <w:u w:val="none"/>
      </w:rPr>
    </w:lvl>
    <w:lvl w:ilvl="2" w:tentative="0">
      <w:start w:val="1"/>
      <w:numFmt w:val="decimal"/>
      <w:isLgl/>
      <w:suff w:val="space"/>
      <w:lvlText w:val="%1.%2.%3"/>
      <w:lvlJc w:val="left"/>
      <w:pPr>
        <w:ind w:left="0" w:firstLine="0"/>
      </w:pPr>
    </w:lvl>
    <w:lvl w:ilvl="3" w:tentative="0">
      <w:start w:val="1"/>
      <w:numFmt w:val="decimal"/>
      <w:pStyle w:val="71"/>
      <w:isLgl/>
      <w:suff w:val="space"/>
      <w:lvlText w:val="%1.%2.%3.%4"/>
      <w:lvlJc w:val="left"/>
      <w:pPr>
        <w:ind w:left="0" w:firstLine="0"/>
      </w:pPr>
    </w:lvl>
    <w:lvl w:ilvl="4" w:tentative="0">
      <w:start w:val="1"/>
      <w:numFmt w:val="decimal"/>
      <w:isLgl/>
      <w:suff w:val="space"/>
      <w:lvlText w:val="%1.%2.%3.%4.%5"/>
      <w:lvlJc w:val="left"/>
      <w:pPr>
        <w:ind w:left="0" w:firstLine="0"/>
      </w:pPr>
    </w:lvl>
    <w:lvl w:ilvl="5" w:tentative="0">
      <w:start w:val="1"/>
      <w:numFmt w:val="decimal"/>
      <w:suff w:val="space"/>
      <w:lvlText w:val="%1.%2.%3.%4.%5.%6"/>
      <w:lvlJc w:val="left"/>
      <w:pPr>
        <w:ind w:left="0" w:firstLine="0"/>
      </w:pPr>
    </w:lvl>
    <w:lvl w:ilvl="6" w:tentative="0">
      <w:start w:val="1"/>
      <w:numFmt w:val="decimal"/>
      <w:isLgl/>
      <w:suff w:val="space"/>
      <w:lvlText w:val="%1.%2.%3.%4.%5.%6.%7"/>
      <w:lvlJc w:val="left"/>
      <w:pPr>
        <w:ind w:left="0" w:firstLine="0"/>
      </w:pPr>
    </w:lvl>
    <w:lvl w:ilvl="7" w:tentative="0">
      <w:start w:val="1"/>
      <w:numFmt w:val="decimal"/>
      <w:isLgl/>
      <w:suff w:val="space"/>
      <w:lvlText w:val="图%1"/>
      <w:lvlJc w:val="center"/>
      <w:pPr>
        <w:ind w:left="0" w:firstLine="0"/>
      </w:pPr>
    </w:lvl>
    <w:lvl w:ilvl="8" w:tentative="0">
      <w:start w:val="1"/>
      <w:numFmt w:val="decimal"/>
      <w:isLgl/>
      <w:suff w:val="space"/>
      <w:lvlText w:val="表%1"/>
      <w:lvlJc w:val="center"/>
      <w:pPr>
        <w:ind w:left="0" w:firstLine="0"/>
      </w:pPr>
    </w:lvl>
  </w:abstractNum>
  <w:abstractNum w:abstractNumId="4">
    <w:nsid w:val="B69BB3B5"/>
    <w:multiLevelType w:val="multilevel"/>
    <w:tmpl w:val="B69BB3B5"/>
    <w:lvl w:ilvl="0" w:tentative="0">
      <w:start w:val="1"/>
      <w:numFmt w:val="decimal"/>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00000008"/>
    <w:multiLevelType w:val="multilevel"/>
    <w:tmpl w:val="00000008"/>
    <w:lvl w:ilvl="0" w:tentative="0">
      <w:start w:val="1"/>
      <w:numFmt w:val="decimal"/>
      <w:pStyle w:val="75"/>
      <w:lvlText w:val="%1)"/>
      <w:lvlJc w:val="left"/>
      <w:pPr>
        <w:ind w:left="846" w:hanging="420"/>
      </w:pPr>
    </w:lvl>
    <w:lvl w:ilvl="1" w:tentative="0">
      <w:start w:val="1"/>
      <w:numFmt w:val="decimal"/>
      <w:lvlText w:val="%2)"/>
      <w:lvlJc w:val="left"/>
      <w:pPr>
        <w:tabs>
          <w:tab w:val="left" w:pos="1113"/>
        </w:tabs>
        <w:ind w:left="1113" w:hanging="420"/>
      </w:pPr>
      <w:rPr>
        <w:rFonts w:hint="eastAsia"/>
      </w:rPr>
    </w:lvl>
    <w:lvl w:ilvl="2" w:tentative="0">
      <w:start w:val="1"/>
      <w:numFmt w:val="lowerRoman"/>
      <w:lvlText w:val="%3."/>
      <w:lvlJc w:val="right"/>
      <w:pPr>
        <w:ind w:left="1533" w:hanging="420"/>
      </w:pPr>
    </w:lvl>
    <w:lvl w:ilvl="3" w:tentative="0">
      <w:start w:val="1"/>
      <w:numFmt w:val="decimal"/>
      <w:lvlText w:val="%4."/>
      <w:lvlJc w:val="left"/>
      <w:pPr>
        <w:ind w:left="1953" w:hanging="420"/>
      </w:pPr>
    </w:lvl>
    <w:lvl w:ilvl="4" w:tentative="0">
      <w:start w:val="1"/>
      <w:numFmt w:val="lowerLetter"/>
      <w:lvlText w:val="%5)"/>
      <w:lvlJc w:val="left"/>
      <w:pPr>
        <w:ind w:left="2373" w:hanging="420"/>
      </w:pPr>
    </w:lvl>
    <w:lvl w:ilvl="5" w:tentative="0">
      <w:start w:val="1"/>
      <w:numFmt w:val="lowerRoman"/>
      <w:lvlText w:val="%6."/>
      <w:lvlJc w:val="right"/>
      <w:pPr>
        <w:ind w:left="2793" w:hanging="420"/>
      </w:pPr>
    </w:lvl>
    <w:lvl w:ilvl="6" w:tentative="0">
      <w:start w:val="1"/>
      <w:numFmt w:val="decimal"/>
      <w:lvlText w:val="%7."/>
      <w:lvlJc w:val="left"/>
      <w:pPr>
        <w:ind w:left="3213" w:hanging="420"/>
      </w:pPr>
    </w:lvl>
    <w:lvl w:ilvl="7" w:tentative="0">
      <w:start w:val="1"/>
      <w:numFmt w:val="lowerLetter"/>
      <w:lvlText w:val="%8)"/>
      <w:lvlJc w:val="left"/>
      <w:pPr>
        <w:ind w:left="3633" w:hanging="420"/>
      </w:pPr>
    </w:lvl>
    <w:lvl w:ilvl="8" w:tentative="0">
      <w:start w:val="1"/>
      <w:numFmt w:val="lowerRoman"/>
      <w:lvlText w:val="%9."/>
      <w:lvlJc w:val="right"/>
      <w:pPr>
        <w:ind w:left="4053" w:hanging="420"/>
      </w:pPr>
    </w:lvl>
  </w:abstractNum>
  <w:abstractNum w:abstractNumId="6">
    <w:nsid w:val="16E34142"/>
    <w:multiLevelType w:val="multilevel"/>
    <w:tmpl w:val="16E34142"/>
    <w:lvl w:ilvl="0" w:tentative="0">
      <w:start w:val="1"/>
      <w:numFmt w:val="decimal"/>
      <w:lvlText w:val="%1."/>
      <w:lvlJc w:val="left"/>
      <w:pPr>
        <w:ind w:left="360" w:hanging="360"/>
      </w:pPr>
      <w:rPr>
        <w:rFonts w:hint="default" w:ascii="黑体" w:hAnsi="黑体" w:eastAsia="黑体"/>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23876ECF"/>
    <w:multiLevelType w:val="multilevel"/>
    <w:tmpl w:val="23876ECF"/>
    <w:lvl w:ilvl="0" w:tentative="0">
      <w:start w:val="1"/>
      <w:numFmt w:val="decimal"/>
      <w:lvlText w:val="（%1）"/>
      <w:lvlJc w:val="left"/>
      <w:pPr>
        <w:tabs>
          <w:tab w:val="left" w:pos="692"/>
        </w:tabs>
        <w:ind w:left="692" w:hanging="720"/>
      </w:pPr>
    </w:lvl>
    <w:lvl w:ilvl="1" w:tentative="0">
      <w:start w:val="1"/>
      <w:numFmt w:val="lowerLetter"/>
      <w:lvlText w:val="%2)"/>
      <w:lvlJc w:val="left"/>
      <w:pPr>
        <w:tabs>
          <w:tab w:val="left" w:pos="812"/>
        </w:tabs>
        <w:ind w:left="812" w:hanging="420"/>
      </w:pPr>
    </w:lvl>
    <w:lvl w:ilvl="2" w:tentative="0">
      <w:start w:val="1"/>
      <w:numFmt w:val="lowerRoman"/>
      <w:lvlText w:val="%3."/>
      <w:lvlJc w:val="right"/>
      <w:pPr>
        <w:tabs>
          <w:tab w:val="left" w:pos="1232"/>
        </w:tabs>
        <w:ind w:left="1232" w:hanging="420"/>
      </w:pPr>
    </w:lvl>
    <w:lvl w:ilvl="3" w:tentative="0">
      <w:start w:val="1"/>
      <w:numFmt w:val="decimal"/>
      <w:lvlText w:val="%4."/>
      <w:lvlJc w:val="left"/>
      <w:pPr>
        <w:tabs>
          <w:tab w:val="left" w:pos="1652"/>
        </w:tabs>
        <w:ind w:left="1652" w:hanging="420"/>
      </w:pPr>
    </w:lvl>
    <w:lvl w:ilvl="4" w:tentative="0">
      <w:start w:val="1"/>
      <w:numFmt w:val="lowerLetter"/>
      <w:lvlText w:val="%5)"/>
      <w:lvlJc w:val="left"/>
      <w:pPr>
        <w:tabs>
          <w:tab w:val="left" w:pos="2072"/>
        </w:tabs>
        <w:ind w:left="2072" w:hanging="420"/>
      </w:pPr>
    </w:lvl>
    <w:lvl w:ilvl="5" w:tentative="0">
      <w:start w:val="1"/>
      <w:numFmt w:val="lowerRoman"/>
      <w:lvlText w:val="%6."/>
      <w:lvlJc w:val="right"/>
      <w:pPr>
        <w:tabs>
          <w:tab w:val="left" w:pos="2492"/>
        </w:tabs>
        <w:ind w:left="2492" w:hanging="420"/>
      </w:pPr>
    </w:lvl>
    <w:lvl w:ilvl="6" w:tentative="0">
      <w:start w:val="1"/>
      <w:numFmt w:val="decimal"/>
      <w:lvlText w:val="%7."/>
      <w:lvlJc w:val="left"/>
      <w:pPr>
        <w:tabs>
          <w:tab w:val="left" w:pos="2912"/>
        </w:tabs>
        <w:ind w:left="2912" w:hanging="420"/>
      </w:pPr>
    </w:lvl>
    <w:lvl w:ilvl="7" w:tentative="0">
      <w:start w:val="1"/>
      <w:numFmt w:val="lowerLetter"/>
      <w:lvlText w:val="%8)"/>
      <w:lvlJc w:val="left"/>
      <w:pPr>
        <w:tabs>
          <w:tab w:val="left" w:pos="3332"/>
        </w:tabs>
        <w:ind w:left="3332" w:hanging="420"/>
      </w:pPr>
    </w:lvl>
    <w:lvl w:ilvl="8" w:tentative="0">
      <w:start w:val="1"/>
      <w:numFmt w:val="lowerRoman"/>
      <w:lvlText w:val="%9."/>
      <w:lvlJc w:val="right"/>
      <w:pPr>
        <w:tabs>
          <w:tab w:val="left" w:pos="3752"/>
        </w:tabs>
        <w:ind w:left="3752" w:hanging="420"/>
      </w:pPr>
    </w:lvl>
  </w:abstractNum>
  <w:abstractNum w:abstractNumId="8">
    <w:nsid w:val="56D20133"/>
    <w:multiLevelType w:val="multilevel"/>
    <w:tmpl w:val="56D20133"/>
    <w:lvl w:ilvl="0" w:tentative="0">
      <w:start w:val="1"/>
      <w:numFmt w:val="chineseCountingThousand"/>
      <w:pStyle w:val="38"/>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9">
    <w:nsid w:val="5A29D1C2"/>
    <w:multiLevelType w:val="multilevel"/>
    <w:tmpl w:val="5A29D1C2"/>
    <w:lvl w:ilvl="0" w:tentative="0">
      <w:start w:val="1"/>
      <w:numFmt w:val="decimal"/>
      <w:isLgl/>
      <w:suff w:val="space"/>
      <w:lvlText w:val="%1"/>
      <w:lvlJc w:val="left"/>
      <w:pPr>
        <w:ind w:left="0" w:firstLine="0"/>
      </w:pPr>
      <w:rPr>
        <w:rFonts w:ascii="黑体" w:hAnsi="黑体" w:eastAsia="黑体"/>
        <w:sz w:val="28"/>
        <w:szCs w:val="28"/>
      </w:rPr>
    </w:lvl>
    <w:lvl w:ilvl="1" w:tentative="0">
      <w:start w:val="1"/>
      <w:numFmt w:val="decimal"/>
      <w:isLgl/>
      <w:suff w:val="space"/>
      <w:lvlText w:val="%1.%2"/>
      <w:lvlJc w:val="left"/>
      <w:pPr>
        <w:ind w:left="1134" w:firstLine="0"/>
      </w:pPr>
    </w:lvl>
    <w:lvl w:ilvl="2" w:tentative="0">
      <w:start w:val="1"/>
      <w:numFmt w:val="decimal"/>
      <w:isLgl/>
      <w:suff w:val="space"/>
      <w:lvlText w:val="%1.%2.%3"/>
      <w:lvlJc w:val="left"/>
      <w:pPr>
        <w:ind w:left="0" w:firstLine="0"/>
      </w:pPr>
    </w:lvl>
    <w:lvl w:ilvl="3" w:tentative="0">
      <w:start w:val="1"/>
      <w:numFmt w:val="decimal"/>
      <w:isLgl/>
      <w:suff w:val="space"/>
      <w:lvlText w:val="%1.%2.%3.%4"/>
      <w:lvlJc w:val="left"/>
      <w:pPr>
        <w:ind w:left="0" w:firstLine="0"/>
      </w:pPr>
    </w:lvl>
    <w:lvl w:ilvl="4" w:tentative="0">
      <w:start w:val="1"/>
      <w:numFmt w:val="decimal"/>
      <w:isLgl/>
      <w:suff w:val="space"/>
      <w:lvlText w:val="%1.%2.%3.%4.%5"/>
      <w:lvlJc w:val="left"/>
      <w:pPr>
        <w:ind w:left="0" w:firstLine="0"/>
      </w:pPr>
    </w:lvl>
    <w:lvl w:ilvl="5" w:tentative="0">
      <w:start w:val="1"/>
      <w:numFmt w:val="decimal"/>
      <w:suff w:val="space"/>
      <w:lvlText w:val="%1.%2.%3.%4.%5.%6"/>
      <w:lvlJc w:val="left"/>
      <w:pPr>
        <w:ind w:left="0" w:firstLine="0"/>
      </w:pPr>
    </w:lvl>
    <w:lvl w:ilvl="6" w:tentative="0">
      <w:start w:val="1"/>
      <w:numFmt w:val="decimal"/>
      <w:isLgl/>
      <w:suff w:val="space"/>
      <w:lvlText w:val="%1.%2.%3.%4.%5.%6.%7"/>
      <w:lvlJc w:val="left"/>
      <w:pPr>
        <w:ind w:left="0" w:firstLine="0"/>
      </w:pPr>
    </w:lvl>
    <w:lvl w:ilvl="7" w:tentative="0">
      <w:start w:val="1"/>
      <w:numFmt w:val="decimal"/>
      <w:isLgl/>
      <w:suff w:val="space"/>
      <w:lvlText w:val="图%1"/>
      <w:lvlJc w:val="center"/>
      <w:pPr>
        <w:ind w:left="0" w:firstLine="0"/>
      </w:pPr>
    </w:lvl>
    <w:lvl w:ilvl="8" w:tentative="0">
      <w:start w:val="1"/>
      <w:numFmt w:val="decimal"/>
      <w:isLgl/>
      <w:suff w:val="space"/>
      <w:lvlText w:val="表%1"/>
      <w:lvlJc w:val="center"/>
      <w:pPr>
        <w:ind w:left="0" w:firstLine="0"/>
      </w:pPr>
    </w:lvl>
  </w:abstractNum>
  <w:abstractNum w:abstractNumId="10">
    <w:nsid w:val="656A6EAE"/>
    <w:multiLevelType w:val="multilevel"/>
    <w:tmpl w:val="656A6EAE"/>
    <w:lvl w:ilvl="0" w:tentative="0">
      <w:start w:val="1"/>
      <w:numFmt w:val="chineseCountingThousand"/>
      <w:pStyle w:val="37"/>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1">
    <w:nsid w:val="76DE6E01"/>
    <w:multiLevelType w:val="singleLevel"/>
    <w:tmpl w:val="76DE6E01"/>
    <w:lvl w:ilvl="0" w:tentative="0">
      <w:start w:val="4"/>
      <w:numFmt w:val="decimal"/>
      <w:suff w:val="nothing"/>
      <w:lvlText w:val="%1）"/>
      <w:lvlJc w:val="left"/>
    </w:lvl>
  </w:abstractNum>
  <w:num w:numId="1">
    <w:abstractNumId w:val="10"/>
  </w:num>
  <w:num w:numId="2">
    <w:abstractNumId w:val="8"/>
  </w:num>
  <w:num w:numId="3">
    <w:abstractNumId w:val="0"/>
  </w:num>
  <w:num w:numId="4">
    <w:abstractNumId w:val="2"/>
  </w:num>
  <w:num w:numId="5">
    <w:abstractNumId w:val="3"/>
  </w:num>
  <w:num w:numId="6">
    <w:abstractNumId w:val="5"/>
  </w:num>
  <w:num w:numId="7">
    <w:abstractNumId w:val="6"/>
  </w:num>
  <w:num w:numId="8">
    <w:abstractNumId w:val="7"/>
  </w:num>
  <w:num w:numId="9">
    <w:abstractNumId w:val="11"/>
  </w:num>
  <w:num w:numId="10">
    <w:abstractNumId w:val="9"/>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FAF"/>
    <w:rsid w:val="00017361"/>
    <w:rsid w:val="000411C7"/>
    <w:rsid w:val="001431E8"/>
    <w:rsid w:val="001A2CA1"/>
    <w:rsid w:val="001E0198"/>
    <w:rsid w:val="001E0B43"/>
    <w:rsid w:val="001E62B2"/>
    <w:rsid w:val="002035DA"/>
    <w:rsid w:val="00236F29"/>
    <w:rsid w:val="00240729"/>
    <w:rsid w:val="0024457E"/>
    <w:rsid w:val="0028168C"/>
    <w:rsid w:val="002C299D"/>
    <w:rsid w:val="002C7238"/>
    <w:rsid w:val="002E1E2E"/>
    <w:rsid w:val="002E441D"/>
    <w:rsid w:val="002E5965"/>
    <w:rsid w:val="003024B5"/>
    <w:rsid w:val="00306543"/>
    <w:rsid w:val="00306817"/>
    <w:rsid w:val="0031676F"/>
    <w:rsid w:val="003657EF"/>
    <w:rsid w:val="003A0A0D"/>
    <w:rsid w:val="003A4860"/>
    <w:rsid w:val="003A7A75"/>
    <w:rsid w:val="003B5691"/>
    <w:rsid w:val="00443356"/>
    <w:rsid w:val="00483E1C"/>
    <w:rsid w:val="00484B70"/>
    <w:rsid w:val="004C07B0"/>
    <w:rsid w:val="004C5E36"/>
    <w:rsid w:val="004E52CE"/>
    <w:rsid w:val="00520546"/>
    <w:rsid w:val="00533300"/>
    <w:rsid w:val="00543A98"/>
    <w:rsid w:val="00570A50"/>
    <w:rsid w:val="005A7719"/>
    <w:rsid w:val="005C3220"/>
    <w:rsid w:val="005D7488"/>
    <w:rsid w:val="005F1242"/>
    <w:rsid w:val="006016DB"/>
    <w:rsid w:val="00640D0B"/>
    <w:rsid w:val="0064273F"/>
    <w:rsid w:val="006C2382"/>
    <w:rsid w:val="006E1517"/>
    <w:rsid w:val="0074148C"/>
    <w:rsid w:val="0075104D"/>
    <w:rsid w:val="00790D4F"/>
    <w:rsid w:val="00833533"/>
    <w:rsid w:val="00842A90"/>
    <w:rsid w:val="008469C7"/>
    <w:rsid w:val="00871168"/>
    <w:rsid w:val="00875B2F"/>
    <w:rsid w:val="008C5E09"/>
    <w:rsid w:val="00910514"/>
    <w:rsid w:val="009155CE"/>
    <w:rsid w:val="00917DAE"/>
    <w:rsid w:val="00921D5C"/>
    <w:rsid w:val="009231A6"/>
    <w:rsid w:val="0092619C"/>
    <w:rsid w:val="009273C5"/>
    <w:rsid w:val="009A3E6D"/>
    <w:rsid w:val="009B1F70"/>
    <w:rsid w:val="009D3558"/>
    <w:rsid w:val="00A133A7"/>
    <w:rsid w:val="00A1477D"/>
    <w:rsid w:val="00A23592"/>
    <w:rsid w:val="00A53454"/>
    <w:rsid w:val="00A63A4C"/>
    <w:rsid w:val="00AB20B7"/>
    <w:rsid w:val="00AC585D"/>
    <w:rsid w:val="00AC6C6B"/>
    <w:rsid w:val="00AD7448"/>
    <w:rsid w:val="00AE2061"/>
    <w:rsid w:val="00B00330"/>
    <w:rsid w:val="00B16465"/>
    <w:rsid w:val="00B300A4"/>
    <w:rsid w:val="00B33D22"/>
    <w:rsid w:val="00B96279"/>
    <w:rsid w:val="00BB772A"/>
    <w:rsid w:val="00BC1EBD"/>
    <w:rsid w:val="00BD051C"/>
    <w:rsid w:val="00C05DE0"/>
    <w:rsid w:val="00C12AC3"/>
    <w:rsid w:val="00C212A2"/>
    <w:rsid w:val="00C33712"/>
    <w:rsid w:val="00C4343D"/>
    <w:rsid w:val="00C51CDD"/>
    <w:rsid w:val="00C530AB"/>
    <w:rsid w:val="00C535E0"/>
    <w:rsid w:val="00C72CFF"/>
    <w:rsid w:val="00CB2665"/>
    <w:rsid w:val="00CE3903"/>
    <w:rsid w:val="00D31070"/>
    <w:rsid w:val="00D5120C"/>
    <w:rsid w:val="00DA28CF"/>
    <w:rsid w:val="00DC6759"/>
    <w:rsid w:val="00DD2200"/>
    <w:rsid w:val="00DD4E15"/>
    <w:rsid w:val="00DD60FA"/>
    <w:rsid w:val="00DE569C"/>
    <w:rsid w:val="00E208A9"/>
    <w:rsid w:val="00E420A1"/>
    <w:rsid w:val="00E65AAC"/>
    <w:rsid w:val="00E7685C"/>
    <w:rsid w:val="00EA270F"/>
    <w:rsid w:val="00F1252F"/>
    <w:rsid w:val="00F22504"/>
    <w:rsid w:val="00F360BE"/>
    <w:rsid w:val="00F426BC"/>
    <w:rsid w:val="00F66FAF"/>
    <w:rsid w:val="1EC076C3"/>
    <w:rsid w:val="33C63C91"/>
    <w:rsid w:val="3FD80E4F"/>
    <w:rsid w:val="6FD351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qFormat="1" w:unhideWhenUsed="0" w:uiPriority="0" w:semiHidden="0"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8"/>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39"/>
    <w:qFormat/>
    <w:uiPriority w:val="9"/>
    <w:pPr>
      <w:keepNext/>
      <w:keepLines/>
      <w:spacing w:before="340" w:after="330" w:line="576" w:lineRule="auto"/>
      <w:outlineLvl w:val="0"/>
    </w:pPr>
    <w:rPr>
      <w:rFonts w:asciiTheme="minorHAnsi" w:hAnsiTheme="minorHAnsi" w:eastAsiaTheme="minorEastAsia" w:cstheme="minorBidi"/>
      <w:b/>
      <w:kern w:val="44"/>
      <w:sz w:val="44"/>
      <w:szCs w:val="24"/>
    </w:rPr>
  </w:style>
  <w:style w:type="paragraph" w:styleId="3">
    <w:name w:val="heading 2"/>
    <w:basedOn w:val="1"/>
    <w:next w:val="1"/>
    <w:link w:val="40"/>
    <w:unhideWhenUsed/>
    <w:qFormat/>
    <w:uiPriority w:val="9"/>
    <w:pPr>
      <w:keepNext/>
      <w:keepLines/>
      <w:spacing w:before="260" w:after="260" w:line="413" w:lineRule="auto"/>
      <w:outlineLvl w:val="1"/>
    </w:pPr>
    <w:rPr>
      <w:rFonts w:ascii="Arial" w:hAnsi="Arial" w:eastAsia="黑体" w:cstheme="minorBidi"/>
      <w:b/>
      <w:sz w:val="32"/>
      <w:szCs w:val="24"/>
    </w:rPr>
  </w:style>
  <w:style w:type="paragraph" w:styleId="4">
    <w:name w:val="heading 3"/>
    <w:basedOn w:val="1"/>
    <w:next w:val="1"/>
    <w:link w:val="41"/>
    <w:unhideWhenUsed/>
    <w:qFormat/>
    <w:uiPriority w:val="9"/>
    <w:pPr>
      <w:keepNext/>
      <w:keepLines/>
      <w:spacing w:before="260" w:after="260" w:line="413" w:lineRule="auto"/>
      <w:outlineLvl w:val="2"/>
    </w:pPr>
    <w:rPr>
      <w:rFonts w:asciiTheme="minorHAnsi" w:hAnsiTheme="minorHAnsi" w:eastAsiaTheme="minorEastAsia" w:cstheme="minorBidi"/>
      <w:b/>
      <w:sz w:val="32"/>
      <w:szCs w:val="24"/>
    </w:rPr>
  </w:style>
  <w:style w:type="paragraph" w:styleId="5">
    <w:name w:val="heading 4"/>
    <w:basedOn w:val="1"/>
    <w:next w:val="1"/>
    <w:link w:val="42"/>
    <w:semiHidden/>
    <w:unhideWhenUsed/>
    <w:qFormat/>
    <w:uiPriority w:val="0"/>
    <w:pPr>
      <w:keepNext/>
      <w:keepLines/>
      <w:spacing w:before="280" w:after="290" w:line="372" w:lineRule="auto"/>
      <w:outlineLvl w:val="3"/>
    </w:pPr>
    <w:rPr>
      <w:rFonts w:ascii="Arial" w:hAnsi="Arial" w:eastAsia="黑体" w:cstheme="minorBidi"/>
      <w:b/>
      <w:sz w:val="28"/>
      <w:szCs w:val="24"/>
    </w:rPr>
  </w:style>
  <w:style w:type="paragraph" w:styleId="6">
    <w:name w:val="heading 5"/>
    <w:basedOn w:val="1"/>
    <w:next w:val="1"/>
    <w:link w:val="43"/>
    <w:unhideWhenUsed/>
    <w:qFormat/>
    <w:uiPriority w:val="0"/>
    <w:pPr>
      <w:keepNext/>
      <w:keepLines/>
      <w:spacing w:before="280" w:after="290" w:line="372" w:lineRule="auto"/>
      <w:outlineLvl w:val="4"/>
    </w:pPr>
    <w:rPr>
      <w:rFonts w:asciiTheme="minorHAnsi" w:hAnsiTheme="minorHAnsi" w:eastAsiaTheme="minorEastAsia" w:cstheme="minorBidi"/>
      <w:b/>
      <w:sz w:val="28"/>
      <w:szCs w:val="24"/>
    </w:rPr>
  </w:style>
  <w:style w:type="paragraph" w:styleId="7">
    <w:name w:val="heading 6"/>
    <w:basedOn w:val="1"/>
    <w:next w:val="1"/>
    <w:link w:val="44"/>
    <w:semiHidden/>
    <w:unhideWhenUsed/>
    <w:qFormat/>
    <w:uiPriority w:val="0"/>
    <w:pPr>
      <w:keepNext/>
      <w:keepLines/>
      <w:spacing w:before="240" w:after="64" w:line="317" w:lineRule="auto"/>
      <w:outlineLvl w:val="5"/>
    </w:pPr>
    <w:rPr>
      <w:rFonts w:ascii="Arial" w:hAnsi="Arial" w:eastAsia="黑体" w:cstheme="minorBidi"/>
      <w:b/>
      <w:sz w:val="24"/>
      <w:szCs w:val="24"/>
    </w:rPr>
  </w:style>
  <w:style w:type="paragraph" w:styleId="8">
    <w:name w:val="heading 7"/>
    <w:basedOn w:val="1"/>
    <w:next w:val="1"/>
    <w:link w:val="45"/>
    <w:semiHidden/>
    <w:unhideWhenUsed/>
    <w:qFormat/>
    <w:uiPriority w:val="0"/>
    <w:pPr>
      <w:keepNext/>
      <w:keepLines/>
      <w:spacing w:before="240" w:after="64" w:line="317" w:lineRule="auto"/>
      <w:outlineLvl w:val="6"/>
    </w:pPr>
    <w:rPr>
      <w:rFonts w:asciiTheme="minorHAnsi" w:hAnsiTheme="minorHAnsi" w:eastAsiaTheme="minorEastAsia" w:cstheme="minorBidi"/>
      <w:b/>
      <w:sz w:val="24"/>
      <w:szCs w:val="24"/>
    </w:rPr>
  </w:style>
  <w:style w:type="paragraph" w:styleId="9">
    <w:name w:val="heading 8"/>
    <w:basedOn w:val="1"/>
    <w:next w:val="1"/>
    <w:link w:val="46"/>
    <w:semiHidden/>
    <w:unhideWhenUsed/>
    <w:qFormat/>
    <w:uiPriority w:val="0"/>
    <w:pPr>
      <w:keepNext/>
      <w:keepLines/>
      <w:spacing w:before="240" w:after="64" w:line="317" w:lineRule="auto"/>
      <w:outlineLvl w:val="7"/>
    </w:pPr>
    <w:rPr>
      <w:rFonts w:ascii="Arial" w:hAnsi="Arial" w:eastAsia="黑体" w:cstheme="minorBidi"/>
      <w:sz w:val="24"/>
      <w:szCs w:val="24"/>
    </w:rPr>
  </w:style>
  <w:style w:type="character" w:default="1" w:styleId="27">
    <w:name w:val="Default Paragraph Font"/>
    <w:semiHidden/>
    <w:unhideWhenUsed/>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10">
    <w:name w:val="Normal Indent"/>
    <w:basedOn w:val="1"/>
    <w:next w:val="1"/>
    <w:qFormat/>
    <w:uiPriority w:val="99"/>
    <w:pPr>
      <w:ind w:firstLine="420" w:firstLineChars="200"/>
    </w:pPr>
    <w:rPr>
      <w:rFonts w:asciiTheme="minorHAnsi" w:hAnsiTheme="minorHAnsi" w:eastAsiaTheme="minorEastAsia" w:cstheme="minorBidi"/>
      <w:kern w:val="0"/>
      <w:szCs w:val="24"/>
    </w:rPr>
  </w:style>
  <w:style w:type="paragraph" w:styleId="11">
    <w:name w:val="Document Map"/>
    <w:basedOn w:val="1"/>
    <w:link w:val="47"/>
    <w:qFormat/>
    <w:uiPriority w:val="0"/>
    <w:pPr>
      <w:shd w:val="clear" w:color="auto" w:fill="000080"/>
    </w:pPr>
    <w:rPr>
      <w:rFonts w:asciiTheme="minorHAnsi" w:hAnsiTheme="minorHAnsi" w:eastAsiaTheme="minorEastAsia" w:cstheme="minorBidi"/>
      <w:szCs w:val="24"/>
    </w:rPr>
  </w:style>
  <w:style w:type="paragraph" w:styleId="12">
    <w:name w:val="annotation text"/>
    <w:basedOn w:val="1"/>
    <w:link w:val="48"/>
    <w:qFormat/>
    <w:uiPriority w:val="99"/>
    <w:pPr>
      <w:jc w:val="left"/>
    </w:pPr>
    <w:rPr>
      <w:rFonts w:asciiTheme="minorHAnsi" w:hAnsiTheme="minorHAnsi" w:eastAsiaTheme="minorEastAsia" w:cstheme="minorBidi"/>
      <w:szCs w:val="24"/>
    </w:rPr>
  </w:style>
  <w:style w:type="paragraph" w:styleId="13">
    <w:name w:val="Body Text"/>
    <w:basedOn w:val="1"/>
    <w:link w:val="63"/>
    <w:qFormat/>
    <w:uiPriority w:val="1"/>
    <w:pPr>
      <w:widowControl/>
      <w:overflowPunct w:val="0"/>
      <w:autoSpaceDE w:val="0"/>
      <w:autoSpaceDN w:val="0"/>
      <w:adjustRightInd w:val="0"/>
      <w:spacing w:before="120" w:after="120"/>
      <w:ind w:left="2520"/>
      <w:jc w:val="left"/>
    </w:pPr>
    <w:rPr>
      <w:rFonts w:ascii="Book Antiqua" w:hAnsi="Book Antiqua"/>
      <w:kern w:val="0"/>
      <w:sz w:val="20"/>
    </w:rPr>
  </w:style>
  <w:style w:type="paragraph" w:styleId="14">
    <w:name w:val="toc 3"/>
    <w:basedOn w:val="1"/>
    <w:next w:val="1"/>
    <w:qFormat/>
    <w:uiPriority w:val="39"/>
    <w:pPr>
      <w:ind w:left="420"/>
      <w:jc w:val="left"/>
    </w:pPr>
    <w:rPr>
      <w:rFonts w:ascii="Calibri" w:hAnsi="Calibri"/>
      <w:i/>
      <w:sz w:val="20"/>
    </w:rPr>
  </w:style>
  <w:style w:type="paragraph" w:styleId="15">
    <w:name w:val="Plain Text"/>
    <w:basedOn w:val="1"/>
    <w:link w:val="35"/>
    <w:qFormat/>
    <w:uiPriority w:val="0"/>
    <w:rPr>
      <w:rFonts w:ascii="宋体" w:hAnsi="Courier New"/>
    </w:rPr>
  </w:style>
  <w:style w:type="paragraph" w:styleId="16">
    <w:name w:val="Balloon Text"/>
    <w:basedOn w:val="1"/>
    <w:link w:val="50"/>
    <w:qFormat/>
    <w:uiPriority w:val="99"/>
    <w:rPr>
      <w:rFonts w:asciiTheme="minorHAnsi" w:hAnsiTheme="minorHAnsi" w:eastAsiaTheme="minorEastAsia" w:cstheme="minorBidi"/>
      <w:sz w:val="18"/>
      <w:szCs w:val="24"/>
    </w:rPr>
  </w:style>
  <w:style w:type="paragraph" w:styleId="17">
    <w:name w:val="footer"/>
    <w:basedOn w:val="1"/>
    <w:link w:val="34"/>
    <w:unhideWhenUsed/>
    <w:qFormat/>
    <w:uiPriority w:val="99"/>
    <w:pPr>
      <w:tabs>
        <w:tab w:val="center" w:pos="4153"/>
        <w:tab w:val="right" w:pos="8306"/>
      </w:tabs>
      <w:snapToGrid w:val="0"/>
      <w:jc w:val="left"/>
    </w:pPr>
    <w:rPr>
      <w:sz w:val="18"/>
      <w:szCs w:val="18"/>
    </w:rPr>
  </w:style>
  <w:style w:type="paragraph" w:styleId="18">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39"/>
    <w:pPr>
      <w:spacing w:before="120" w:after="120"/>
      <w:jc w:val="left"/>
    </w:pPr>
    <w:rPr>
      <w:rFonts w:ascii="Calibri" w:hAnsi="Calibri"/>
      <w:b/>
      <w:caps/>
      <w:sz w:val="20"/>
    </w:rPr>
  </w:style>
  <w:style w:type="paragraph" w:styleId="20">
    <w:name w:val="footnote text"/>
    <w:basedOn w:val="1"/>
    <w:link w:val="51"/>
    <w:qFormat/>
    <w:uiPriority w:val="0"/>
    <w:pPr>
      <w:snapToGrid w:val="0"/>
      <w:jc w:val="left"/>
    </w:pPr>
    <w:rPr>
      <w:rFonts w:asciiTheme="minorHAnsi" w:hAnsiTheme="minorHAnsi" w:eastAsiaTheme="minorEastAsia" w:cstheme="minorBidi"/>
      <w:sz w:val="18"/>
      <w:szCs w:val="24"/>
    </w:rPr>
  </w:style>
  <w:style w:type="paragraph" w:styleId="21">
    <w:name w:val="toc 2"/>
    <w:basedOn w:val="1"/>
    <w:next w:val="1"/>
    <w:qFormat/>
    <w:uiPriority w:val="39"/>
    <w:pPr>
      <w:ind w:left="210"/>
      <w:jc w:val="left"/>
    </w:pPr>
    <w:rPr>
      <w:rFonts w:ascii="Calibri" w:hAnsi="Calibri"/>
      <w:smallCaps/>
      <w:sz w:val="20"/>
    </w:rPr>
  </w:style>
  <w:style w:type="paragraph" w:styleId="22">
    <w:name w:val="Normal (Web)"/>
    <w:basedOn w:val="1"/>
    <w:qFormat/>
    <w:uiPriority w:val="99"/>
    <w:rPr>
      <w:rFonts w:ascii="Calibri" w:hAnsi="Calibri"/>
      <w:sz w:val="24"/>
      <w:szCs w:val="22"/>
    </w:rPr>
  </w:style>
  <w:style w:type="paragraph" w:styleId="23">
    <w:name w:val="Title"/>
    <w:basedOn w:val="1"/>
    <w:link w:val="52"/>
    <w:qFormat/>
    <w:uiPriority w:val="0"/>
    <w:pPr>
      <w:spacing w:before="240" w:after="60"/>
      <w:jc w:val="center"/>
      <w:outlineLvl w:val="0"/>
    </w:pPr>
    <w:rPr>
      <w:rFonts w:ascii="Arial" w:hAnsi="Arial" w:eastAsiaTheme="minorEastAsia" w:cstheme="minorBidi"/>
      <w:b/>
      <w:sz w:val="32"/>
      <w:szCs w:val="24"/>
    </w:rPr>
  </w:style>
  <w:style w:type="paragraph" w:styleId="24">
    <w:name w:val="annotation subject"/>
    <w:basedOn w:val="12"/>
    <w:next w:val="12"/>
    <w:link w:val="53"/>
    <w:qFormat/>
    <w:uiPriority w:val="99"/>
    <w:rPr>
      <w:b/>
    </w:rPr>
  </w:style>
  <w:style w:type="table" w:styleId="26">
    <w:name w:val="Table Grid"/>
    <w:basedOn w:val="25"/>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8">
    <w:name w:val="Strong"/>
    <w:qFormat/>
    <w:uiPriority w:val="0"/>
    <w:rPr>
      <w:b/>
      <w:bCs/>
    </w:rPr>
  </w:style>
  <w:style w:type="character" w:styleId="29">
    <w:name w:val="FollowedHyperlink"/>
    <w:basedOn w:val="27"/>
    <w:qFormat/>
    <w:uiPriority w:val="0"/>
    <w:rPr>
      <w:color w:val="800080"/>
      <w:u w:val="single"/>
    </w:rPr>
  </w:style>
  <w:style w:type="character" w:styleId="30">
    <w:name w:val="Hyperlink"/>
    <w:basedOn w:val="27"/>
    <w:qFormat/>
    <w:uiPriority w:val="99"/>
    <w:rPr>
      <w:color w:val="0000FF"/>
      <w:u w:val="single"/>
    </w:rPr>
  </w:style>
  <w:style w:type="character" w:styleId="31">
    <w:name w:val="annotation reference"/>
    <w:basedOn w:val="27"/>
    <w:qFormat/>
    <w:uiPriority w:val="99"/>
    <w:rPr>
      <w:sz w:val="21"/>
      <w:szCs w:val="21"/>
    </w:rPr>
  </w:style>
  <w:style w:type="character" w:styleId="32">
    <w:name w:val="footnote reference"/>
    <w:basedOn w:val="27"/>
    <w:qFormat/>
    <w:uiPriority w:val="0"/>
    <w:rPr>
      <w:vertAlign w:val="superscript"/>
    </w:rPr>
  </w:style>
  <w:style w:type="character" w:customStyle="1" w:styleId="33">
    <w:name w:val="页眉 Char"/>
    <w:basedOn w:val="27"/>
    <w:link w:val="18"/>
    <w:qFormat/>
    <w:uiPriority w:val="99"/>
    <w:rPr>
      <w:sz w:val="18"/>
      <w:szCs w:val="18"/>
    </w:rPr>
  </w:style>
  <w:style w:type="character" w:customStyle="1" w:styleId="34">
    <w:name w:val="页脚 Char"/>
    <w:basedOn w:val="27"/>
    <w:link w:val="17"/>
    <w:qFormat/>
    <w:uiPriority w:val="99"/>
    <w:rPr>
      <w:sz w:val="18"/>
      <w:szCs w:val="18"/>
    </w:rPr>
  </w:style>
  <w:style w:type="character" w:customStyle="1" w:styleId="35">
    <w:name w:val="纯文本 Char"/>
    <w:basedOn w:val="27"/>
    <w:link w:val="15"/>
    <w:qFormat/>
    <w:uiPriority w:val="0"/>
    <w:rPr>
      <w:rFonts w:ascii="宋体" w:hAnsi="Courier New" w:eastAsia="宋体" w:cs="Times New Roman"/>
      <w:szCs w:val="20"/>
    </w:rPr>
  </w:style>
  <w:style w:type="paragraph" w:customStyle="1" w:styleId="36">
    <w:name w:val="章节"/>
    <w:basedOn w:val="15"/>
    <w:qFormat/>
    <w:uiPriority w:val="0"/>
    <w:pPr>
      <w:spacing w:line="360" w:lineRule="auto"/>
      <w:jc w:val="center"/>
      <w:outlineLvl w:val="0"/>
    </w:pPr>
    <w:rPr>
      <w:rFonts w:ascii="黑体" w:eastAsia="黑体"/>
      <w:b/>
      <w:bCs/>
      <w:sz w:val="36"/>
      <w:szCs w:val="36"/>
    </w:rPr>
  </w:style>
  <w:style w:type="paragraph" w:customStyle="1" w:styleId="37">
    <w:name w:val="一级标题"/>
    <w:basedOn w:val="15"/>
    <w:qFormat/>
    <w:uiPriority w:val="1"/>
    <w:pPr>
      <w:numPr>
        <w:ilvl w:val="0"/>
        <w:numId w:val="1"/>
      </w:numPr>
      <w:spacing w:line="360" w:lineRule="auto"/>
      <w:ind w:left="420"/>
      <w:outlineLvl w:val="1"/>
    </w:pPr>
    <w:rPr>
      <w:rFonts w:ascii="黑体" w:eastAsia="黑体"/>
      <w:b/>
      <w:bCs/>
      <w:sz w:val="28"/>
    </w:rPr>
  </w:style>
  <w:style w:type="paragraph" w:customStyle="1" w:styleId="38">
    <w:name w:val="（二）级标题"/>
    <w:basedOn w:val="15"/>
    <w:qFormat/>
    <w:uiPriority w:val="2"/>
    <w:pPr>
      <w:numPr>
        <w:ilvl w:val="0"/>
        <w:numId w:val="2"/>
      </w:numPr>
      <w:spacing w:line="360" w:lineRule="auto"/>
      <w:outlineLvl w:val="2"/>
    </w:pPr>
    <w:rPr>
      <w:b/>
    </w:rPr>
  </w:style>
  <w:style w:type="character" w:customStyle="1" w:styleId="39">
    <w:name w:val="标题 1 Char"/>
    <w:basedOn w:val="27"/>
    <w:link w:val="2"/>
    <w:qFormat/>
    <w:uiPriority w:val="9"/>
    <w:rPr>
      <w:b/>
      <w:kern w:val="44"/>
      <w:sz w:val="44"/>
      <w:szCs w:val="24"/>
    </w:rPr>
  </w:style>
  <w:style w:type="character" w:customStyle="1" w:styleId="40">
    <w:name w:val="标题 2 Char"/>
    <w:basedOn w:val="27"/>
    <w:link w:val="3"/>
    <w:qFormat/>
    <w:uiPriority w:val="9"/>
    <w:rPr>
      <w:rFonts w:ascii="Arial" w:hAnsi="Arial" w:eastAsia="黑体"/>
      <w:b/>
      <w:sz w:val="32"/>
      <w:szCs w:val="24"/>
    </w:rPr>
  </w:style>
  <w:style w:type="character" w:customStyle="1" w:styleId="41">
    <w:name w:val="标题 3 Char"/>
    <w:basedOn w:val="27"/>
    <w:link w:val="4"/>
    <w:qFormat/>
    <w:uiPriority w:val="9"/>
    <w:rPr>
      <w:b/>
      <w:sz w:val="32"/>
      <w:szCs w:val="24"/>
    </w:rPr>
  </w:style>
  <w:style w:type="character" w:customStyle="1" w:styleId="42">
    <w:name w:val="标题 4 Char"/>
    <w:basedOn w:val="27"/>
    <w:link w:val="5"/>
    <w:semiHidden/>
    <w:qFormat/>
    <w:uiPriority w:val="0"/>
    <w:rPr>
      <w:rFonts w:ascii="Arial" w:hAnsi="Arial" w:eastAsia="黑体"/>
      <w:b/>
      <w:sz w:val="28"/>
      <w:szCs w:val="24"/>
    </w:rPr>
  </w:style>
  <w:style w:type="character" w:customStyle="1" w:styleId="43">
    <w:name w:val="标题 5 Char"/>
    <w:basedOn w:val="27"/>
    <w:link w:val="6"/>
    <w:qFormat/>
    <w:uiPriority w:val="0"/>
    <w:rPr>
      <w:b/>
      <w:sz w:val="28"/>
      <w:szCs w:val="24"/>
    </w:rPr>
  </w:style>
  <w:style w:type="character" w:customStyle="1" w:styleId="44">
    <w:name w:val="标题 6 Char"/>
    <w:basedOn w:val="27"/>
    <w:link w:val="7"/>
    <w:semiHidden/>
    <w:qFormat/>
    <w:uiPriority w:val="0"/>
    <w:rPr>
      <w:rFonts w:ascii="Arial" w:hAnsi="Arial" w:eastAsia="黑体"/>
      <w:b/>
      <w:sz w:val="24"/>
      <w:szCs w:val="24"/>
    </w:rPr>
  </w:style>
  <w:style w:type="character" w:customStyle="1" w:styleId="45">
    <w:name w:val="标题 7 Char"/>
    <w:basedOn w:val="27"/>
    <w:link w:val="8"/>
    <w:semiHidden/>
    <w:qFormat/>
    <w:uiPriority w:val="0"/>
    <w:rPr>
      <w:b/>
      <w:sz w:val="24"/>
      <w:szCs w:val="24"/>
    </w:rPr>
  </w:style>
  <w:style w:type="character" w:customStyle="1" w:styleId="46">
    <w:name w:val="标题 8 Char"/>
    <w:basedOn w:val="27"/>
    <w:link w:val="9"/>
    <w:semiHidden/>
    <w:qFormat/>
    <w:uiPriority w:val="0"/>
    <w:rPr>
      <w:rFonts w:ascii="Arial" w:hAnsi="Arial" w:eastAsia="黑体"/>
      <w:sz w:val="24"/>
      <w:szCs w:val="24"/>
    </w:rPr>
  </w:style>
  <w:style w:type="character" w:customStyle="1" w:styleId="47">
    <w:name w:val="文档结构图 Char"/>
    <w:basedOn w:val="27"/>
    <w:link w:val="11"/>
    <w:qFormat/>
    <w:uiPriority w:val="0"/>
    <w:rPr>
      <w:szCs w:val="24"/>
      <w:shd w:val="clear" w:color="auto" w:fill="000080"/>
    </w:rPr>
  </w:style>
  <w:style w:type="character" w:customStyle="1" w:styleId="48">
    <w:name w:val="批注文字 Char"/>
    <w:basedOn w:val="27"/>
    <w:link w:val="12"/>
    <w:qFormat/>
    <w:uiPriority w:val="99"/>
    <w:rPr>
      <w:szCs w:val="24"/>
    </w:rPr>
  </w:style>
  <w:style w:type="character" w:customStyle="1" w:styleId="49">
    <w:name w:val="正文文本 Char"/>
    <w:basedOn w:val="27"/>
    <w:qFormat/>
    <w:uiPriority w:val="0"/>
    <w:rPr>
      <w:rFonts w:ascii="Times New Roman" w:hAnsi="Times New Roman" w:eastAsia="宋体" w:cs="Times New Roman"/>
      <w:szCs w:val="20"/>
    </w:rPr>
  </w:style>
  <w:style w:type="character" w:customStyle="1" w:styleId="50">
    <w:name w:val="批注框文本 Char"/>
    <w:basedOn w:val="27"/>
    <w:link w:val="16"/>
    <w:qFormat/>
    <w:uiPriority w:val="99"/>
    <w:rPr>
      <w:sz w:val="18"/>
      <w:szCs w:val="24"/>
    </w:rPr>
  </w:style>
  <w:style w:type="character" w:customStyle="1" w:styleId="51">
    <w:name w:val="脚注文本 Char"/>
    <w:basedOn w:val="27"/>
    <w:link w:val="20"/>
    <w:qFormat/>
    <w:uiPriority w:val="0"/>
    <w:rPr>
      <w:sz w:val="18"/>
      <w:szCs w:val="24"/>
    </w:rPr>
  </w:style>
  <w:style w:type="character" w:customStyle="1" w:styleId="52">
    <w:name w:val="标题 Char"/>
    <w:basedOn w:val="27"/>
    <w:link w:val="23"/>
    <w:qFormat/>
    <w:uiPriority w:val="0"/>
    <w:rPr>
      <w:rFonts w:ascii="Arial" w:hAnsi="Arial"/>
      <w:b/>
      <w:sz w:val="32"/>
      <w:szCs w:val="24"/>
    </w:rPr>
  </w:style>
  <w:style w:type="character" w:customStyle="1" w:styleId="53">
    <w:name w:val="批注主题 Char"/>
    <w:basedOn w:val="48"/>
    <w:link w:val="24"/>
    <w:qFormat/>
    <w:uiPriority w:val="99"/>
    <w:rPr>
      <w:b/>
      <w:szCs w:val="24"/>
    </w:rPr>
  </w:style>
  <w:style w:type="paragraph" w:customStyle="1" w:styleId="54">
    <w:name w:val="Default"/>
    <w:autoRedefine/>
    <w:qFormat/>
    <w:uiPriority w:val="0"/>
    <w:pPr>
      <w:widowControl w:val="0"/>
      <w:autoSpaceDE w:val="0"/>
      <w:autoSpaceDN w:val="0"/>
      <w:adjustRightInd w:val="0"/>
    </w:pPr>
    <w:rPr>
      <w:rFonts w:ascii="宋体" w:hAnsi="Times New Roman" w:eastAsia="宋体" w:cs="Times New Roman"/>
      <w:color w:val="000000"/>
      <w:kern w:val="0"/>
      <w:sz w:val="24"/>
      <w:szCs w:val="24"/>
      <w:lang w:val="en-US" w:eastAsia="zh-CN" w:bidi="ar-SA"/>
    </w:rPr>
  </w:style>
  <w:style w:type="paragraph" w:customStyle="1" w:styleId="55">
    <w:name w:val="Fließtext"/>
    <w:basedOn w:val="1"/>
    <w:qFormat/>
    <w:uiPriority w:val="99"/>
    <w:pPr>
      <w:widowControl/>
      <w:ind w:left="1134"/>
      <w:jc w:val="left"/>
    </w:pPr>
    <w:rPr>
      <w:rFonts w:ascii="Arial" w:hAnsi="Arial" w:eastAsiaTheme="minorEastAsia" w:cstheme="minorBidi"/>
      <w:kern w:val="0"/>
      <w:lang w:val="de-DE" w:eastAsia="de-DE"/>
    </w:rPr>
  </w:style>
  <w:style w:type="character" w:customStyle="1" w:styleId="56">
    <w:name w:val="无间隔 字符"/>
    <w:basedOn w:val="27"/>
    <w:qFormat/>
    <w:uiPriority w:val="0"/>
    <w:rPr>
      <w:sz w:val="22"/>
      <w:szCs w:val="22"/>
    </w:rPr>
  </w:style>
  <w:style w:type="paragraph" w:customStyle="1" w:styleId="57">
    <w:name w:val="文档标题1"/>
    <w:basedOn w:val="2"/>
    <w:next w:val="58"/>
    <w:qFormat/>
    <w:uiPriority w:val="0"/>
    <w:pPr>
      <w:pageBreakBefore/>
      <w:numPr>
        <w:ilvl w:val="0"/>
        <w:numId w:val="3"/>
      </w:numPr>
      <w:pBdr>
        <w:top w:val="single" w:color="auto" w:sz="48" w:space="1"/>
      </w:pBdr>
      <w:spacing w:before="0" w:after="0" w:line="360" w:lineRule="auto"/>
    </w:pPr>
    <w:rPr>
      <w:rFonts w:ascii="Times New Roman" w:hAnsi="Times New Roman" w:eastAsia="宋体" w:cs="Times New Roman"/>
      <w:sz w:val="28"/>
      <w:szCs w:val="44"/>
    </w:rPr>
  </w:style>
  <w:style w:type="paragraph" w:customStyle="1" w:styleId="58">
    <w:name w:val="文档正文-1"/>
    <w:basedOn w:val="1"/>
    <w:qFormat/>
    <w:uiPriority w:val="0"/>
    <w:pPr>
      <w:spacing w:line="360" w:lineRule="auto"/>
      <w:ind w:firstLine="200" w:firstLineChars="200"/>
    </w:pPr>
    <w:rPr>
      <w:sz w:val="24"/>
      <w:szCs w:val="22"/>
    </w:rPr>
  </w:style>
  <w:style w:type="paragraph" w:customStyle="1" w:styleId="59">
    <w:name w:val="文档正文一级标题"/>
    <w:basedOn w:val="58"/>
    <w:qFormat/>
    <w:uiPriority w:val="0"/>
    <w:pPr>
      <w:numPr>
        <w:ilvl w:val="0"/>
        <w:numId w:val="4"/>
      </w:numPr>
      <w:ind w:firstLine="0" w:firstLineChars="0"/>
    </w:pPr>
  </w:style>
  <w:style w:type="character" w:customStyle="1" w:styleId="60">
    <w:name w:val="apple-converted-space"/>
    <w:basedOn w:val="27"/>
    <w:qFormat/>
    <w:uiPriority w:val="0"/>
  </w:style>
  <w:style w:type="character" w:customStyle="1" w:styleId="61">
    <w:name w:val="apple-style-span"/>
    <w:basedOn w:val="27"/>
    <w:qFormat/>
    <w:uiPriority w:val="0"/>
  </w:style>
  <w:style w:type="paragraph" w:customStyle="1" w:styleId="62">
    <w:name w:val="样式 标题 4 + 段前: 5 磅 段后: 5 磅 行距: 单倍行距"/>
    <w:basedOn w:val="5"/>
    <w:qFormat/>
    <w:uiPriority w:val="0"/>
    <w:pPr>
      <w:tabs>
        <w:tab w:val="left" w:pos="780"/>
        <w:tab w:val="left" w:pos="1680"/>
      </w:tabs>
      <w:adjustRightInd w:val="0"/>
      <w:spacing w:before="100" w:after="100"/>
      <w:ind w:left="780" w:leftChars="200" w:hanging="360" w:hangingChars="200"/>
      <w:jc w:val="left"/>
    </w:pPr>
    <w:rPr>
      <w:rFonts w:cs="Times New Roman"/>
      <w:kern w:val="0"/>
      <w:szCs w:val="20"/>
    </w:rPr>
  </w:style>
  <w:style w:type="character" w:customStyle="1" w:styleId="63">
    <w:name w:val="正文文本 Char1"/>
    <w:basedOn w:val="27"/>
    <w:link w:val="13"/>
    <w:qFormat/>
    <w:uiPriority w:val="1"/>
    <w:rPr>
      <w:rFonts w:ascii="Book Antiqua" w:hAnsi="Book Antiqua" w:eastAsia="宋体" w:cs="Times New Roman"/>
      <w:kern w:val="0"/>
      <w:sz w:val="20"/>
      <w:szCs w:val="20"/>
    </w:rPr>
  </w:style>
  <w:style w:type="paragraph" w:customStyle="1" w:styleId="64">
    <w:name w:val="文档标题3"/>
    <w:basedOn w:val="4"/>
    <w:next w:val="58"/>
    <w:qFormat/>
    <w:uiPriority w:val="0"/>
    <w:pPr>
      <w:overflowPunct w:val="0"/>
      <w:autoSpaceDE w:val="0"/>
      <w:autoSpaceDN w:val="0"/>
      <w:adjustRightInd w:val="0"/>
      <w:spacing w:before="0" w:after="0" w:line="360" w:lineRule="auto"/>
    </w:pPr>
    <w:rPr>
      <w:rFonts w:ascii="Times New Roman" w:hAnsi="Times New Roman" w:eastAsia="宋体" w:cs="Times New Roman"/>
      <w:sz w:val="28"/>
      <w:szCs w:val="32"/>
    </w:rPr>
  </w:style>
  <w:style w:type="character" w:customStyle="1" w:styleId="65">
    <w:name w:val="tlid-translation"/>
    <w:basedOn w:val="27"/>
    <w:qFormat/>
    <w:uiPriority w:val="0"/>
  </w:style>
  <w:style w:type="paragraph" w:customStyle="1" w:styleId="66">
    <w:name w:val="样式 标题 2 + 宋体 五号 非加粗 黑色"/>
    <w:basedOn w:val="3"/>
    <w:qFormat/>
    <w:uiPriority w:val="0"/>
    <w:pPr>
      <w:spacing w:line="416" w:lineRule="atLeast"/>
      <w:jc w:val="left"/>
    </w:pPr>
    <w:rPr>
      <w:rFonts w:cs="Times New Roman"/>
      <w:color w:val="000000"/>
      <w:kern w:val="0"/>
      <w:sz w:val="21"/>
      <w:szCs w:val="32"/>
    </w:rPr>
  </w:style>
  <w:style w:type="character" w:customStyle="1" w:styleId="67">
    <w:name w:val="style61"/>
    <w:basedOn w:val="27"/>
    <w:qFormat/>
    <w:uiPriority w:val="0"/>
  </w:style>
  <w:style w:type="character" w:customStyle="1" w:styleId="68">
    <w:name w:val="COFCO_1.1 Char"/>
    <w:basedOn w:val="27"/>
    <w:qFormat/>
    <w:uiPriority w:val="0"/>
    <w:rPr>
      <w:rFonts w:hint="eastAsia" w:ascii="华文细黑" w:hAnsi="华文细黑" w:eastAsia="华文细黑" w:cs="宋体"/>
      <w:b/>
      <w:color w:val="000000"/>
      <w:sz w:val="24"/>
      <w:szCs w:val="22"/>
    </w:rPr>
  </w:style>
  <w:style w:type="paragraph" w:customStyle="1" w:styleId="69">
    <w:name w:val="文档标题2"/>
    <w:basedOn w:val="3"/>
    <w:next w:val="58"/>
    <w:link w:val="70"/>
    <w:qFormat/>
    <w:uiPriority w:val="0"/>
    <w:pPr>
      <w:numPr>
        <w:ilvl w:val="1"/>
        <w:numId w:val="3"/>
      </w:numPr>
      <w:spacing w:before="0" w:after="0" w:line="360" w:lineRule="auto"/>
      <w:jc w:val="left"/>
    </w:pPr>
    <w:rPr>
      <w:rFonts w:ascii="Times New Roman" w:hAnsi="Times New Roman" w:eastAsia="宋体" w:cs="Times New Roman"/>
      <w:sz w:val="28"/>
      <w:szCs w:val="32"/>
    </w:rPr>
  </w:style>
  <w:style w:type="character" w:customStyle="1" w:styleId="70">
    <w:name w:val="文档标题2 Char"/>
    <w:basedOn w:val="27"/>
    <w:link w:val="69"/>
    <w:qFormat/>
    <w:uiPriority w:val="0"/>
    <w:rPr>
      <w:rFonts w:ascii="Times New Roman" w:hAnsi="Times New Roman" w:eastAsia="宋体" w:cs="Times New Roman"/>
      <w:b/>
      <w:sz w:val="28"/>
      <w:szCs w:val="32"/>
    </w:rPr>
  </w:style>
  <w:style w:type="paragraph" w:customStyle="1" w:styleId="71">
    <w:name w:val="文档标题4"/>
    <w:basedOn w:val="5"/>
    <w:next w:val="58"/>
    <w:qFormat/>
    <w:uiPriority w:val="0"/>
    <w:pPr>
      <w:numPr>
        <w:ilvl w:val="3"/>
        <w:numId w:val="5"/>
      </w:numPr>
      <w:pBdr>
        <w:bottom w:val="single" w:color="auto" w:sz="2" w:space="1"/>
      </w:pBdr>
    </w:pPr>
    <w:rPr>
      <w:rFonts w:ascii="Times New Roman" w:hAnsi="Times New Roman" w:eastAsia="宋体" w:cs="Times New Roman"/>
      <w:szCs w:val="28"/>
    </w:rPr>
  </w:style>
  <w:style w:type="paragraph" w:customStyle="1" w:styleId="72">
    <w:name w:val="Table Paragraph"/>
    <w:basedOn w:val="1"/>
    <w:qFormat/>
    <w:uiPriority w:val="1"/>
    <w:rPr>
      <w:rFonts w:ascii="Calibri" w:hAnsi="Calibri"/>
      <w:szCs w:val="22"/>
    </w:rPr>
  </w:style>
  <w:style w:type="paragraph" w:styleId="73">
    <w:name w:val="List Paragraph"/>
    <w:basedOn w:val="1"/>
    <w:link w:val="74"/>
    <w:qFormat/>
    <w:uiPriority w:val="34"/>
    <w:pPr>
      <w:ind w:firstLine="420" w:firstLineChars="200"/>
    </w:pPr>
    <w:rPr>
      <w:rFonts w:asciiTheme="minorHAnsi" w:hAnsiTheme="minorHAnsi" w:eastAsiaTheme="minorEastAsia" w:cstheme="minorBidi"/>
      <w:szCs w:val="24"/>
    </w:rPr>
  </w:style>
  <w:style w:type="character" w:customStyle="1" w:styleId="74">
    <w:name w:val="列出段落 Char"/>
    <w:link w:val="73"/>
    <w:qFormat/>
    <w:uiPriority w:val="34"/>
    <w:rPr>
      <w:szCs w:val="24"/>
    </w:rPr>
  </w:style>
  <w:style w:type="paragraph" w:customStyle="1" w:styleId="75">
    <w:name w:val="潍柴文档正文一级标题"/>
    <w:basedOn w:val="1"/>
    <w:qFormat/>
    <w:uiPriority w:val="0"/>
    <w:pPr>
      <w:numPr>
        <w:ilvl w:val="0"/>
        <w:numId w:val="6"/>
      </w:numPr>
      <w:spacing w:line="360" w:lineRule="auto"/>
    </w:pPr>
    <w:rPr>
      <w:sz w:val="24"/>
      <w:szCs w:val="22"/>
    </w:rPr>
  </w:style>
  <w:style w:type="character" w:customStyle="1" w:styleId="76">
    <w:name w:val="*正文 Char Char"/>
    <w:link w:val="77"/>
    <w:qFormat/>
    <w:locked/>
    <w:uiPriority w:val="0"/>
    <w:rPr>
      <w:rFonts w:ascii="宋体" w:hAnsi="宋体"/>
      <w:sz w:val="24"/>
      <w:szCs w:val="24"/>
    </w:rPr>
  </w:style>
  <w:style w:type="paragraph" w:customStyle="1" w:styleId="77">
    <w:name w:val="*正文"/>
    <w:basedOn w:val="1"/>
    <w:link w:val="76"/>
    <w:qFormat/>
    <w:uiPriority w:val="0"/>
    <w:pPr>
      <w:spacing w:line="360" w:lineRule="auto"/>
      <w:ind w:firstLine="200" w:firstLineChars="200"/>
    </w:pPr>
    <w:rPr>
      <w:rFonts w:ascii="宋体" w:hAnsi="宋体" w:eastAsiaTheme="minorEastAsia" w:cstheme="minorBidi"/>
      <w:sz w:val="24"/>
      <w:szCs w:val="24"/>
    </w:rPr>
  </w:style>
  <w:style w:type="paragraph" w:customStyle="1" w:styleId="78">
    <w:name w:val="msolistparagraph"/>
    <w:basedOn w:val="1"/>
    <w:qFormat/>
    <w:uiPriority w:val="0"/>
    <w:pPr>
      <w:widowControl/>
      <w:spacing w:after="160" w:line="254" w:lineRule="auto"/>
      <w:ind w:left="720"/>
      <w:contextualSpacing/>
      <w:jc w:val="left"/>
    </w:pPr>
    <w:rPr>
      <w:rFonts w:ascii="Calibri" w:hAnsi="Calibri"/>
      <w:kern w:val="0"/>
      <w:sz w:val="22"/>
      <w:szCs w:val="22"/>
    </w:rPr>
  </w:style>
  <w:style w:type="paragraph" w:customStyle="1" w:styleId="79">
    <w:name w:val="列出段落1"/>
    <w:basedOn w:val="1"/>
    <w:qFormat/>
    <w:uiPriority w:val="34"/>
    <w:pPr>
      <w:ind w:firstLine="420" w:firstLineChars="200"/>
    </w:pPr>
    <w:rPr>
      <w:rFonts w:ascii="Calibri" w:hAnsi="Calibri"/>
      <w:szCs w:val="22"/>
    </w:rPr>
  </w:style>
  <w:style w:type="character" w:customStyle="1" w:styleId="80">
    <w:name w:val="未处理的提及1"/>
    <w:basedOn w:val="27"/>
    <w:semiHidden/>
    <w:unhideWhenUsed/>
    <w:qFormat/>
    <w:uiPriority w:val="99"/>
    <w:rPr>
      <w:color w:val="605E5C"/>
      <w:shd w:val="clear" w:color="auto" w:fill="E1DFDD"/>
    </w:rPr>
  </w:style>
  <w:style w:type="paragraph" w:customStyle="1" w:styleId="81">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color w:val="376092" w:themeColor="accent1" w:themeShade="BF"/>
      <w:kern w:val="0"/>
      <w:sz w:val="32"/>
      <w:szCs w:val="32"/>
      <w:lang w:eastAsia="en-US"/>
    </w:rPr>
  </w:style>
  <w:style w:type="paragraph" w:customStyle="1" w:styleId="82">
    <w:name w:val="潍柴文档正文"/>
    <w:basedOn w:val="1"/>
    <w:link w:val="83"/>
    <w:qFormat/>
    <w:uiPriority w:val="0"/>
    <w:pPr>
      <w:spacing w:line="360" w:lineRule="auto"/>
      <w:ind w:firstLine="200" w:firstLineChars="200"/>
    </w:pPr>
    <w:rPr>
      <w:sz w:val="24"/>
      <w:szCs w:val="22"/>
    </w:rPr>
  </w:style>
  <w:style w:type="character" w:customStyle="1" w:styleId="83">
    <w:name w:val="潍柴文档正文 Char"/>
    <w:link w:val="82"/>
    <w:qFormat/>
    <w:uiPriority w:val="0"/>
    <w:rPr>
      <w:rFonts w:ascii="Times New Roman" w:hAnsi="Times New Roman" w:eastAsia="宋体" w:cs="Times New Roman"/>
      <w:sz w:val="24"/>
    </w:rPr>
  </w:style>
  <w:style w:type="paragraph" w:customStyle="1" w:styleId="84">
    <w:name w:val="修订1"/>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85">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color w:val="376092" w:themeColor="accent1" w:themeShade="BF"/>
      <w:kern w:val="0"/>
      <w:sz w:val="32"/>
      <w:szCs w:val="32"/>
    </w:rPr>
  </w:style>
  <w:style w:type="paragraph" w:customStyle="1" w:styleId="86">
    <w:name w:val="修订2"/>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87">
    <w:name w:val="修订3"/>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35</Pages>
  <Words>1297</Words>
  <Characters>1455</Characters>
  <Lines>124</Lines>
  <Paragraphs>35</Paragraphs>
  <TotalTime>1</TotalTime>
  <ScaleCrop>false</ScaleCrop>
  <LinksUpToDate>false</LinksUpToDate>
  <CharactersWithSpaces>1485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2026-10-10T02:57:00Z</dcterms:created>
  <dc:creator>孙丽君</dc:creator>
  <cp:lastModifiedBy>寒澈</cp:lastModifiedBy>
  <dcterms:modified xsi:type="dcterms:W3CDTF">2026-10-19T08:01:41Z</dcterms:modified>
  <cp:revision>147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eyJoZGlkIjoiZjA1NGM5MGM5Nzc4Njc0NmUwMDZkYWVmZWM3MGRmYmYiLCJ1c2VySWQiOiIzNDIwNDAwNDIifQ==</vt:lpwstr>
  </property>
  <property fmtid="{D5CDD505-2E9C-101B-9397-08002B2CF9AE}" pid="3" name="KSOProductBuildVer">
    <vt:lpwstr>2052-12.1.0.29161</vt:lpwstr>
  </property>
  <property fmtid="{D5CDD505-2E9C-101B-9397-08002B2CF9AE}" pid="4" name="ICV">
    <vt:lpwstr>CDCC472250D74F6F89CBD87705A9034C_12</vt:lpwstr>
  </property>
</Properties>
</file>