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909025">
      <w:pPr>
        <w:autoSpaceDE w:val="0"/>
        <w:autoSpaceDN w:val="0"/>
        <w:adjustRightInd w:val="0"/>
        <w:snapToGrid w:val="0"/>
        <w:spacing w:line="360" w:lineRule="auto"/>
        <w:ind w:firstLine="723"/>
        <w:jc w:val="center"/>
        <w:rPr>
          <w:rFonts w:asciiTheme="minorEastAsia" w:hAnsiTheme="minorEastAsia" w:eastAsiaTheme="minorEastAsia" w:cstheme="minorEastAsia"/>
          <w:b/>
          <w:color w:val="auto"/>
          <w:sz w:val="36"/>
          <w:szCs w:val="36"/>
          <w:highlight w:val="none"/>
        </w:rPr>
      </w:pPr>
      <w:bookmarkStart w:id="0" w:name="_Toc15310"/>
      <w:bookmarkStart w:id="1" w:name="_Toc10987"/>
    </w:p>
    <w:p w14:paraId="7DA9A20A">
      <w:pPr>
        <w:autoSpaceDE w:val="0"/>
        <w:autoSpaceDN w:val="0"/>
        <w:adjustRightInd w:val="0"/>
        <w:snapToGrid w:val="0"/>
        <w:spacing w:line="360" w:lineRule="auto"/>
        <w:ind w:firstLine="723"/>
        <w:jc w:val="center"/>
        <w:rPr>
          <w:rFonts w:asciiTheme="minorEastAsia" w:hAnsiTheme="minorEastAsia" w:eastAsiaTheme="minorEastAsia" w:cstheme="minorEastAsia"/>
          <w:b/>
          <w:color w:val="auto"/>
          <w:sz w:val="36"/>
          <w:szCs w:val="36"/>
          <w:highlight w:val="none"/>
        </w:rPr>
      </w:pPr>
    </w:p>
    <w:p w14:paraId="7453EEDE">
      <w:pPr>
        <w:autoSpaceDE w:val="0"/>
        <w:autoSpaceDN w:val="0"/>
        <w:adjustRightInd w:val="0"/>
        <w:snapToGrid w:val="0"/>
        <w:spacing w:line="360" w:lineRule="auto"/>
        <w:ind w:firstLine="256" w:firstLineChars="49"/>
        <w:jc w:val="center"/>
        <w:rPr>
          <w:rFonts w:asciiTheme="minorEastAsia" w:hAnsiTheme="minorEastAsia" w:eastAsiaTheme="minorEastAsia" w:cstheme="minorEastAsia"/>
          <w:b/>
          <w:color w:val="auto"/>
          <w:sz w:val="52"/>
          <w:szCs w:val="52"/>
          <w:highlight w:val="none"/>
        </w:rPr>
      </w:pPr>
      <w:r>
        <w:rPr>
          <w:rFonts w:hint="eastAsia" w:asciiTheme="minorEastAsia" w:hAnsiTheme="minorEastAsia" w:eastAsiaTheme="minorEastAsia" w:cstheme="minorEastAsia"/>
          <w:b/>
          <w:color w:val="auto"/>
          <w:sz w:val="52"/>
          <w:szCs w:val="52"/>
          <w:highlight w:val="none"/>
        </w:rPr>
        <w:t>中国重汽集团莱芜工厂辊压线废料再利用-新增行车项目</w:t>
      </w:r>
    </w:p>
    <w:p w14:paraId="5FC1A184">
      <w:pPr>
        <w:autoSpaceDE w:val="0"/>
        <w:autoSpaceDN w:val="0"/>
        <w:adjustRightInd w:val="0"/>
        <w:snapToGrid w:val="0"/>
        <w:spacing w:line="360" w:lineRule="auto"/>
        <w:rPr>
          <w:rFonts w:asciiTheme="minorEastAsia" w:hAnsiTheme="minorEastAsia" w:eastAsiaTheme="minorEastAsia" w:cstheme="minorEastAsia"/>
          <w:b/>
          <w:color w:val="auto"/>
          <w:sz w:val="72"/>
          <w:szCs w:val="72"/>
          <w:highlight w:val="none"/>
        </w:rPr>
      </w:pPr>
    </w:p>
    <w:p w14:paraId="76BDC692">
      <w:pPr>
        <w:autoSpaceDE w:val="0"/>
        <w:autoSpaceDN w:val="0"/>
        <w:adjustRightInd w:val="0"/>
        <w:snapToGrid w:val="0"/>
        <w:spacing w:line="360" w:lineRule="auto"/>
        <w:rPr>
          <w:rFonts w:asciiTheme="minorEastAsia" w:hAnsiTheme="minorEastAsia" w:eastAsiaTheme="minorEastAsia" w:cstheme="minorEastAsia"/>
          <w:b/>
          <w:color w:val="auto"/>
          <w:sz w:val="72"/>
          <w:szCs w:val="72"/>
          <w:highlight w:val="none"/>
        </w:rPr>
      </w:pPr>
    </w:p>
    <w:p w14:paraId="302E51A1">
      <w:pPr>
        <w:autoSpaceDE w:val="0"/>
        <w:autoSpaceDN w:val="0"/>
        <w:adjustRightInd w:val="0"/>
        <w:snapToGrid w:val="0"/>
        <w:spacing w:line="360" w:lineRule="auto"/>
        <w:ind w:firstLine="354" w:firstLineChars="49"/>
        <w:jc w:val="center"/>
        <w:rPr>
          <w:rFonts w:asciiTheme="minorEastAsia" w:hAnsiTheme="minorEastAsia" w:eastAsiaTheme="minorEastAsia" w:cstheme="minorEastAsia"/>
          <w:b/>
          <w:color w:val="auto"/>
          <w:w w:val="99"/>
          <w:sz w:val="30"/>
          <w:szCs w:val="30"/>
          <w:highlight w:val="none"/>
        </w:rPr>
      </w:pPr>
      <w:r>
        <w:rPr>
          <w:rFonts w:hint="eastAsia" w:asciiTheme="minorEastAsia" w:hAnsiTheme="minorEastAsia" w:eastAsiaTheme="minorEastAsia" w:cstheme="minorEastAsia"/>
          <w:b/>
          <w:color w:val="auto"/>
          <w:sz w:val="72"/>
          <w:szCs w:val="72"/>
          <w:highlight w:val="none"/>
        </w:rPr>
        <w:t>招　标　文　件</w:t>
      </w:r>
    </w:p>
    <w:p w14:paraId="48F2CBA0">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707E8C1B">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7E101D71">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6623FD76">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1FC28C4A">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08FDC44E">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38EE690D">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5848C0E1">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sz w:val="30"/>
          <w:szCs w:val="30"/>
          <w:highlight w:val="none"/>
          <w:u w:val="single"/>
        </w:rPr>
      </w:pPr>
      <w:r>
        <w:rPr>
          <w:rFonts w:hint="eastAsia" w:asciiTheme="minorEastAsia" w:hAnsiTheme="minorEastAsia" w:eastAsiaTheme="minorEastAsia" w:cstheme="minorEastAsia"/>
          <w:b/>
          <w:color w:val="auto"/>
          <w:w w:val="99"/>
          <w:sz w:val="30"/>
          <w:szCs w:val="30"/>
          <w:highlight w:val="none"/>
        </w:rPr>
        <w:t>招   标  人：中国重汽集团济南卡车股份有限公司</w:t>
      </w:r>
    </w:p>
    <w:p w14:paraId="2E167FCA">
      <w:pPr>
        <w:pStyle w:val="33"/>
        <w:tabs>
          <w:tab w:val="left" w:pos="900"/>
          <w:tab w:val="right" w:leader="dot" w:pos="9100"/>
        </w:tabs>
        <w:spacing w:line="360" w:lineRule="auto"/>
        <w:ind w:firstLine="600"/>
        <w:jc w:val="center"/>
        <w:rPr>
          <w:rFonts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2026年6月</w:t>
      </w:r>
    </w:p>
    <w:p w14:paraId="7E2FC3B2">
      <w:pPr>
        <w:ind w:firstLine="420"/>
        <w:rPr>
          <w:rFonts w:asciiTheme="minorEastAsia" w:hAnsiTheme="minorEastAsia" w:eastAsiaTheme="minorEastAsia" w:cstheme="minorEastAsia"/>
          <w:color w:val="auto"/>
          <w:highlight w:val="none"/>
        </w:rPr>
      </w:pPr>
    </w:p>
    <w:p w14:paraId="14068A8A">
      <w:pPr>
        <w:ind w:firstLine="420"/>
        <w:rPr>
          <w:rFonts w:asciiTheme="minorEastAsia" w:hAnsiTheme="minorEastAsia" w:eastAsiaTheme="minorEastAsia" w:cstheme="minorEastAsia"/>
          <w:color w:val="auto"/>
          <w:highlight w:val="none"/>
        </w:rPr>
      </w:pPr>
    </w:p>
    <w:bookmarkEnd w:id="0"/>
    <w:bookmarkEnd w:id="1"/>
    <w:p w14:paraId="034C66BF">
      <w:pPr>
        <w:widowControl/>
        <w:ind w:firstLine="420"/>
        <w:jc w:val="left"/>
        <w:rPr>
          <w:rFonts w:asciiTheme="minorEastAsia" w:hAnsiTheme="minorEastAsia" w:eastAsiaTheme="minorEastAsia" w:cstheme="minorEastAsia"/>
          <w:b/>
          <w:color w:val="auto"/>
          <w:kern w:val="0"/>
          <w:sz w:val="32"/>
          <w:szCs w:val="32"/>
          <w:highlight w:val="none"/>
          <w:lang w:val="zh-CN"/>
        </w:rPr>
      </w:pPr>
      <w:bookmarkStart w:id="2" w:name="_Toc16518"/>
      <w:bookmarkStart w:id="3" w:name="_Toc23462"/>
      <w:bookmarkStart w:id="4" w:name="_Toc131406235"/>
      <w:r>
        <w:rPr>
          <w:rFonts w:hint="eastAsia" w:asciiTheme="minorEastAsia" w:hAnsiTheme="minorEastAsia" w:eastAsiaTheme="minorEastAsia" w:cstheme="minorEastAsia"/>
          <w:color w:val="auto"/>
          <w:szCs w:val="32"/>
          <w:highlight w:val="none"/>
        </w:rPr>
        <w:br w:type="page"/>
      </w:r>
    </w:p>
    <w:p w14:paraId="35D22740">
      <w:pPr>
        <w:pStyle w:val="3"/>
        <w:snapToGrid w:val="0"/>
        <w:spacing w:before="0" w:after="0" w:line="360" w:lineRule="auto"/>
        <w:ind w:firstLine="643"/>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32"/>
          <w:highlight w:val="none"/>
        </w:rPr>
        <w:t>招标公告</w:t>
      </w:r>
      <w:bookmarkEnd w:id="2"/>
      <w:bookmarkEnd w:id="3"/>
      <w:bookmarkEnd w:id="4"/>
    </w:p>
    <w:p w14:paraId="724F9B65">
      <w:pPr>
        <w:widowControl/>
        <w:snapToGrid w:val="0"/>
        <w:spacing w:line="360" w:lineRule="auto"/>
        <w:jc w:val="left"/>
        <w:rPr>
          <w:rFonts w:asciiTheme="minorEastAsia" w:hAnsiTheme="minorEastAsia" w:eastAsiaTheme="minorEastAsia" w:cstheme="minorEastAsia"/>
          <w:b/>
          <w:color w:val="auto"/>
          <w:kern w:val="0"/>
          <w:sz w:val="24"/>
          <w:szCs w:val="24"/>
          <w:highlight w:val="none"/>
          <w:lang w:bidi="en-US"/>
        </w:rPr>
      </w:pPr>
      <w:r>
        <w:rPr>
          <w:rFonts w:hint="eastAsia" w:asciiTheme="minorEastAsia" w:hAnsiTheme="minorEastAsia" w:eastAsiaTheme="minorEastAsia" w:cstheme="minorEastAsia"/>
          <w:b/>
          <w:color w:val="auto"/>
          <w:kern w:val="0"/>
          <w:sz w:val="24"/>
          <w:szCs w:val="24"/>
          <w:highlight w:val="none"/>
          <w:lang w:bidi="en-US"/>
        </w:rPr>
        <w:t>一、招标条件</w:t>
      </w:r>
    </w:p>
    <w:p w14:paraId="0484F6D3">
      <w:pPr>
        <w:widowControl/>
        <w:snapToGrid w:val="0"/>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color w:val="auto"/>
          <w:sz w:val="24"/>
          <w:szCs w:val="24"/>
          <w:highlight w:val="none"/>
          <w:u w:val="single"/>
        </w:rPr>
        <w:t>中国重汽集团莱芜工厂辊压线废料再利用-新增</w:t>
      </w:r>
      <w:r>
        <w:rPr>
          <w:rFonts w:hint="eastAsia" w:asciiTheme="minorEastAsia" w:hAnsiTheme="minorEastAsia" w:eastAsiaTheme="minorEastAsia" w:cstheme="minorEastAsia"/>
          <w:color w:val="auto"/>
          <w:sz w:val="24"/>
          <w:szCs w:val="24"/>
          <w:highlight w:val="none"/>
          <w:u w:val="single"/>
          <w:lang w:val="en-US" w:eastAsia="zh-CN"/>
        </w:rPr>
        <w:t>行</w:t>
      </w:r>
      <w:r>
        <w:rPr>
          <w:rFonts w:hint="eastAsia" w:asciiTheme="minorEastAsia" w:hAnsiTheme="minorEastAsia" w:eastAsiaTheme="minorEastAsia" w:cstheme="minorEastAsia"/>
          <w:color w:val="auto"/>
          <w:sz w:val="24"/>
          <w:szCs w:val="24"/>
          <w:highlight w:val="none"/>
          <w:u w:val="single"/>
        </w:rPr>
        <w:t>车项目</w:t>
      </w:r>
      <w:r>
        <w:rPr>
          <w:rFonts w:hint="eastAsia" w:asciiTheme="minorEastAsia" w:hAnsiTheme="minorEastAsia" w:eastAsiaTheme="minorEastAsia" w:cstheme="minorEastAsia"/>
          <w:color w:val="auto"/>
          <w:kern w:val="0"/>
          <w:sz w:val="24"/>
          <w:szCs w:val="24"/>
          <w:highlight w:val="none"/>
          <w:lang w:bidi="en-US"/>
        </w:rPr>
        <w:t>，以公开招标的方式进行采购。本项目业主为</w:t>
      </w:r>
      <w:r>
        <w:rPr>
          <w:rFonts w:hint="eastAsia" w:asciiTheme="minorEastAsia" w:hAnsiTheme="minorEastAsia" w:eastAsiaTheme="minorEastAsia" w:cstheme="minorEastAsia"/>
          <w:color w:val="auto"/>
          <w:sz w:val="24"/>
          <w:szCs w:val="24"/>
          <w:highlight w:val="none"/>
          <w:u w:val="single"/>
        </w:rPr>
        <w:t>中国重汽集团济南卡车股份有限公司</w:t>
      </w:r>
      <w:r>
        <w:rPr>
          <w:rFonts w:hint="eastAsia" w:asciiTheme="minorEastAsia" w:hAnsiTheme="minorEastAsia" w:eastAsiaTheme="minorEastAsia" w:cstheme="minorEastAsia"/>
          <w:color w:val="auto"/>
          <w:kern w:val="0"/>
          <w:sz w:val="24"/>
          <w:szCs w:val="24"/>
          <w:highlight w:val="none"/>
          <w:lang w:bidi="en-US"/>
        </w:rPr>
        <w:t>，项目资金来自</w:t>
      </w:r>
      <w:r>
        <w:rPr>
          <w:rFonts w:hint="eastAsia" w:asciiTheme="minorEastAsia" w:hAnsiTheme="minorEastAsia" w:eastAsiaTheme="minorEastAsia" w:cstheme="minorEastAsia"/>
          <w:color w:val="auto"/>
          <w:kern w:val="0"/>
          <w:sz w:val="24"/>
          <w:szCs w:val="24"/>
          <w:highlight w:val="none"/>
          <w:u w:val="single"/>
          <w:lang w:bidi="en-US"/>
        </w:rPr>
        <w:t xml:space="preserve"> 企业自筹 </w:t>
      </w:r>
      <w:r>
        <w:rPr>
          <w:rFonts w:hint="eastAsia" w:asciiTheme="minorEastAsia" w:hAnsiTheme="minorEastAsia" w:eastAsiaTheme="minorEastAsia" w:cstheme="minorEastAsia"/>
          <w:color w:val="auto"/>
          <w:kern w:val="0"/>
          <w:sz w:val="24"/>
          <w:szCs w:val="24"/>
          <w:highlight w:val="none"/>
          <w:lang w:bidi="en-US"/>
        </w:rPr>
        <w:t>，出资比例为</w:t>
      </w:r>
      <w:r>
        <w:rPr>
          <w:rFonts w:hint="eastAsia" w:asciiTheme="minorEastAsia" w:hAnsiTheme="minorEastAsia" w:eastAsiaTheme="minorEastAsia" w:cstheme="minorEastAsia"/>
          <w:color w:val="auto"/>
          <w:kern w:val="0"/>
          <w:sz w:val="24"/>
          <w:szCs w:val="24"/>
          <w:highlight w:val="none"/>
          <w:u w:val="single"/>
          <w:lang w:bidi="en-US"/>
        </w:rPr>
        <w:t xml:space="preserve"> 100% </w:t>
      </w:r>
      <w:r>
        <w:rPr>
          <w:rFonts w:hint="eastAsia" w:asciiTheme="minorEastAsia" w:hAnsiTheme="minorEastAsia" w:eastAsiaTheme="minorEastAsia" w:cstheme="minorEastAsia"/>
          <w:color w:val="auto"/>
          <w:kern w:val="0"/>
          <w:sz w:val="24"/>
          <w:szCs w:val="24"/>
          <w:highlight w:val="none"/>
          <w:lang w:bidi="en-US"/>
        </w:rPr>
        <w:t>。该项目现已具备招标条件，欢迎具备条件的潜在投标人参加投标。</w:t>
      </w:r>
    </w:p>
    <w:p w14:paraId="5B1D2A42">
      <w:pPr>
        <w:widowControl/>
        <w:snapToGrid w:val="0"/>
        <w:spacing w:line="360" w:lineRule="auto"/>
        <w:jc w:val="left"/>
        <w:rPr>
          <w:rFonts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b/>
          <w:bCs/>
          <w:color w:val="auto"/>
          <w:kern w:val="0"/>
          <w:sz w:val="24"/>
          <w:szCs w:val="24"/>
          <w:highlight w:val="none"/>
          <w:lang w:bidi="en-US"/>
        </w:rPr>
        <w:t>二、项目概况与招标范围</w:t>
      </w:r>
    </w:p>
    <w:p w14:paraId="696B13A2">
      <w:pPr>
        <w:pStyle w:val="152"/>
        <w:widowControl/>
        <w:numPr>
          <w:ilvl w:val="0"/>
          <w:numId w:val="4"/>
        </w:numPr>
        <w:adjustRightInd w:val="0"/>
        <w:snapToGrid w:val="0"/>
        <w:spacing w:line="360" w:lineRule="auto"/>
        <w:ind w:firstLine="0" w:firstLineChars="0"/>
        <w:jc w:val="left"/>
        <w:rPr>
          <w:rFonts w:asciiTheme="minorEastAsia" w:hAnsiTheme="minorEastAsia" w:eastAsiaTheme="minorEastAsia" w:cstheme="minorEastAsia"/>
          <w:color w:val="auto"/>
          <w:kern w:val="0"/>
          <w:sz w:val="24"/>
          <w:szCs w:val="24"/>
          <w:highlight w:val="none"/>
          <w:lang w:bidi="en-US"/>
        </w:rPr>
      </w:pPr>
      <w:bookmarkStart w:id="5" w:name="_Toc179632530"/>
      <w:bookmarkEnd w:id="5"/>
      <w:bookmarkStart w:id="6" w:name="_Toc144974482"/>
      <w:bookmarkEnd w:id="6"/>
      <w:bookmarkStart w:id="7" w:name="_Toc152045514"/>
      <w:bookmarkEnd w:id="7"/>
      <w:bookmarkStart w:id="8" w:name="_Toc152042290"/>
      <w:bookmarkEnd w:id="8"/>
      <w:bookmarkStart w:id="9" w:name="_Toc285809451"/>
      <w:bookmarkEnd w:id="9"/>
      <w:r>
        <w:rPr>
          <w:rFonts w:hint="eastAsia" w:asciiTheme="minorEastAsia" w:hAnsiTheme="minorEastAsia" w:eastAsiaTheme="minorEastAsia" w:cstheme="minorEastAsia"/>
          <w:color w:val="auto"/>
          <w:kern w:val="0"/>
          <w:sz w:val="24"/>
          <w:szCs w:val="24"/>
          <w:highlight w:val="none"/>
          <w:lang w:bidi="en-US"/>
        </w:rPr>
        <w:t>项目名称：</w:t>
      </w:r>
      <w:r>
        <w:rPr>
          <w:rFonts w:hint="eastAsia" w:asciiTheme="minorEastAsia" w:hAnsiTheme="minorEastAsia" w:eastAsiaTheme="minorEastAsia" w:cstheme="minorEastAsia"/>
          <w:color w:val="auto"/>
          <w:kern w:val="0"/>
          <w:sz w:val="24"/>
          <w:szCs w:val="24"/>
          <w:highlight w:val="none"/>
          <w:u w:val="single"/>
          <w:lang w:bidi="en-US"/>
        </w:rPr>
        <w:t xml:space="preserve"> 莱芜工厂辊压线废料再利用-新增</w:t>
      </w:r>
      <w:r>
        <w:rPr>
          <w:rFonts w:hint="eastAsia" w:asciiTheme="minorEastAsia" w:hAnsiTheme="minorEastAsia" w:eastAsiaTheme="minorEastAsia" w:cstheme="minorEastAsia"/>
          <w:color w:val="auto"/>
          <w:sz w:val="24"/>
          <w:szCs w:val="24"/>
          <w:highlight w:val="none"/>
          <w:u w:val="single"/>
          <w:lang w:val="en-US" w:eastAsia="zh-CN"/>
        </w:rPr>
        <w:t>行</w:t>
      </w:r>
      <w:r>
        <w:rPr>
          <w:rFonts w:hint="eastAsia" w:asciiTheme="minorEastAsia" w:hAnsiTheme="minorEastAsia" w:eastAsiaTheme="minorEastAsia" w:cstheme="minorEastAsia"/>
          <w:color w:val="auto"/>
          <w:kern w:val="0"/>
          <w:sz w:val="24"/>
          <w:szCs w:val="24"/>
          <w:highlight w:val="none"/>
          <w:u w:val="single"/>
          <w:lang w:bidi="en-US"/>
        </w:rPr>
        <w:t xml:space="preserve">车项目  </w:t>
      </w:r>
    </w:p>
    <w:p w14:paraId="508D3E45">
      <w:pPr>
        <w:pStyle w:val="152"/>
        <w:widowControl/>
        <w:numPr>
          <w:ilvl w:val="0"/>
          <w:numId w:val="4"/>
        </w:numPr>
        <w:adjustRightInd w:val="0"/>
        <w:snapToGrid w:val="0"/>
        <w:spacing w:line="360" w:lineRule="auto"/>
        <w:ind w:firstLine="0" w:firstLineChars="0"/>
        <w:jc w:val="left"/>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en-US"/>
        </w:rPr>
        <w:t>采购形式编号：</w:t>
      </w:r>
      <w:r>
        <w:rPr>
          <w:rFonts w:hint="eastAsia" w:asciiTheme="minorEastAsia" w:hAnsiTheme="minorEastAsia" w:eastAsiaTheme="minorEastAsia" w:cstheme="minorEastAsia"/>
          <w:color w:val="auto"/>
          <w:kern w:val="0"/>
          <w:sz w:val="24"/>
          <w:szCs w:val="24"/>
          <w:highlight w:val="none"/>
          <w:u w:val="single"/>
          <w:lang w:bidi="en-US"/>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en-US"/>
        </w:rPr>
        <w:t xml:space="preserve"> ZBGL2026070497   </w:t>
      </w:r>
      <w:r>
        <w:rPr>
          <w:rFonts w:hint="eastAsia" w:asciiTheme="minorEastAsia" w:hAnsiTheme="minorEastAsia" w:eastAsiaTheme="minorEastAsia" w:cstheme="minorEastAsia"/>
          <w:color w:val="auto"/>
          <w:kern w:val="0"/>
          <w:sz w:val="24"/>
          <w:szCs w:val="24"/>
          <w:highlight w:val="none"/>
          <w:u w:val="single"/>
          <w:lang w:bidi="en-US"/>
        </w:rPr>
        <w:t xml:space="preserve"> </w:t>
      </w:r>
      <w:r>
        <w:rPr>
          <w:rFonts w:hint="eastAsia" w:asciiTheme="minorEastAsia" w:hAnsiTheme="minorEastAsia" w:eastAsiaTheme="minorEastAsia" w:cstheme="minorEastAsia"/>
          <w:color w:val="auto"/>
          <w:kern w:val="0"/>
          <w:sz w:val="24"/>
          <w:szCs w:val="24"/>
          <w:highlight w:val="none"/>
          <w:lang w:bidi="en-US"/>
        </w:rPr>
        <w:t>；</w:t>
      </w:r>
    </w:p>
    <w:p w14:paraId="6430ADA4">
      <w:pPr>
        <w:pStyle w:val="152"/>
        <w:widowControl/>
        <w:numPr>
          <w:ilvl w:val="0"/>
          <w:numId w:val="4"/>
        </w:numPr>
        <w:adjustRightInd w:val="0"/>
        <w:snapToGrid w:val="0"/>
        <w:spacing w:line="360" w:lineRule="auto"/>
        <w:ind w:firstLine="0" w:firstLineChars="0"/>
        <w:jc w:val="left"/>
        <w:rPr>
          <w:rFonts w:hint="eastAsia"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color w:val="auto"/>
          <w:kern w:val="0"/>
          <w:sz w:val="24"/>
          <w:szCs w:val="24"/>
          <w:highlight w:val="none"/>
          <w:lang w:bidi="en-US"/>
        </w:rPr>
        <w:t>项目地点：中国重汽集团济南卡车制造公司莱芜工厂；</w:t>
      </w:r>
    </w:p>
    <w:p w14:paraId="6FB7B307">
      <w:pPr>
        <w:pStyle w:val="152"/>
        <w:widowControl/>
        <w:numPr>
          <w:ilvl w:val="0"/>
          <w:numId w:val="4"/>
        </w:numPr>
        <w:adjustRightInd w:val="0"/>
        <w:snapToGrid w:val="0"/>
        <w:spacing w:line="360" w:lineRule="auto"/>
        <w:ind w:firstLine="0" w:firstLineChars="0"/>
        <w:jc w:val="left"/>
        <w:rPr>
          <w:rFonts w:hint="eastAsia" w:asciiTheme="minorEastAsia" w:hAnsiTheme="minorEastAsia" w:eastAsiaTheme="minorEastAsia" w:cstheme="minorEastAsia"/>
          <w:color w:val="auto"/>
          <w:kern w:val="0"/>
          <w:sz w:val="24"/>
          <w:szCs w:val="24"/>
          <w:highlight w:val="none"/>
          <w:lang w:val="en-US" w:eastAsia="zh-CN" w:bidi="en-US"/>
        </w:rPr>
      </w:pPr>
      <w:r>
        <w:rPr>
          <w:rFonts w:hint="eastAsia" w:asciiTheme="minorEastAsia" w:hAnsiTheme="minorEastAsia" w:eastAsiaTheme="minorEastAsia" w:cstheme="minorEastAsia"/>
          <w:color w:val="auto"/>
          <w:kern w:val="0"/>
          <w:sz w:val="24"/>
          <w:szCs w:val="24"/>
          <w:highlight w:val="none"/>
          <w:lang w:val="en-US" w:eastAsia="zh-CN" w:bidi="en-US"/>
        </w:rPr>
        <w:t>项目概况：新增欧式电动单梁桥式行车一台，起重量10吨，跨度17.5米，高度6.45米，含滑线27米，轨道54米，以及其他附件，具体内容详见招标文件。</w:t>
      </w:r>
    </w:p>
    <w:p w14:paraId="11D19315">
      <w:pPr>
        <w:pStyle w:val="152"/>
        <w:widowControl/>
        <w:numPr>
          <w:ilvl w:val="0"/>
          <w:numId w:val="4"/>
        </w:numPr>
        <w:adjustRightInd w:val="0"/>
        <w:snapToGrid w:val="0"/>
        <w:spacing w:line="360" w:lineRule="auto"/>
        <w:ind w:firstLine="0" w:firstLineChars="0"/>
        <w:jc w:val="left"/>
        <w:rPr>
          <w:rFonts w:hint="eastAsia"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color w:val="auto"/>
          <w:kern w:val="0"/>
          <w:sz w:val="24"/>
          <w:szCs w:val="24"/>
          <w:highlight w:val="none"/>
          <w:lang w:bidi="en-US"/>
        </w:rPr>
        <w:t>项目工期：投标方应自</w:t>
      </w:r>
      <w:r>
        <w:rPr>
          <w:rFonts w:hint="eastAsia" w:asciiTheme="minorEastAsia" w:hAnsiTheme="minorEastAsia" w:eastAsiaTheme="minorEastAsia" w:cstheme="minorEastAsia"/>
          <w:color w:val="auto"/>
          <w:kern w:val="0"/>
          <w:sz w:val="24"/>
          <w:szCs w:val="24"/>
          <w:highlight w:val="none"/>
          <w:lang w:val="en-US" w:eastAsia="zh-CN" w:bidi="en-US"/>
        </w:rPr>
        <w:t>合同签订</w:t>
      </w:r>
      <w:r>
        <w:rPr>
          <w:rFonts w:hint="eastAsia" w:asciiTheme="minorEastAsia" w:hAnsiTheme="minorEastAsia" w:eastAsiaTheme="minorEastAsia" w:cstheme="minorEastAsia"/>
          <w:color w:val="auto"/>
          <w:kern w:val="0"/>
          <w:sz w:val="24"/>
          <w:szCs w:val="24"/>
          <w:highlight w:val="none"/>
          <w:lang w:bidi="en-US"/>
        </w:rPr>
        <w:t>之日起，</w:t>
      </w:r>
      <w:r>
        <w:rPr>
          <w:rFonts w:hint="eastAsia" w:asciiTheme="minorEastAsia" w:hAnsiTheme="minorEastAsia" w:eastAsiaTheme="minorEastAsia" w:cstheme="minorEastAsia"/>
          <w:color w:val="auto"/>
          <w:kern w:val="0"/>
          <w:sz w:val="24"/>
          <w:szCs w:val="24"/>
          <w:highlight w:val="none"/>
          <w:lang w:val="en-US" w:eastAsia="zh-CN" w:bidi="en-US"/>
        </w:rPr>
        <w:t>9</w:t>
      </w:r>
      <w:r>
        <w:rPr>
          <w:rFonts w:hint="eastAsia" w:asciiTheme="minorEastAsia" w:hAnsiTheme="minorEastAsia" w:eastAsiaTheme="minorEastAsia" w:cstheme="minorEastAsia"/>
          <w:color w:val="auto"/>
          <w:kern w:val="0"/>
          <w:sz w:val="24"/>
          <w:szCs w:val="24"/>
          <w:highlight w:val="none"/>
          <w:lang w:bidi="en-US"/>
        </w:rPr>
        <w:t>0个日历日之内到货</w:t>
      </w:r>
      <w:r>
        <w:rPr>
          <w:rFonts w:hint="eastAsia" w:asciiTheme="minorEastAsia" w:hAnsiTheme="minorEastAsia" w:eastAsiaTheme="minorEastAsia" w:cstheme="minorEastAsia"/>
          <w:color w:val="auto"/>
          <w:kern w:val="0"/>
          <w:sz w:val="24"/>
          <w:szCs w:val="24"/>
          <w:highlight w:val="none"/>
          <w:lang w:val="en-US" w:eastAsia="zh-CN" w:bidi="en-US"/>
        </w:rPr>
        <w:t>并</w:t>
      </w:r>
      <w:r>
        <w:rPr>
          <w:rFonts w:hint="eastAsia" w:asciiTheme="minorEastAsia" w:hAnsiTheme="minorEastAsia" w:eastAsiaTheme="minorEastAsia" w:cstheme="minorEastAsia"/>
          <w:color w:val="auto"/>
          <w:kern w:val="0"/>
          <w:sz w:val="24"/>
          <w:szCs w:val="24"/>
          <w:highlight w:val="none"/>
          <w:lang w:bidi="en-US"/>
        </w:rPr>
        <w:t>完成最终调试。</w:t>
      </w:r>
    </w:p>
    <w:p w14:paraId="50AA6D74">
      <w:pPr>
        <w:widowControl/>
        <w:snapToGrid w:val="0"/>
        <w:spacing w:line="360" w:lineRule="auto"/>
        <w:jc w:val="left"/>
        <w:rPr>
          <w:rFonts w:asciiTheme="minorEastAsia" w:hAnsiTheme="minorEastAsia" w:eastAsiaTheme="minorEastAsia" w:cstheme="minorEastAsia"/>
          <w:b/>
          <w:bCs/>
          <w:color w:val="auto"/>
          <w:kern w:val="0"/>
          <w:sz w:val="24"/>
          <w:szCs w:val="24"/>
          <w:highlight w:val="none"/>
          <w:lang w:bidi="en-US"/>
        </w:rPr>
      </w:pPr>
      <w:r>
        <w:rPr>
          <w:rFonts w:hint="eastAsia" w:asciiTheme="minorEastAsia" w:hAnsiTheme="minorEastAsia" w:eastAsiaTheme="minorEastAsia" w:cstheme="minorEastAsia"/>
          <w:b/>
          <w:bCs/>
          <w:color w:val="auto"/>
          <w:kern w:val="0"/>
          <w:sz w:val="24"/>
          <w:szCs w:val="24"/>
          <w:highlight w:val="none"/>
          <w:lang w:bidi="en-US"/>
        </w:rPr>
        <w:t>三、投标人资格要求</w:t>
      </w:r>
    </w:p>
    <w:p w14:paraId="169C2AE9">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1、公司注册资本不少于500万元（人民币）；具有相关设备制造和销售资质；</w:t>
      </w:r>
    </w:p>
    <w:p w14:paraId="4038AD6E">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2、公司需成立</w:t>
      </w:r>
      <w:r>
        <w:rPr>
          <w:rFonts w:hint="eastAsia" w:asciiTheme="minorEastAsia" w:hAnsiTheme="minorEastAsia" w:eastAsiaTheme="minorEastAsia" w:cstheme="minorEastAsia"/>
          <w:color w:val="auto"/>
          <w:highlight w:val="none"/>
          <w:lang w:val="en-US"/>
        </w:rPr>
        <w:t>三</w:t>
      </w:r>
      <w:r>
        <w:rPr>
          <w:rFonts w:hint="eastAsia" w:asciiTheme="minorEastAsia" w:hAnsiTheme="minorEastAsia" w:eastAsiaTheme="minorEastAsia" w:cstheme="minorEastAsia"/>
          <w:color w:val="auto"/>
          <w:highlight w:val="none"/>
        </w:rPr>
        <w:t>年以上，或有相关工作经历和成功的工程案例；</w:t>
      </w:r>
    </w:p>
    <w:p w14:paraId="0A13C8A5">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3、在社会上和重汽集团内的其它招标过程中没有不良行为记录；无招标违规、谎报年度报告信息、提供虚假资质资料等行为和行政处罚记录；</w:t>
      </w:r>
    </w:p>
    <w:p w14:paraId="2719F5CD">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4、公司财务良好，经营稳定，有全面履约的能力；供方之间有良好的竞争关系；</w:t>
      </w:r>
    </w:p>
    <w:p w14:paraId="71636DFC">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5、投标单位应具有良好的商业信誉，没有被处于责令停产、财产被冻结、接管、破产、且财务状况良好。投标单位未在“信用中国”网站（www.creditchina.gov.cn）或各级信用信息共享平台列入失信被执行人名单。</w:t>
      </w:r>
    </w:p>
    <w:p w14:paraId="54CD3012">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6、投标方的直接或间接股东、法定代表人、董事、监事、高管非重汽员工及其亲属；</w:t>
      </w:r>
    </w:p>
    <w:p w14:paraId="72AE1E13">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7、应签订“安全协议书”明确双方安全责任与义务；</w:t>
      </w:r>
    </w:p>
    <w:p w14:paraId="1C1A16DD">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8、施工队伍中主要作业人员必须具有合规的特种设备作业人员证，主要负责人应持有特种设备安全管理人员证；危险作业（登高、动火、临时线等）应经审批后实施。</w:t>
      </w:r>
    </w:p>
    <w:p w14:paraId="6F545471">
      <w:pPr>
        <w:pStyle w:val="25"/>
        <w:ind w:firstLine="480" w:firstLineChars="200"/>
        <w:rPr>
          <w:rFonts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9、招标采购项目采用供应商直销模式进行采购，原则上不允许代理商投标</w:t>
      </w:r>
      <w:r>
        <w:rPr>
          <w:rFonts w:hint="eastAsia" w:asciiTheme="minorEastAsia" w:hAnsiTheme="minorEastAsia" w:eastAsiaTheme="minorEastAsia" w:cstheme="minorEastAsia"/>
          <w:b/>
          <w:bCs/>
          <w:color w:val="auto"/>
          <w:highlight w:val="none"/>
        </w:rPr>
        <w:t>。</w:t>
      </w:r>
    </w:p>
    <w:p w14:paraId="15CA38D6">
      <w:pPr>
        <w:widowControl/>
        <w:snapToGrid w:val="0"/>
        <w:spacing w:line="360" w:lineRule="auto"/>
        <w:jc w:val="left"/>
        <w:rPr>
          <w:rFonts w:asciiTheme="minorEastAsia" w:hAnsiTheme="minorEastAsia" w:eastAsiaTheme="minorEastAsia" w:cstheme="minorEastAsia"/>
          <w:b/>
          <w:bCs/>
          <w:color w:val="auto"/>
          <w:kern w:val="0"/>
          <w:sz w:val="24"/>
          <w:szCs w:val="24"/>
          <w:highlight w:val="none"/>
          <w:lang w:bidi="en-US"/>
        </w:rPr>
      </w:pPr>
      <w:r>
        <w:rPr>
          <w:rFonts w:hint="eastAsia" w:asciiTheme="minorEastAsia" w:hAnsiTheme="minorEastAsia" w:eastAsiaTheme="minorEastAsia" w:cstheme="minorEastAsia"/>
          <w:b/>
          <w:bCs/>
          <w:color w:val="auto"/>
          <w:kern w:val="0"/>
          <w:sz w:val="24"/>
          <w:szCs w:val="24"/>
          <w:highlight w:val="none"/>
          <w:lang w:bidi="en-US"/>
        </w:rPr>
        <w:t>四、报名、投标</w:t>
      </w:r>
    </w:p>
    <w:p w14:paraId="6D0E514D">
      <w:pPr>
        <w:keepNext/>
        <w:keepLines/>
        <w:spacing w:line="360" w:lineRule="auto"/>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1.报名</w:t>
      </w:r>
    </w:p>
    <w:p w14:paraId="28DF5A8F">
      <w:pPr>
        <w:pStyle w:val="236"/>
        <w:overflowPunct/>
        <w:ind w:firstLine="480" w:firstLineChars="200"/>
        <w:jc w:val="both"/>
        <w:rPr>
          <w:rFonts w:hAnsi="宋体" w:eastAsia="宋体" w:cs="宋体"/>
          <w:color w:val="auto"/>
          <w:szCs w:val="24"/>
          <w:highlight w:val="none"/>
        </w:rPr>
      </w:pPr>
      <w:r>
        <w:rPr>
          <w:rFonts w:hint="eastAsia" w:eastAsia="宋体" w:cs="宋体"/>
          <w:color w:val="auto"/>
          <w:szCs w:val="24"/>
          <w:highlight w:val="none"/>
        </w:rPr>
        <w:t>拟投标人根据招标人在中国重汽官网</w:t>
      </w:r>
      <w:r>
        <w:rPr>
          <w:rFonts w:hint="eastAsia" w:eastAsia="宋体" w:cs="宋体"/>
          <w:color w:val="auto"/>
          <w:szCs w:val="24"/>
          <w:highlight w:val="none"/>
          <w:lang w:val="en-US"/>
        </w:rPr>
        <w:t>公开媒体</w:t>
      </w:r>
      <w:r>
        <w:rPr>
          <w:rFonts w:hint="eastAsia" w:eastAsia="宋体" w:cs="宋体"/>
          <w:color w:val="auto"/>
          <w:szCs w:val="24"/>
          <w:highlight w:val="none"/>
        </w:rPr>
        <w:t>上发布的招标信息，</w:t>
      </w:r>
      <w:r>
        <w:rPr>
          <w:rFonts w:hint="eastAsia" w:eastAsia="宋体"/>
          <w:color w:val="auto"/>
          <w:szCs w:val="24"/>
          <w:highlight w:val="none"/>
          <w:lang w:val="en-US"/>
        </w:rPr>
        <w:t>在“中国重汽e采通”平台</w:t>
      </w:r>
      <w:r>
        <w:rPr>
          <w:rFonts w:hint="eastAsia" w:eastAsia="宋体"/>
          <w:color w:val="auto"/>
          <w:szCs w:val="24"/>
          <w:highlight w:val="none"/>
        </w:rPr>
        <w:t>报名</w:t>
      </w:r>
      <w:r>
        <w:rPr>
          <w:rFonts w:hint="eastAsia"/>
          <w:color w:val="auto"/>
          <w:szCs w:val="24"/>
          <w:highlight w:val="none"/>
        </w:rPr>
        <w:t>，</w:t>
      </w:r>
      <w:r>
        <w:rPr>
          <w:rFonts w:hint="eastAsia"/>
          <w:color w:val="auto"/>
          <w:szCs w:val="24"/>
          <w:highlight w:val="none"/>
          <w:lang w:val="en-US"/>
        </w:rPr>
        <w:t>具体流程如下：</w:t>
      </w:r>
      <w:r>
        <w:rPr>
          <w:rFonts w:hAnsi="宋体" w:eastAsia="宋体" w:cs="宋体"/>
          <w:color w:val="auto"/>
          <w:szCs w:val="24"/>
          <w:highlight w:val="none"/>
        </w:rPr>
        <w:br w:type="textWrapping"/>
      </w:r>
      <w:r>
        <w:rPr>
          <w:rFonts w:hAnsi="宋体" w:eastAsia="宋体" w:cs="宋体"/>
          <w:b/>
          <w:bCs/>
          <w:color w:val="auto"/>
          <w:szCs w:val="24"/>
          <w:highlight w:val="none"/>
        </w:rPr>
        <w:t>①系统注册与信息维护</w:t>
      </w:r>
      <w:r>
        <w:rPr>
          <w:rFonts w:hAnsi="宋体" w:eastAsia="宋体" w:cs="宋体"/>
          <w:color w:val="auto"/>
          <w:szCs w:val="24"/>
          <w:highlight w:val="none"/>
        </w:rPr>
        <w:br w:type="textWrapping"/>
      </w:r>
      <w:r>
        <w:rPr>
          <w:rFonts w:hAnsi="宋体" w:eastAsia="宋体" w:cs="宋体"/>
          <w:color w:val="auto"/>
          <w:szCs w:val="24"/>
          <w:highlight w:val="none"/>
        </w:rPr>
        <w:t></w:t>
      </w:r>
      <w:r>
        <w:rPr>
          <w:rFonts w:hAnsi="宋体" w:eastAsia="宋体" w:cs="宋体"/>
          <w:b/>
          <w:bCs/>
          <w:color w:val="auto"/>
          <w:szCs w:val="24"/>
          <w:highlight w:val="none"/>
        </w:rPr>
        <w:t>首次注册供应商</w:t>
      </w:r>
      <w:r>
        <w:rPr>
          <w:rFonts w:hAnsi="宋体" w:eastAsia="宋体" w:cs="宋体"/>
          <w:color w:val="auto"/>
          <w:szCs w:val="24"/>
          <w:highlight w:val="none"/>
        </w:rPr>
        <w:t>：请根据《SRM非生产供应商注册手册》（附件</w:t>
      </w:r>
      <w:r>
        <w:rPr>
          <w:rFonts w:hint="eastAsia" w:hAnsi="宋体" w:eastAsia="宋体" w:cs="宋体"/>
          <w:color w:val="auto"/>
          <w:szCs w:val="24"/>
          <w:highlight w:val="none"/>
          <w:lang w:val="en-US"/>
        </w:rPr>
        <w:t>一</w:t>
      </w:r>
      <w:r>
        <w:rPr>
          <w:rFonts w:hAnsi="宋体" w:eastAsia="宋体" w:cs="宋体"/>
          <w:color w:val="auto"/>
          <w:szCs w:val="24"/>
          <w:highlight w:val="none"/>
        </w:rPr>
        <w:t>）完成平台账号注册。</w:t>
      </w:r>
      <w:r>
        <w:rPr>
          <w:rFonts w:hAnsi="宋体" w:eastAsia="宋体" w:cs="宋体"/>
          <w:color w:val="auto"/>
          <w:szCs w:val="24"/>
          <w:highlight w:val="none"/>
        </w:rPr>
        <w:br w:type="textWrapping"/>
      </w:r>
      <w:r>
        <w:rPr>
          <w:rFonts w:hAnsi="宋体" w:eastAsia="宋体" w:cs="宋体"/>
          <w:color w:val="auto"/>
          <w:szCs w:val="24"/>
          <w:highlight w:val="none"/>
        </w:rPr>
        <w:t></w:t>
      </w:r>
      <w:r>
        <w:rPr>
          <w:rFonts w:hAnsi="宋体" w:eastAsia="宋体" w:cs="宋体"/>
          <w:b/>
          <w:bCs/>
          <w:color w:val="auto"/>
          <w:szCs w:val="24"/>
          <w:highlight w:val="none"/>
        </w:rPr>
        <w:t>已注册供应商</w:t>
      </w:r>
      <w:r>
        <w:rPr>
          <w:rFonts w:hAnsi="宋体" w:eastAsia="宋体" w:cs="宋体"/>
          <w:color w:val="auto"/>
          <w:szCs w:val="24"/>
          <w:highlight w:val="none"/>
        </w:rPr>
        <w:t>：请登录系统核对系统中2022-2024年度财务数据。如尚未填写或信息不全，请参照《SRM非生产供应商注册手册》（附件</w:t>
      </w:r>
      <w:r>
        <w:rPr>
          <w:rFonts w:hint="eastAsia" w:hAnsi="宋体" w:eastAsia="宋体" w:cs="宋体"/>
          <w:color w:val="auto"/>
          <w:szCs w:val="24"/>
          <w:highlight w:val="none"/>
          <w:lang w:val="en-US"/>
        </w:rPr>
        <w:t>二</w:t>
      </w:r>
      <w:r>
        <w:rPr>
          <w:rFonts w:hAnsi="宋体" w:eastAsia="宋体" w:cs="宋体"/>
          <w:color w:val="auto"/>
          <w:szCs w:val="24"/>
          <w:highlight w:val="none"/>
        </w:rPr>
        <w:t>）及时进行补充与更新，确保信息真实、完整。因供应商信息不全或错误导致的报名不成功，由投标人自行承担</w:t>
      </w:r>
      <w:r>
        <w:rPr>
          <w:rFonts w:hint="eastAsia" w:hAnsi="宋体" w:cs="宋体"/>
          <w:color w:val="auto"/>
          <w:szCs w:val="24"/>
          <w:highlight w:val="none"/>
        </w:rPr>
        <w:t>。</w:t>
      </w:r>
      <w:r>
        <w:rPr>
          <w:rFonts w:hAnsi="宋体" w:eastAsia="宋体" w:cs="宋体"/>
          <w:color w:val="auto"/>
          <w:szCs w:val="24"/>
          <w:highlight w:val="none"/>
        </w:rPr>
        <w:br w:type="textWrapping"/>
      </w:r>
      <w:r>
        <w:rPr>
          <w:rFonts w:hAnsi="宋体" w:eastAsia="宋体" w:cs="宋体"/>
          <w:b/>
          <w:bCs/>
          <w:color w:val="auto"/>
          <w:szCs w:val="24"/>
          <w:highlight w:val="none"/>
        </w:rPr>
        <w:t>②应标流程</w:t>
      </w:r>
    </w:p>
    <w:p w14:paraId="7EAC7443">
      <w:pPr>
        <w:pStyle w:val="236"/>
        <w:overflowPunct/>
        <w:ind w:firstLine="480" w:firstLineChars="200"/>
        <w:jc w:val="both"/>
        <w:rPr>
          <w:rFonts w:hAnsi="宋体" w:eastAsia="宋体" w:cs="宋体"/>
          <w:color w:val="auto"/>
          <w:szCs w:val="24"/>
          <w:highlight w:val="none"/>
        </w:rPr>
      </w:pPr>
      <w:r>
        <w:rPr>
          <w:rFonts w:hAnsi="宋体" w:eastAsia="宋体" w:cs="宋体"/>
          <w:color w:val="auto"/>
          <w:szCs w:val="24"/>
          <w:highlight w:val="none"/>
        </w:rPr>
        <w:t>注册及财务数据维护完成后，参照《SRM系统供应商用户手册》（附件</w:t>
      </w:r>
      <w:r>
        <w:rPr>
          <w:rFonts w:hint="eastAsia" w:hAnsi="宋体" w:eastAsia="宋体" w:cs="宋体"/>
          <w:color w:val="auto"/>
          <w:szCs w:val="24"/>
          <w:highlight w:val="none"/>
          <w:lang w:val="en-US"/>
        </w:rPr>
        <w:t>三</w:t>
      </w:r>
      <w:r>
        <w:rPr>
          <w:rFonts w:hAnsi="宋体" w:eastAsia="宋体" w:cs="宋体"/>
          <w:color w:val="auto"/>
          <w:szCs w:val="24"/>
          <w:highlight w:val="none"/>
        </w:rPr>
        <w:t>）登录平台，进入“供应商应标”模块，选择对应项目点击“应标”，并按照本公告</w:t>
      </w:r>
      <w:r>
        <w:rPr>
          <w:rFonts w:hint="eastAsia" w:hAnsi="宋体" w:cs="宋体"/>
          <w:color w:val="auto"/>
          <w:szCs w:val="24"/>
          <w:highlight w:val="none"/>
          <w:lang w:val="en-US"/>
        </w:rPr>
        <w:t>的</w:t>
      </w:r>
      <w:r>
        <w:rPr>
          <w:rFonts w:hAnsi="宋体" w:eastAsia="宋体" w:cs="宋体"/>
          <w:color w:val="auto"/>
          <w:szCs w:val="24"/>
          <w:highlight w:val="none"/>
        </w:rPr>
        <w:t>“应标文件编制”要求准备资料并上传。资质审查通过后，视为报名成功（是否为代理商请如实选择）。</w:t>
      </w:r>
    </w:p>
    <w:p w14:paraId="4F6B1F0C">
      <w:pPr>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如资质审查未通过，请按审核意见修改后重新上传。请注意：应标截止时间后将无法再次上传或修改应标文件。</w:t>
      </w:r>
    </w:p>
    <w:p w14:paraId="44913F1B">
      <w:pPr>
        <w:spacing w:line="360" w:lineRule="auto"/>
        <w:ind w:firstLine="480" w:firstLineChars="200"/>
        <w:rPr>
          <w:rFonts w:ascii="宋体" w:hAnsi="宋体" w:cs="宋体"/>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投标人应按资质文件格式要求组成</w:t>
      </w:r>
      <w:r>
        <w:rPr>
          <w:rFonts w:hint="eastAsia" w:asciiTheme="minorEastAsia" w:hAnsiTheme="minorEastAsia" w:eastAsiaTheme="minorEastAsia" w:cstheme="minorEastAsia"/>
          <w:b/>
          <w:color w:val="auto"/>
          <w:sz w:val="24"/>
          <w:szCs w:val="24"/>
          <w:highlight w:val="none"/>
        </w:rPr>
        <w:t>应标资质文件</w:t>
      </w:r>
      <w:r>
        <w:rPr>
          <w:rFonts w:hint="eastAsia" w:asciiTheme="minorEastAsia" w:hAnsiTheme="minorEastAsia" w:eastAsiaTheme="minorEastAsia" w:cstheme="minorEastAsia"/>
          <w:bCs/>
          <w:color w:val="auto"/>
          <w:sz w:val="24"/>
          <w:szCs w:val="24"/>
          <w:highlight w:val="none"/>
        </w:rPr>
        <w:t>（对以下所要求的投标文件如有任何一项未实质性响应，将可能导致其投标文件被拒绝）</w:t>
      </w:r>
      <w:r>
        <w:rPr>
          <w:rFonts w:hint="eastAsia" w:asciiTheme="minorEastAsia" w:hAnsiTheme="minorEastAsia" w:eastAsiaTheme="minorEastAsia" w:cstheme="minorEastAsia"/>
          <w:b/>
          <w:color w:val="auto"/>
          <w:sz w:val="24"/>
          <w:szCs w:val="24"/>
          <w:highlight w:val="none"/>
        </w:rPr>
        <w:t>要求每页都需加盖公章</w:t>
      </w:r>
      <w:r>
        <w:rPr>
          <w:rFonts w:hint="eastAsia" w:ascii="宋体" w:hAnsi="宋体" w:cs="宋体"/>
          <w:color w:val="auto"/>
          <w:sz w:val="24"/>
          <w:szCs w:val="24"/>
          <w:highlight w:val="none"/>
        </w:rPr>
        <w:t>：</w:t>
      </w:r>
    </w:p>
    <w:p w14:paraId="5D55DE9C">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①营业执照复印件（需加盖公章）；</w:t>
      </w:r>
    </w:p>
    <w:p w14:paraId="4A1DD5D3">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5A9E4B5D">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③202</w:t>
      </w:r>
      <w:r>
        <w:rPr>
          <w:rFonts w:hint="eastAsia" w:asciiTheme="minorEastAsia" w:hAnsiTheme="minorEastAsia" w:eastAsiaTheme="minorEastAsia" w:cstheme="minorEastAsia"/>
          <w:bCs/>
          <w:color w:val="auto"/>
          <w:szCs w:val="24"/>
          <w:highlight w:val="none"/>
          <w:lang w:val="en-US" w:eastAsia="zh-CN"/>
        </w:rPr>
        <w:t>3</w:t>
      </w:r>
      <w:r>
        <w:rPr>
          <w:rFonts w:hint="eastAsia" w:asciiTheme="minorEastAsia" w:hAnsiTheme="minorEastAsia" w:eastAsiaTheme="minorEastAsia" w:cstheme="minorEastAsia"/>
          <w:bCs/>
          <w:color w:val="auto"/>
          <w:szCs w:val="24"/>
          <w:highlight w:val="none"/>
          <w:lang w:val="en-US"/>
        </w:rPr>
        <w:t>年1月1日至今，企业近三年同类项目业绩证明，须提供用户清单、采购合同复印件；</w:t>
      </w:r>
    </w:p>
    <w:p w14:paraId="5E4D04D1">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541D1572">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⑤投标人在国家企业信用信息公示系统中无与本项目有关的行政处罚、经营异常和失信信息的声明；（附投标当日系统内相关截图或报告）；</w:t>
      </w:r>
    </w:p>
    <w:p w14:paraId="7B4BD9F3">
      <w:pPr>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⑥</w:t>
      </w:r>
      <w:r>
        <w:rPr>
          <w:rFonts w:hint="eastAsia" w:ascii="宋体" w:hAnsi="宋体" w:cs="宋体"/>
          <w:color w:val="auto"/>
          <w:sz w:val="24"/>
          <w:szCs w:val="24"/>
          <w:highlight w:val="none"/>
        </w:rPr>
        <w:t>企业最近半年的完税证明，并附</w:t>
      </w:r>
      <w:r>
        <w:rPr>
          <w:rFonts w:ascii="宋体" w:hAnsi="宋体" w:cs="宋体"/>
          <w:color w:val="auto"/>
          <w:sz w:val="24"/>
          <w:szCs w:val="24"/>
          <w:highlight w:val="none"/>
        </w:rPr>
        <w:t>年度纳税信用评价信息（可从电子税务局查询截图，需加盖公章）</w:t>
      </w:r>
    </w:p>
    <w:p w14:paraId="7E500239">
      <w:pPr>
        <w:pStyle w:val="20"/>
        <w:spacing w:line="360" w:lineRule="auto"/>
        <w:ind w:firstLine="480" w:firstLineChars="200"/>
        <w:rPr>
          <w:color w:val="auto"/>
          <w:highlight w:val="none"/>
        </w:rPr>
      </w:pPr>
      <w:r>
        <w:rPr>
          <w:rFonts w:hint="eastAsia"/>
          <w:color w:val="auto"/>
          <w:highlight w:val="none"/>
        </w:rPr>
        <w:t>⑦近三年内在经营活动中无与本项目有关的违法及重大违规行为的声明；</w:t>
      </w:r>
    </w:p>
    <w:p w14:paraId="5475EA4B">
      <w:pPr>
        <w:pStyle w:val="20"/>
        <w:spacing w:line="360" w:lineRule="auto"/>
        <w:ind w:firstLine="480" w:firstLineChars="200"/>
        <w:rPr>
          <w:rFonts w:ascii="宋体" w:hAnsi="宋体" w:cs="宋体"/>
          <w:color w:val="auto"/>
          <w:szCs w:val="24"/>
          <w:highlight w:val="none"/>
        </w:rPr>
      </w:pPr>
      <w:r>
        <w:rPr>
          <w:rFonts w:hint="eastAsia"/>
          <w:color w:val="auto"/>
          <w:highlight w:val="none"/>
        </w:rPr>
        <w:t>⑧</w:t>
      </w:r>
      <w:r>
        <w:rPr>
          <w:rFonts w:ascii="宋体" w:hAnsi="宋体" w:cs="宋体"/>
          <w:color w:val="auto"/>
          <w:szCs w:val="24"/>
          <w:highlight w:val="none"/>
        </w:rPr>
        <w:t>企业对外担保说明（写明贵单位对外有无对外担保和质押业务，需加盖公章）</w:t>
      </w:r>
      <w:r>
        <w:rPr>
          <w:rFonts w:hint="eastAsia" w:ascii="宋体" w:hAnsi="宋体" w:cs="宋体"/>
          <w:color w:val="auto"/>
          <w:szCs w:val="24"/>
          <w:highlight w:val="none"/>
        </w:rPr>
        <w:t>；</w:t>
      </w:r>
    </w:p>
    <w:p w14:paraId="2FDF4A80">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⑨企业信用证明材料（征信中心出具的信用报告）；</w:t>
      </w:r>
    </w:p>
    <w:p w14:paraId="0C88D495">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⑩投标保证金缴纳凭证，同时正文描述付款账号、户名、开户行名称、开户行行号、保证金金额。（应标时不做要求，投标时需要随资质文件一起上传）</w:t>
      </w:r>
    </w:p>
    <w:p w14:paraId="366552E8">
      <w:pPr>
        <w:spacing w:line="360" w:lineRule="auto"/>
        <w:ind w:firstLine="482"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
          <w:color w:val="auto"/>
          <w:sz w:val="24"/>
          <w:szCs w:val="24"/>
          <w:highlight w:val="none"/>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color w:val="auto"/>
          <w:sz w:val="24"/>
          <w:szCs w:val="24"/>
          <w:highlight w:val="none"/>
        </w:rPr>
        <w:t>.</w:t>
      </w:r>
    </w:p>
    <w:p w14:paraId="43BCFA68">
      <w:pPr>
        <w:spacing w:line="360" w:lineRule="auto"/>
        <w:ind w:firstLine="482" w:firstLineChars="200"/>
        <w:rPr>
          <w:rFonts w:ascii="宋体" w:hAnsi="Courier New"/>
          <w:color w:val="auto"/>
          <w:sz w:val="24"/>
          <w:szCs w:val="24"/>
          <w:highlight w:val="none"/>
        </w:rPr>
      </w:pPr>
      <w:r>
        <w:rPr>
          <w:rFonts w:hint="eastAsia" w:ascii="宋体" w:hAnsi="Courier New"/>
          <w:b/>
          <w:bCs/>
          <w:color w:val="auto"/>
          <w:sz w:val="24"/>
          <w:szCs w:val="24"/>
          <w:highlight w:val="none"/>
        </w:rPr>
        <w:t>应标截止时间</w:t>
      </w:r>
      <w:r>
        <w:rPr>
          <w:rFonts w:hint="eastAsia"/>
          <w:color w:val="auto"/>
          <w:sz w:val="24"/>
          <w:szCs w:val="24"/>
          <w:highlight w:val="none"/>
        </w:rPr>
        <w:t>：</w:t>
      </w:r>
      <w:r>
        <w:rPr>
          <w:rFonts w:hint="eastAsia" w:cs="宋体"/>
          <w:color w:val="auto"/>
          <w:sz w:val="24"/>
          <w:szCs w:val="24"/>
          <w:highlight w:val="none"/>
        </w:rPr>
        <w:t>2026年</w:t>
      </w:r>
      <w:r>
        <w:rPr>
          <w:rFonts w:hint="eastAsia" w:cs="宋体"/>
          <w:color w:val="auto"/>
          <w:sz w:val="24"/>
          <w:szCs w:val="24"/>
          <w:highlight w:val="none"/>
          <w:lang w:val="en-US" w:eastAsia="zh-CN"/>
        </w:rPr>
        <w:t>8</w:t>
      </w:r>
      <w:r>
        <w:rPr>
          <w:rFonts w:hint="eastAsia" w:cs="宋体"/>
          <w:color w:val="auto"/>
          <w:sz w:val="24"/>
          <w:szCs w:val="24"/>
          <w:highlight w:val="none"/>
        </w:rPr>
        <w:t>月</w:t>
      </w:r>
      <w:r>
        <w:rPr>
          <w:rFonts w:hint="eastAsia" w:cs="宋体"/>
          <w:color w:val="auto"/>
          <w:sz w:val="24"/>
          <w:szCs w:val="24"/>
          <w:highlight w:val="none"/>
          <w:lang w:val="en-US" w:eastAsia="zh-CN"/>
        </w:rPr>
        <w:t>24</w:t>
      </w:r>
      <w:r>
        <w:rPr>
          <w:rFonts w:hint="eastAsia" w:cs="宋体"/>
          <w:color w:val="auto"/>
          <w:sz w:val="24"/>
          <w:szCs w:val="24"/>
          <w:highlight w:val="none"/>
        </w:rPr>
        <w:t>日17时00分00秒</w:t>
      </w:r>
    </w:p>
    <w:p w14:paraId="2F2C2BA2">
      <w:pPr>
        <w:pStyle w:val="236"/>
        <w:overflowPunct/>
        <w:ind w:firstLine="482" w:firstLineChars="200"/>
        <w:jc w:val="both"/>
        <w:rPr>
          <w:rFonts w:eastAsia="宋体"/>
          <w:color w:val="auto"/>
          <w:szCs w:val="24"/>
          <w:highlight w:val="none"/>
          <w:lang w:val="en-US"/>
        </w:rPr>
      </w:pPr>
      <w:r>
        <w:rPr>
          <w:rFonts w:hint="eastAsia" w:eastAsia="宋体" w:cs="宋体"/>
          <w:b/>
          <w:bCs/>
          <w:color w:val="auto"/>
          <w:szCs w:val="24"/>
          <w:highlight w:val="none"/>
        </w:rPr>
        <w:t>注：请务必在应标截止时间前完成注册及应标操作，注册审核需2-4日，</w:t>
      </w:r>
      <w:r>
        <w:rPr>
          <w:rFonts w:hAnsi="宋体" w:eastAsia="宋体" w:cs="宋体"/>
          <w:b/>
          <w:bCs/>
          <w:color w:val="auto"/>
          <w:szCs w:val="24"/>
          <w:highlight w:val="none"/>
        </w:rPr>
        <w:t>财务数据变更审核需1-2日</w:t>
      </w:r>
      <w:r>
        <w:rPr>
          <w:rFonts w:hint="eastAsia" w:hAnsi="宋体" w:cs="宋体"/>
          <w:b/>
          <w:bCs/>
          <w:color w:val="auto"/>
          <w:szCs w:val="24"/>
          <w:highlight w:val="none"/>
        </w:rPr>
        <w:t>，</w:t>
      </w:r>
      <w:r>
        <w:rPr>
          <w:rFonts w:hint="eastAsia" w:eastAsia="宋体" w:cs="宋体"/>
          <w:b/>
          <w:bCs/>
          <w:color w:val="auto"/>
          <w:szCs w:val="24"/>
          <w:highlight w:val="none"/>
        </w:rPr>
        <w:t>应标截止时间精确到秒，逾期将无法应标。请自行掌握时间，避免无法应标。</w:t>
      </w:r>
    </w:p>
    <w:p w14:paraId="610C71D4">
      <w:pPr>
        <w:pStyle w:val="20"/>
        <w:rPr>
          <w:color w:val="auto"/>
          <w:highlight w:val="none"/>
        </w:rPr>
      </w:pPr>
    </w:p>
    <w:p w14:paraId="0C52DCCD">
      <w:pPr>
        <w:pStyle w:val="152"/>
        <w:adjustRightInd w:val="0"/>
        <w:snapToGrid w:val="0"/>
        <w:spacing w:line="360" w:lineRule="auto"/>
        <w:ind w:firstLine="482"/>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2.投标</w:t>
      </w:r>
    </w:p>
    <w:p w14:paraId="1EFC2EFD">
      <w:pPr>
        <w:pStyle w:val="152"/>
        <w:adjustRightInd w:val="0"/>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投标人在重汽e采通网站上应标审批通过后需继续完成供应商投标，</w:t>
      </w:r>
      <w:r>
        <w:rPr>
          <w:rFonts w:hint="eastAsia" w:asciiTheme="minorEastAsia" w:hAnsiTheme="minorEastAsia" w:eastAsiaTheme="minorEastAsia" w:cstheme="minorEastAsia"/>
          <w:b/>
          <w:bCs/>
          <w:color w:val="auto"/>
          <w:sz w:val="24"/>
          <w:szCs w:val="24"/>
          <w:highlight w:val="none"/>
        </w:rPr>
        <w:t>供应商需在投标截止时间前上传投标文件（电子版）至e采通网站投标</w:t>
      </w:r>
      <w:r>
        <w:rPr>
          <w:rFonts w:hint="eastAsia" w:asciiTheme="minorEastAsia" w:hAnsiTheme="minorEastAsia" w:eastAsiaTheme="minorEastAsia" w:cstheme="minorEastAsia"/>
          <w:bCs/>
          <w:color w:val="auto"/>
          <w:sz w:val="24"/>
          <w:szCs w:val="24"/>
          <w:highlight w:val="none"/>
        </w:rPr>
        <w:t>，超过投标截止时间将视为参与失败。</w:t>
      </w:r>
    </w:p>
    <w:p w14:paraId="72565BD1">
      <w:pPr>
        <w:pStyle w:val="152"/>
        <w:adjustRightInd w:val="0"/>
        <w:snapToGrid w:val="0"/>
        <w:spacing w:line="360" w:lineRule="auto"/>
        <w:ind w:firstLine="0" w:firstLineChars="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投标截止时间：</w:t>
      </w:r>
      <w:r>
        <w:rPr>
          <w:rFonts w:hint="eastAsia" w:asciiTheme="minorEastAsia" w:hAnsiTheme="minorEastAsia" w:eastAsiaTheme="minorEastAsia" w:cstheme="minorEastAsia"/>
          <w:b/>
          <w:color w:val="auto"/>
          <w:sz w:val="24"/>
          <w:szCs w:val="24"/>
          <w:highlight w:val="none"/>
        </w:rPr>
        <w:t>2026年</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30</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17</w:t>
      </w:r>
      <w:r>
        <w:rPr>
          <w:rFonts w:hint="eastAsia" w:asciiTheme="minorEastAsia" w:hAnsiTheme="minorEastAsia" w:eastAsiaTheme="minorEastAsia" w:cstheme="minorEastAsia"/>
          <w:b/>
          <w:color w:val="auto"/>
          <w:sz w:val="24"/>
          <w:szCs w:val="24"/>
          <w:highlight w:val="none"/>
        </w:rPr>
        <w:t>:00</w:t>
      </w:r>
    </w:p>
    <w:p w14:paraId="20399576">
      <w:pPr>
        <w:tabs>
          <w:tab w:val="left" w:pos="1050"/>
          <w:tab w:val="left" w:pos="1470"/>
        </w:tabs>
        <w:autoSpaceDE w:val="0"/>
        <w:autoSpaceDN w:val="0"/>
        <w:adjustRightInd w:val="0"/>
        <w:snapToGrid w:val="0"/>
        <w:spacing w:line="360" w:lineRule="auto"/>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五、开标</w:t>
      </w:r>
    </w:p>
    <w:p w14:paraId="331AA87B">
      <w:pPr>
        <w:pStyle w:val="152"/>
        <w:adjustRightInd w:val="0"/>
        <w:snapToGrid w:val="0"/>
        <w:spacing w:line="360" w:lineRule="auto"/>
        <w:ind w:firstLine="0" w:firstLineChars="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1.开标时间：</w:t>
      </w:r>
      <w:r>
        <w:rPr>
          <w:rFonts w:hint="eastAsia" w:asciiTheme="minorEastAsia" w:hAnsiTheme="minorEastAsia" w:eastAsiaTheme="minorEastAsia" w:cstheme="minorEastAsia"/>
          <w:b/>
          <w:color w:val="auto"/>
          <w:sz w:val="24"/>
          <w:szCs w:val="24"/>
          <w:highlight w:val="none"/>
        </w:rPr>
        <w:t>2026年</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31</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:00时。（待定，以实际通知时间为准）</w:t>
      </w:r>
    </w:p>
    <w:p w14:paraId="3E2F50A2">
      <w:pPr>
        <w:pStyle w:val="152"/>
        <w:adjustRightInd w:val="0"/>
        <w:snapToGrid w:val="0"/>
        <w:spacing w:line="360" w:lineRule="auto"/>
        <w:ind w:firstLine="0" w:firstLineChars="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2.开标地点：</w:t>
      </w:r>
      <w:r>
        <w:rPr>
          <w:rFonts w:hint="eastAsia" w:asciiTheme="minorEastAsia" w:hAnsiTheme="minorEastAsia" w:eastAsiaTheme="minorEastAsia" w:cstheme="minorEastAsia"/>
          <w:b/>
          <w:color w:val="auto"/>
          <w:sz w:val="24"/>
          <w:szCs w:val="24"/>
          <w:highlight w:val="none"/>
        </w:rPr>
        <w:t>线上会议</w:t>
      </w:r>
      <w:r>
        <w:rPr>
          <w:rFonts w:hint="eastAsia" w:asciiTheme="minorEastAsia" w:hAnsiTheme="minorEastAsia" w:eastAsiaTheme="minorEastAsia" w:cstheme="minorEastAsia"/>
          <w:color w:val="auto"/>
          <w:sz w:val="24"/>
          <w:szCs w:val="24"/>
          <w:highlight w:val="none"/>
        </w:rPr>
        <w:t>（投标方需要在开标前，将投标保证金缴纳凭证截图发给商务联系人鞠琳，微信号15662671002，获取会议链接）</w:t>
      </w:r>
    </w:p>
    <w:p w14:paraId="54660E34">
      <w:pPr>
        <w:pStyle w:val="152"/>
        <w:adjustRightInd w:val="0"/>
        <w:snapToGrid w:val="0"/>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3.商务联系人：鞠琳 15662671002</w:t>
      </w:r>
    </w:p>
    <w:p w14:paraId="3F3DD319">
      <w:pPr>
        <w:pStyle w:val="152"/>
        <w:adjustRightInd w:val="0"/>
        <w:snapToGrid w:val="0"/>
        <w:spacing w:line="360" w:lineRule="auto"/>
        <w:ind w:firstLine="240" w:firstLineChars="1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技术联系人：张勇 13969065152</w:t>
      </w:r>
    </w:p>
    <w:p w14:paraId="0762020C">
      <w:pPr>
        <w:adjustRightInd w:val="0"/>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六、评标办法</w:t>
      </w:r>
    </w:p>
    <w:p w14:paraId="4520FEF7">
      <w:pPr>
        <w:adjustRightInd w:val="0"/>
        <w:snapToGrid w:val="0"/>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本项目采用综合评标法评标，在满足招标人资格和技术要求的前提下</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sz w:val="24"/>
          <w:szCs w:val="24"/>
          <w:highlight w:val="none"/>
        </w:rPr>
        <w:t>选取商务谈判后议定总价，综合得分最高的为本项目中标人。</w:t>
      </w:r>
    </w:p>
    <w:p w14:paraId="753DFD1E">
      <w:pPr>
        <w:pStyle w:val="152"/>
        <w:adjustRightInd w:val="0"/>
        <w:snapToGrid w:val="0"/>
        <w:spacing w:line="360" w:lineRule="auto"/>
        <w:ind w:firstLine="0" w:firstLineChars="0"/>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1、本次评标e采通上进行报价，评标专家组将与投标人进行多轮商务谈判，每轮谈判价格不得高于上一轮报价。</w:t>
      </w:r>
    </w:p>
    <w:p w14:paraId="6742386C">
      <w:pPr>
        <w:pStyle w:val="152"/>
        <w:adjustRightInd w:val="0"/>
        <w:snapToGrid w:val="0"/>
        <w:spacing w:line="360" w:lineRule="auto"/>
        <w:ind w:firstLine="0" w:firstLineChars="0"/>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2、招标人不接受任何选择性报价，对投标人的每一种投标方案只允许有一个投标价。所有投标价均以人民币报价。</w:t>
      </w:r>
    </w:p>
    <w:p w14:paraId="315FC1DD">
      <w:pPr>
        <w:tabs>
          <w:tab w:val="left" w:pos="1134"/>
        </w:tabs>
        <w:snapToGrid w:val="0"/>
        <w:spacing w:line="360" w:lineRule="auto"/>
        <w:rPr>
          <w:rFonts w:asciiTheme="majorEastAsia" w:hAnsiTheme="majorEastAsia" w:eastAsiaTheme="maj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七、</w:t>
      </w:r>
      <w:r>
        <w:rPr>
          <w:rFonts w:hint="eastAsia" w:asciiTheme="majorEastAsia" w:hAnsiTheme="majorEastAsia" w:eastAsiaTheme="majorEastAsia"/>
          <w:b/>
          <w:color w:val="auto"/>
          <w:sz w:val="24"/>
          <w:szCs w:val="24"/>
          <w:highlight w:val="none"/>
        </w:rPr>
        <w:t>技术要求</w:t>
      </w:r>
    </w:p>
    <w:p w14:paraId="6EBD5091">
      <w:pPr>
        <w:spacing w:line="360" w:lineRule="auto"/>
        <w:ind w:firstLine="482" w:firstLineChars="200"/>
        <w:rPr>
          <w:rFonts w:asciiTheme="minorEastAsia" w:hAnsiTheme="minorEastAsia" w:eastAsiaTheme="minorEastAsia" w:cstheme="minorEastAsia"/>
          <w:b/>
          <w:color w:val="auto"/>
          <w:sz w:val="24"/>
          <w:szCs w:val="24"/>
          <w:highlight w:val="none"/>
        </w:rPr>
      </w:pPr>
      <w:r>
        <w:rPr>
          <w:rFonts w:hint="eastAsia" w:ascii="宋体" w:hAnsi="宋体"/>
          <w:b/>
          <w:bCs/>
          <w:color w:val="auto"/>
          <w:sz w:val="24"/>
          <w:szCs w:val="24"/>
          <w:highlight w:val="none"/>
          <w:lang w:bidi="zh-CN"/>
        </w:rPr>
        <w:t>技术要求详见“技术文件”</w:t>
      </w:r>
    </w:p>
    <w:p w14:paraId="04E09EF8">
      <w:pPr>
        <w:tabs>
          <w:tab w:val="left" w:pos="454"/>
        </w:tabs>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八、投标文件</w:t>
      </w:r>
    </w:p>
    <w:p w14:paraId="07C57EEF">
      <w:pPr>
        <w:tabs>
          <w:tab w:val="left" w:pos="454"/>
        </w:tabs>
        <w:snapToGrid w:val="0"/>
        <w:spacing w:line="360" w:lineRule="auto"/>
        <w:ind w:firstLine="480" w:firstLineChars="20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投标方的投标文件由资格证明文件、商务标书构成。</w:t>
      </w:r>
      <w:r>
        <w:rPr>
          <w:rFonts w:hint="eastAsia" w:asciiTheme="minorEastAsia" w:hAnsiTheme="minorEastAsia" w:eastAsiaTheme="minorEastAsia" w:cstheme="minorEastAsia"/>
          <w:b/>
          <w:color w:val="auto"/>
          <w:sz w:val="24"/>
          <w:szCs w:val="24"/>
          <w:highlight w:val="none"/>
        </w:rPr>
        <w:t>投标人需在投标截止时间前上传完</w:t>
      </w:r>
      <w:r>
        <w:rPr>
          <w:rFonts w:hint="eastAsia" w:asciiTheme="minorEastAsia" w:hAnsiTheme="minorEastAsia" w:eastAsiaTheme="minorEastAsia" w:cstheme="minorEastAsia"/>
          <w:b/>
          <w:bCs/>
          <w:color w:val="auto"/>
          <w:sz w:val="24"/>
          <w:szCs w:val="24"/>
          <w:highlight w:val="none"/>
        </w:rPr>
        <w:t>整的投标文件（电子版）至e采通网站投标。</w:t>
      </w:r>
    </w:p>
    <w:p w14:paraId="33941832">
      <w:pPr>
        <w:pStyle w:val="152"/>
        <w:numPr>
          <w:ilvl w:val="0"/>
          <w:numId w:val="5"/>
        </w:numPr>
        <w:tabs>
          <w:tab w:val="left" w:pos="454"/>
        </w:tabs>
        <w:adjustRightInd w:val="0"/>
        <w:snapToGrid w:val="0"/>
        <w:spacing w:line="360" w:lineRule="auto"/>
        <w:ind w:left="420" w:firstLineChars="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资格证明文件</w:t>
      </w:r>
      <w:r>
        <w:rPr>
          <w:rFonts w:hint="eastAsia" w:asciiTheme="minorEastAsia" w:hAnsiTheme="minorEastAsia" w:eastAsiaTheme="minorEastAsia" w:cstheme="minorEastAsia"/>
          <w:color w:val="auto"/>
          <w:sz w:val="24"/>
          <w:szCs w:val="24"/>
          <w:highlight w:val="none"/>
        </w:rPr>
        <w:t>包括（以下文件均需加盖公章）：</w:t>
      </w:r>
    </w:p>
    <w:p w14:paraId="03348DD4">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①营业执照复印件（需加盖公章）；</w:t>
      </w:r>
    </w:p>
    <w:p w14:paraId="1D24B4B9">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651A6684">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③202</w:t>
      </w:r>
      <w:r>
        <w:rPr>
          <w:rFonts w:hint="eastAsia" w:asciiTheme="minorEastAsia" w:hAnsiTheme="minorEastAsia" w:eastAsiaTheme="minorEastAsia" w:cstheme="minorEastAsia"/>
          <w:bCs/>
          <w:color w:val="auto"/>
          <w:szCs w:val="24"/>
          <w:highlight w:val="none"/>
          <w:lang w:val="en-US" w:eastAsia="zh-CN"/>
        </w:rPr>
        <w:t>3</w:t>
      </w:r>
      <w:r>
        <w:rPr>
          <w:rFonts w:hint="eastAsia" w:asciiTheme="minorEastAsia" w:hAnsiTheme="minorEastAsia" w:eastAsiaTheme="minorEastAsia" w:cstheme="minorEastAsia"/>
          <w:bCs/>
          <w:color w:val="auto"/>
          <w:szCs w:val="24"/>
          <w:highlight w:val="none"/>
          <w:lang w:val="en-US"/>
        </w:rPr>
        <w:t>年1月1日至今，企业近三年同类项目业绩证明，须提供用户清单、采购合同复印件；</w:t>
      </w:r>
    </w:p>
    <w:p w14:paraId="774386C3">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7CE2EE96">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⑤投标人在国家企业信用信息公示系统中无与本项目有关的行政处罚、经营异常和失信信息的声明；（附投标当日系统内相关截图或报告）；</w:t>
      </w:r>
    </w:p>
    <w:p w14:paraId="6DB2A3C9">
      <w:pPr>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⑥</w:t>
      </w:r>
      <w:r>
        <w:rPr>
          <w:rFonts w:hint="eastAsia" w:ascii="宋体" w:hAnsi="宋体" w:cs="宋体"/>
          <w:color w:val="auto"/>
          <w:sz w:val="24"/>
          <w:szCs w:val="24"/>
          <w:highlight w:val="none"/>
        </w:rPr>
        <w:t>企业最近半年的完税证明，并附</w:t>
      </w:r>
      <w:r>
        <w:rPr>
          <w:rFonts w:ascii="宋体" w:hAnsi="宋体" w:cs="宋体"/>
          <w:color w:val="auto"/>
          <w:sz w:val="24"/>
          <w:szCs w:val="24"/>
          <w:highlight w:val="none"/>
        </w:rPr>
        <w:t>年度纳税信用评价信息（可从电子税务局查询截图，需加盖公章）</w:t>
      </w:r>
    </w:p>
    <w:p w14:paraId="7A510A3B">
      <w:pPr>
        <w:pStyle w:val="20"/>
        <w:spacing w:line="360" w:lineRule="auto"/>
        <w:ind w:firstLine="480" w:firstLineChars="200"/>
        <w:rPr>
          <w:color w:val="auto"/>
          <w:highlight w:val="none"/>
        </w:rPr>
      </w:pPr>
      <w:r>
        <w:rPr>
          <w:rFonts w:hint="eastAsia"/>
          <w:color w:val="auto"/>
          <w:highlight w:val="none"/>
        </w:rPr>
        <w:t>⑦近三年内在经营活动中无与本项目有关的违法及重大违规行为的声明；</w:t>
      </w:r>
    </w:p>
    <w:p w14:paraId="1E9301CC">
      <w:pPr>
        <w:pStyle w:val="20"/>
        <w:spacing w:line="360" w:lineRule="auto"/>
        <w:ind w:firstLine="480" w:firstLineChars="200"/>
        <w:rPr>
          <w:rFonts w:ascii="宋体" w:hAnsi="宋体" w:cs="宋体"/>
          <w:color w:val="auto"/>
          <w:szCs w:val="24"/>
          <w:highlight w:val="none"/>
        </w:rPr>
      </w:pPr>
      <w:r>
        <w:rPr>
          <w:rFonts w:hint="eastAsia"/>
          <w:color w:val="auto"/>
          <w:highlight w:val="none"/>
        </w:rPr>
        <w:t>⑧</w:t>
      </w:r>
      <w:r>
        <w:rPr>
          <w:rFonts w:ascii="宋体" w:hAnsi="宋体" w:cs="宋体"/>
          <w:color w:val="auto"/>
          <w:szCs w:val="24"/>
          <w:highlight w:val="none"/>
        </w:rPr>
        <w:t>企业对外担保说明（写明贵单位对外有无对外担保和质押业务，需加盖公章）</w:t>
      </w:r>
      <w:r>
        <w:rPr>
          <w:rFonts w:hint="eastAsia" w:ascii="宋体" w:hAnsi="宋体" w:cs="宋体"/>
          <w:color w:val="auto"/>
          <w:szCs w:val="24"/>
          <w:highlight w:val="none"/>
        </w:rPr>
        <w:t>；</w:t>
      </w:r>
    </w:p>
    <w:p w14:paraId="1E1C126E">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⑨企业信用证明材料（征信中心出具的信用报告）；</w:t>
      </w:r>
    </w:p>
    <w:p w14:paraId="61ABD65C">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⑩投标保证金缴纳凭证，同时正文描述付款账号、户名、开户行名称、开户行行号、保证金金额。（应标时不做要求，需随投标文件一起上传）</w:t>
      </w:r>
    </w:p>
    <w:p w14:paraId="5FB68A7B">
      <w:pPr>
        <w:pStyle w:val="20"/>
        <w:spacing w:line="360" w:lineRule="auto"/>
        <w:ind w:firstLine="480" w:firstLineChars="200"/>
        <w:rPr>
          <w:rFonts w:ascii="宋体" w:hAnsi="宋体" w:cs="宋体"/>
          <w:color w:val="auto"/>
          <w:szCs w:val="24"/>
          <w:highlight w:val="none"/>
        </w:rPr>
      </w:pPr>
    </w:p>
    <w:p w14:paraId="58B3B419">
      <w:pPr>
        <w:pStyle w:val="152"/>
        <w:numPr>
          <w:ilvl w:val="0"/>
          <w:numId w:val="5"/>
        </w:numPr>
        <w:tabs>
          <w:tab w:val="left" w:pos="454"/>
        </w:tabs>
        <w:adjustRightInd w:val="0"/>
        <w:snapToGrid w:val="0"/>
        <w:spacing w:line="360" w:lineRule="auto"/>
        <w:ind w:left="420" w:firstLineChars="0"/>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技术标书</w:t>
      </w:r>
    </w:p>
    <w:p w14:paraId="645DF987">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2.1技术规格偏离表，</w:t>
      </w:r>
      <w:r>
        <w:rPr>
          <w:rFonts w:hint="eastAsia" w:ascii="宋体" w:hAnsi="宋体" w:cs="宋体"/>
          <w:b/>
          <w:color w:val="auto"/>
          <w:sz w:val="24"/>
          <w:szCs w:val="24"/>
          <w:highlight w:val="none"/>
        </w:rPr>
        <w:t>必须先进行两列要求一一对照，不允许直接写无偏离；</w:t>
      </w:r>
    </w:p>
    <w:p w14:paraId="327C5A80">
      <w:pPr>
        <w:spacing w:line="360" w:lineRule="auto"/>
        <w:ind w:firstLine="480" w:firstLineChars="200"/>
        <w:rPr>
          <w:rFonts w:hAnsi="宋体" w:cs="宋体"/>
          <w:b/>
          <w:color w:val="auto"/>
          <w:sz w:val="24"/>
          <w:szCs w:val="24"/>
          <w:highlight w:val="none"/>
        </w:rPr>
      </w:pPr>
      <w:r>
        <w:rPr>
          <w:rFonts w:hint="eastAsia" w:ascii="宋体" w:hAnsi="宋体" w:cs="宋体"/>
          <w:bCs/>
          <w:color w:val="auto"/>
          <w:sz w:val="24"/>
          <w:szCs w:val="24"/>
          <w:highlight w:val="none"/>
        </w:rPr>
        <w:t>2.2</w:t>
      </w:r>
      <w:r>
        <w:rPr>
          <w:rFonts w:hint="eastAsia" w:hAnsi="宋体" w:cs="宋体"/>
          <w:color w:val="auto"/>
          <w:sz w:val="24"/>
          <w:szCs w:val="24"/>
          <w:highlight w:val="none"/>
        </w:rPr>
        <w:t>设备分项配置表，列明项目设备分项配置规格型号、品牌等信息，非标机械部件提供单件图纸，但</w:t>
      </w:r>
      <w:r>
        <w:rPr>
          <w:rFonts w:hint="eastAsia" w:ascii="宋体" w:hAnsi="宋体" w:cs="宋体"/>
          <w:b/>
          <w:color w:val="auto"/>
          <w:sz w:val="24"/>
          <w:szCs w:val="24"/>
          <w:highlight w:val="none"/>
        </w:rPr>
        <w:t>注意：</w:t>
      </w:r>
      <w:r>
        <w:rPr>
          <w:rFonts w:hint="eastAsia" w:hAnsi="宋体" w:cs="宋体"/>
          <w:b/>
          <w:color w:val="auto"/>
          <w:sz w:val="24"/>
          <w:szCs w:val="24"/>
          <w:highlight w:val="none"/>
        </w:rPr>
        <w:t>此表在技术标书中，禁止出现任何分项价格及项目总价；</w:t>
      </w:r>
    </w:p>
    <w:p w14:paraId="0A3DDED8">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2.3企业近年来同类产品的制造销售业绩（用户名单、联系方式），并附合同复印件。该同类项目业绩一览表必</w:t>
      </w:r>
      <w:r>
        <w:rPr>
          <w:rFonts w:hint="eastAsia" w:ascii="宋体" w:hAnsi="宋体" w:cs="宋体"/>
          <w:b/>
          <w:bCs/>
          <w:color w:val="auto"/>
          <w:sz w:val="24"/>
          <w:szCs w:val="24"/>
          <w:highlight w:val="none"/>
        </w:rPr>
        <w:t>须如实填写，应全尽全</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一览表最终的所有业绩合同总额汇总必填</w:t>
      </w:r>
      <w:r>
        <w:rPr>
          <w:rFonts w:hint="eastAsia" w:ascii="宋体" w:hAnsi="宋体" w:cs="宋体"/>
          <w:color w:val="auto"/>
          <w:sz w:val="24"/>
          <w:szCs w:val="24"/>
          <w:highlight w:val="none"/>
        </w:rPr>
        <w:t>，数据将影响现场评标专家组对投标单位的业绩考评。</w:t>
      </w:r>
      <w:r>
        <w:rPr>
          <w:rFonts w:hint="eastAsia" w:ascii="宋体" w:hAnsi="宋体" w:cs="宋体"/>
          <w:b/>
          <w:bCs/>
          <w:color w:val="auto"/>
          <w:sz w:val="24"/>
          <w:szCs w:val="24"/>
          <w:highlight w:val="none"/>
        </w:rPr>
        <w:t>若未提供相应业绩证明，根据技术标评分规则，将影响现场评标专家组对投标单位业绩判定打分</w:t>
      </w:r>
      <w:r>
        <w:rPr>
          <w:rFonts w:hint="eastAsia" w:ascii="宋体" w:hAnsi="宋体" w:cs="宋体"/>
          <w:b/>
          <w:color w:val="auto"/>
          <w:sz w:val="24"/>
          <w:szCs w:val="24"/>
          <w:highlight w:val="none"/>
        </w:rPr>
        <w:t>；</w:t>
      </w:r>
    </w:p>
    <w:p w14:paraId="0307E5F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2.4供货期及保证措施；</w:t>
      </w:r>
    </w:p>
    <w:p w14:paraId="7986021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2.5产品的技术服务和售后服务内容及措施；</w:t>
      </w:r>
    </w:p>
    <w:p w14:paraId="1C6F5F4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2.6交货进度及计划；</w:t>
      </w:r>
    </w:p>
    <w:p w14:paraId="53FA87D8">
      <w:pPr>
        <w:spacing w:line="360" w:lineRule="auto"/>
        <w:ind w:firstLine="480" w:firstLineChars="200"/>
        <w:rPr>
          <w:rFonts w:ascii="宋体" w:hAnsi="宋体" w:cs="宋体"/>
          <w:color w:val="auto"/>
          <w:sz w:val="24"/>
          <w:szCs w:val="24"/>
          <w:highlight w:val="none"/>
        </w:rPr>
      </w:pPr>
      <w:bookmarkStart w:id="10" w:name="_Toc536542319"/>
      <w:r>
        <w:rPr>
          <w:rFonts w:hint="eastAsia" w:ascii="宋体" w:hAnsi="宋体" w:cs="宋体"/>
          <w:color w:val="auto"/>
          <w:sz w:val="24"/>
          <w:szCs w:val="24"/>
          <w:highlight w:val="none"/>
        </w:rPr>
        <w:t>2.7投标产品技术支持材料</w:t>
      </w:r>
      <w:bookmarkEnd w:id="10"/>
      <w:r>
        <w:rPr>
          <w:rFonts w:hint="eastAsia" w:ascii="宋体" w:hAnsi="宋体" w:cs="宋体"/>
          <w:color w:val="auto"/>
          <w:sz w:val="24"/>
          <w:szCs w:val="24"/>
          <w:highlight w:val="none"/>
        </w:rPr>
        <w:t>；</w:t>
      </w:r>
    </w:p>
    <w:p w14:paraId="38CD6A0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2.8设备质量承诺函。</w:t>
      </w:r>
    </w:p>
    <w:p w14:paraId="72D37388">
      <w:pPr>
        <w:spacing w:line="360" w:lineRule="auto"/>
        <w:ind w:firstLine="480" w:firstLineChars="200"/>
        <w:rPr>
          <w:color w:val="auto"/>
          <w:highlight w:val="none"/>
        </w:rPr>
      </w:pPr>
      <w:r>
        <w:rPr>
          <w:rFonts w:hint="eastAsia" w:ascii="宋体" w:hAnsi="宋体" w:cs="宋体"/>
          <w:color w:val="auto"/>
          <w:sz w:val="24"/>
          <w:szCs w:val="24"/>
          <w:highlight w:val="none"/>
        </w:rPr>
        <w:t>2.9投标人需提交的其它资料。</w:t>
      </w:r>
    </w:p>
    <w:p w14:paraId="56F00C42">
      <w:pPr>
        <w:pStyle w:val="20"/>
        <w:rPr>
          <w:color w:val="auto"/>
          <w:highlight w:val="none"/>
        </w:rPr>
      </w:pPr>
    </w:p>
    <w:p w14:paraId="35AA2245">
      <w:pPr>
        <w:pStyle w:val="152"/>
        <w:numPr>
          <w:ilvl w:val="0"/>
          <w:numId w:val="5"/>
        </w:numPr>
        <w:tabs>
          <w:tab w:val="left" w:pos="454"/>
        </w:tabs>
        <w:adjustRightInd w:val="0"/>
        <w:snapToGrid w:val="0"/>
        <w:spacing w:line="360" w:lineRule="auto"/>
        <w:ind w:left="420" w:firstLineChars="0"/>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商务标书</w:t>
      </w:r>
    </w:p>
    <w:p w14:paraId="76E9A0F9">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投标人资格证明文件，证明投标人是合格的和有能力履行合同的文件；证明投标人提供的施工工程及/或服务的合格性和符合招标文件规定的文件；招标文件要求的其它文件；投标人认为其它需要提供的文件。</w:t>
      </w:r>
    </w:p>
    <w:p w14:paraId="137E9089">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1、商务文件基本内容</w:t>
      </w:r>
    </w:p>
    <w:p w14:paraId="06F6B473">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a)投标函</w:t>
      </w:r>
    </w:p>
    <w:p w14:paraId="4DF9140B">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b)开标一览表</w:t>
      </w:r>
    </w:p>
    <w:p w14:paraId="3743FA69">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c)商务条款偏离表及技术需求偏离表（格式见附件4、附件5）（如投标文件的商务或技术条款响应与招标文件有偏离，需在表中注明）</w:t>
      </w:r>
    </w:p>
    <w:p w14:paraId="534A91BD">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d)售后服务及相关承诺类</w:t>
      </w:r>
    </w:p>
    <w:p w14:paraId="4F3681EA">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e)投标人认为需要提供的其它文件和证书</w:t>
      </w:r>
    </w:p>
    <w:p w14:paraId="4EE62B68">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f)营业执照、提供与资质文件相同类似业绩表</w:t>
      </w:r>
    </w:p>
    <w:p w14:paraId="7969680C">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2CE424E">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30FAD50E">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投标人提供的以上材料必须真实有效，任何一项的虚假将导致其投标文件被拒绝。</w:t>
      </w:r>
    </w:p>
    <w:p w14:paraId="24CF6AC4">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投标人参与重汽卡车公司招标项目时根据甲方要求提交资质原件待审。</w:t>
      </w:r>
    </w:p>
    <w:p w14:paraId="45A6183C">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4、商务文件至少应对招标设备（或材料）“商务偏离”做出有无说明，若有，应予以详细填写和说明。</w:t>
      </w:r>
    </w:p>
    <w:p w14:paraId="7F691A43">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5、投标文件不得涂改和增删，如有修改错漏的地方，必须由法人代表或授权代表签字或盖章。</w:t>
      </w:r>
    </w:p>
    <w:p w14:paraId="0E8AA3C0">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6、投标文件因字迹潦草或表达不清所引起的后果由投标人负责。</w:t>
      </w:r>
    </w:p>
    <w:p w14:paraId="2A536FB5">
      <w:pPr>
        <w:tabs>
          <w:tab w:val="left" w:pos="454"/>
        </w:tabs>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九、付款方式</w:t>
      </w:r>
    </w:p>
    <w:p w14:paraId="69CDD723">
      <w:pPr>
        <w:pStyle w:val="25"/>
        <w:ind w:left="660" w:leftChars="200" w:hanging="240" w:hangingChars="1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⑴本次招标为公开招标，报价应为：</w:t>
      </w:r>
    </w:p>
    <w:p w14:paraId="6A3A00C5">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经与招标人或其指派的答疑人员充分沟通确认基础上，由投标人在满足招标人所提出的、与本项目所有相关环节有关的所有费用；</w:t>
      </w:r>
    </w:p>
    <w:p w14:paraId="4DBF5EEC">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⑵所有报价货币单位为：</w:t>
      </w:r>
      <w:r>
        <w:rPr>
          <w:rFonts w:hint="eastAsia" w:asciiTheme="minorEastAsia" w:hAnsiTheme="minorEastAsia" w:eastAsiaTheme="minorEastAsia" w:cstheme="minorEastAsia"/>
          <w:color w:val="auto"/>
          <w:highlight w:val="none"/>
          <w:lang w:val="en-US"/>
        </w:rPr>
        <w:t>万</w:t>
      </w:r>
      <w:r>
        <w:rPr>
          <w:rFonts w:hint="eastAsia" w:asciiTheme="minorEastAsia" w:hAnsiTheme="minorEastAsia" w:eastAsiaTheme="minorEastAsia" w:cstheme="minorEastAsia"/>
          <w:color w:val="auto"/>
          <w:highlight w:val="none"/>
        </w:rPr>
        <w:t>元（人民币），</w:t>
      </w:r>
      <w:r>
        <w:rPr>
          <w:rFonts w:hint="eastAsia" w:asciiTheme="minorEastAsia" w:hAnsiTheme="minorEastAsia" w:eastAsiaTheme="minorEastAsia" w:cstheme="minorEastAsia"/>
          <w:b/>
          <w:bCs/>
          <w:color w:val="auto"/>
          <w:highlight w:val="none"/>
        </w:rPr>
        <w:t>含税</w:t>
      </w:r>
      <w:r>
        <w:rPr>
          <w:rFonts w:hint="eastAsia" w:asciiTheme="minorEastAsia" w:hAnsiTheme="minorEastAsia" w:eastAsiaTheme="minorEastAsia" w:cstheme="minorEastAsia"/>
          <w:color w:val="auto"/>
          <w:highlight w:val="none"/>
        </w:rPr>
        <w:t>；</w:t>
      </w:r>
    </w:p>
    <w:p w14:paraId="73A19B8E">
      <w:pPr>
        <w:pStyle w:val="25"/>
        <w:ind w:firstLine="480" w:firstLineChars="200"/>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⑶付款结算方式：</w:t>
      </w:r>
      <w:r>
        <w:rPr>
          <w:rFonts w:hint="eastAsia" w:asciiTheme="minorEastAsia" w:hAnsiTheme="minorEastAsia" w:eastAsiaTheme="minorEastAsia" w:cstheme="minorEastAsia"/>
          <w:b/>
          <w:bCs/>
          <w:color w:val="auto"/>
          <w:highlight w:val="none"/>
          <w:u w:val="single"/>
        </w:rPr>
        <w:t>半年期商业汇票 （包括银行承兑汇票和商业承兑汇票）。</w:t>
      </w:r>
    </w:p>
    <w:p w14:paraId="61A701A5">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a)合同生效且设备全部到齐</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经检查</w:t>
      </w:r>
      <w:r>
        <w:rPr>
          <w:rFonts w:hint="eastAsia" w:asciiTheme="minorEastAsia" w:hAnsiTheme="minorEastAsia" w:eastAsiaTheme="minorEastAsia" w:cstheme="minorEastAsia"/>
          <w:color w:val="auto"/>
          <w:highlight w:val="none"/>
        </w:rPr>
        <w:t>无质量问题后, 承揽方提交金额为合同含税总价款</w:t>
      </w:r>
      <w:r>
        <w:rPr>
          <w:rFonts w:hint="eastAsia" w:asciiTheme="minorEastAsia" w:hAnsiTheme="minorEastAsia" w:eastAsiaTheme="minorEastAsia" w:cstheme="minorEastAsia"/>
          <w:b/>
          <w:bCs/>
          <w:color w:val="auto"/>
          <w:highlight w:val="none"/>
        </w:rPr>
        <w:t>30%</w:t>
      </w:r>
      <w:r>
        <w:rPr>
          <w:rFonts w:hint="eastAsia" w:asciiTheme="minorEastAsia" w:hAnsiTheme="minorEastAsia" w:eastAsiaTheme="minorEastAsia" w:cstheme="minorEastAsia"/>
          <w:color w:val="auto"/>
          <w:highlight w:val="none"/>
        </w:rPr>
        <w:t>的收据及对应金额的增值税专用发票，经委托方财务审核无误后按照财务付款条件：当月挂账次月付款执行。</w:t>
      </w:r>
    </w:p>
    <w:p w14:paraId="31654EF1">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b)设备全部到齐无质量问题，经安装、调试最终验收合格后，承揽方提交金额为合同含税总价款</w:t>
      </w:r>
      <w:r>
        <w:rPr>
          <w:rFonts w:hint="eastAsia" w:asciiTheme="minorEastAsia" w:hAnsiTheme="minorEastAsia" w:eastAsiaTheme="minorEastAsia" w:cstheme="minorEastAsia"/>
          <w:b/>
          <w:bCs/>
          <w:color w:val="auto"/>
          <w:highlight w:val="none"/>
        </w:rPr>
        <w:t>60%</w:t>
      </w:r>
      <w:r>
        <w:rPr>
          <w:rFonts w:hint="eastAsia" w:asciiTheme="minorEastAsia" w:hAnsiTheme="minorEastAsia" w:eastAsiaTheme="minorEastAsia" w:cstheme="minorEastAsia"/>
          <w:color w:val="auto"/>
          <w:highlight w:val="none"/>
        </w:rPr>
        <w:t>收据及合同含税总价款未付金额的增值税专用发票并附带合同设备最终验收报告，经委托方财务审核无误后按照财务付款条件：当月挂账次月付款执行。</w:t>
      </w:r>
    </w:p>
    <w:p w14:paraId="1C512860">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c)合同含税总价款的</w:t>
      </w:r>
      <w:r>
        <w:rPr>
          <w:rFonts w:hint="eastAsia" w:asciiTheme="minorEastAsia" w:hAnsiTheme="minorEastAsia" w:eastAsiaTheme="minorEastAsia" w:cstheme="minorEastAsia"/>
          <w:b/>
          <w:bCs/>
          <w:color w:val="auto"/>
          <w:highlight w:val="none"/>
        </w:rPr>
        <w:t>10%</w:t>
      </w:r>
      <w:r>
        <w:rPr>
          <w:rFonts w:hint="eastAsia" w:asciiTheme="minorEastAsia" w:hAnsiTheme="minorEastAsia" w:eastAsiaTheme="minorEastAsia" w:cstheme="minorEastAsia"/>
          <w:color w:val="auto"/>
          <w:highlight w:val="none"/>
        </w:rPr>
        <w:t>作为本合同约定设备的质量保证金，质量保证金在质量保证期内不计利息。待合同设备质量保证期满后，承揽方向委托方提交质量保证金收据及设备使用单位的使用情况说明，经委托方财务审核无误后按照财务付款条件：365天到期执行。如有质量问题，质量保证金予以相应扣除。</w:t>
      </w:r>
    </w:p>
    <w:p w14:paraId="016DF025">
      <w:pPr>
        <w:pStyle w:val="25"/>
        <w:ind w:firstLine="482" w:firstLineChars="200"/>
        <w:rPr>
          <w:rFonts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b/>
          <w:bCs/>
          <w:color w:val="auto"/>
          <w:highlight w:val="none"/>
        </w:rPr>
        <w:t>具体以双方最终签署的合同为准。</w:t>
      </w:r>
    </w:p>
    <w:p w14:paraId="3BD250B7">
      <w:pPr>
        <w:pStyle w:val="58"/>
        <w:snapToGrid w:val="0"/>
        <w:spacing w:line="360" w:lineRule="auto"/>
        <w:ind w:firstLine="482" w:firstLineChars="200"/>
        <w:rPr>
          <w:rFonts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注：付款方式和付款比例不允许偏离。</w:t>
      </w:r>
    </w:p>
    <w:p w14:paraId="27BD8DBE">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十、投标保证金</w:t>
      </w:r>
    </w:p>
    <w:p w14:paraId="76BB10AD">
      <w:pPr>
        <w:pStyle w:val="152"/>
        <w:numPr>
          <w:ilvl w:val="0"/>
          <w:numId w:val="6"/>
        </w:numPr>
        <w:tabs>
          <w:tab w:val="left" w:pos="454"/>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宋体" w:hAnsi="宋体" w:cs="宋体"/>
          <w:b/>
          <w:bCs/>
          <w:color w:val="auto"/>
          <w:sz w:val="24"/>
          <w:szCs w:val="24"/>
          <w:highlight w:val="none"/>
        </w:rPr>
        <w:t>投标保证金的缴纳形式：</w:t>
      </w:r>
      <w:r>
        <w:rPr>
          <w:rFonts w:hint="eastAsia" w:ascii="宋体" w:hAnsi="宋体" w:cs="宋体"/>
          <w:color w:val="auto"/>
          <w:sz w:val="24"/>
          <w:szCs w:val="24"/>
          <w:highlight w:val="none"/>
        </w:rPr>
        <w:t>银行基本账户转账</w:t>
      </w:r>
      <w:r>
        <w:rPr>
          <w:rFonts w:hint="eastAsia" w:asciiTheme="minorEastAsia" w:hAnsiTheme="minorEastAsia" w:eastAsiaTheme="minorEastAsia" w:cstheme="minorEastAsia"/>
          <w:color w:val="auto"/>
          <w:sz w:val="24"/>
          <w:szCs w:val="24"/>
          <w:highlight w:val="none"/>
        </w:rPr>
        <w:t>。</w:t>
      </w:r>
    </w:p>
    <w:p w14:paraId="292FCB62">
      <w:pPr>
        <w:pStyle w:val="152"/>
        <w:numPr>
          <w:ilvl w:val="0"/>
          <w:numId w:val="6"/>
        </w:numPr>
        <w:tabs>
          <w:tab w:val="left" w:pos="454"/>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投标保证金缴纳截止时间：</w:t>
      </w:r>
      <w:r>
        <w:rPr>
          <w:rFonts w:hint="eastAsia" w:asciiTheme="minorEastAsia" w:hAnsiTheme="minorEastAsia" w:eastAsiaTheme="minorEastAsia" w:cstheme="minorEastAsia"/>
          <w:b/>
          <w:bCs/>
          <w:color w:val="auto"/>
          <w:sz w:val="24"/>
          <w:szCs w:val="24"/>
          <w:highlight w:val="none"/>
          <w:u w:val="single"/>
        </w:rPr>
        <w:t>2026年</w:t>
      </w:r>
      <w:r>
        <w:rPr>
          <w:rFonts w:hint="eastAsia" w:asciiTheme="minorEastAsia" w:hAnsiTheme="minorEastAsia" w:eastAsiaTheme="minorEastAsia" w:cstheme="minorEastAsia"/>
          <w:b/>
          <w:bCs/>
          <w:color w:val="auto"/>
          <w:sz w:val="24"/>
          <w:szCs w:val="24"/>
          <w:highlight w:val="none"/>
          <w:u w:val="single"/>
          <w:lang w:val="en-US" w:eastAsia="zh-CN"/>
        </w:rPr>
        <w:t>8</w:t>
      </w:r>
      <w:r>
        <w:rPr>
          <w:rFonts w:hint="eastAsia" w:asciiTheme="minorEastAsia" w:hAnsiTheme="minorEastAsia" w:eastAsiaTheme="minorEastAsia" w:cstheme="minorEastAsia"/>
          <w:b/>
          <w:bCs/>
          <w:color w:val="auto"/>
          <w:sz w:val="24"/>
          <w:szCs w:val="24"/>
          <w:highlight w:val="none"/>
          <w:u w:val="single"/>
        </w:rPr>
        <w:t>月</w:t>
      </w:r>
      <w:r>
        <w:rPr>
          <w:rFonts w:hint="eastAsia" w:asciiTheme="minorEastAsia" w:hAnsiTheme="minorEastAsia" w:eastAsiaTheme="minorEastAsia" w:cstheme="minorEastAsia"/>
          <w:b/>
          <w:bCs/>
          <w:color w:val="auto"/>
          <w:sz w:val="24"/>
          <w:szCs w:val="24"/>
          <w:highlight w:val="none"/>
          <w:u w:val="single"/>
          <w:lang w:val="en-US" w:eastAsia="zh-CN"/>
        </w:rPr>
        <w:t>31</w:t>
      </w:r>
      <w:r>
        <w:rPr>
          <w:rFonts w:hint="eastAsia" w:asciiTheme="minorEastAsia" w:hAnsiTheme="minorEastAsia" w:eastAsiaTheme="minorEastAsia" w:cstheme="minorEastAsia"/>
          <w:b/>
          <w:bCs/>
          <w:color w:val="auto"/>
          <w:sz w:val="24"/>
          <w:szCs w:val="24"/>
          <w:highlight w:val="none"/>
          <w:u w:val="single"/>
        </w:rPr>
        <w:t xml:space="preserve">日9:00 </w:t>
      </w:r>
      <w:bookmarkStart w:id="29" w:name="_GoBack"/>
      <w:bookmarkEnd w:id="29"/>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Cs/>
          <w:color w:val="auto"/>
          <w:sz w:val="24"/>
          <w:szCs w:val="24"/>
          <w:highlight w:val="none"/>
          <w:u w:val="single"/>
        </w:rPr>
        <w:t>投标方</w:t>
      </w:r>
      <w:r>
        <w:rPr>
          <w:rFonts w:hint="eastAsia" w:ascii="宋体" w:hAnsi="宋体" w:cs="宋体"/>
          <w:color w:val="auto"/>
          <w:sz w:val="24"/>
          <w:szCs w:val="24"/>
          <w:highlight w:val="none"/>
        </w:rPr>
        <w:t>应充分考虑银行信息交换时间，由此带来的保证金不能按时到帐的责任由投标方自行承担。</w:t>
      </w:r>
    </w:p>
    <w:p w14:paraId="5C71DA33">
      <w:pPr>
        <w:tabs>
          <w:tab w:val="left" w:pos="932"/>
        </w:tabs>
        <w:spacing w:line="360" w:lineRule="auto"/>
        <w:ind w:firstLine="482" w:firstLineChars="200"/>
        <w:rPr>
          <w:rFonts w:ascii="宋体" w:hAnsi="宋体" w:cs="宋体"/>
          <w:color w:val="auto"/>
          <w:sz w:val="24"/>
          <w:szCs w:val="24"/>
          <w:highlight w:val="none"/>
        </w:rPr>
      </w:pPr>
      <w:r>
        <w:rPr>
          <w:rFonts w:hint="eastAsia" w:ascii="宋体" w:hAnsi="宋体" w:cs="宋体"/>
          <w:b/>
          <w:bCs/>
          <w:color w:val="auto"/>
          <w:sz w:val="24"/>
          <w:szCs w:val="24"/>
          <w:highlight w:val="none"/>
        </w:rPr>
        <w:t>投标保证金的金额：</w:t>
      </w:r>
      <w:r>
        <w:rPr>
          <w:rFonts w:hint="eastAsia" w:ascii="宋体" w:hAnsi="宋体" w:cs="宋体"/>
          <w:color w:val="auto"/>
          <w:sz w:val="24"/>
          <w:szCs w:val="24"/>
          <w:highlight w:val="none"/>
        </w:rPr>
        <w:t>人民币5000元</w:t>
      </w:r>
    </w:p>
    <w:p w14:paraId="0B79E8BE">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名称：中国重汽集团济南卡车股份有限公司</w:t>
      </w:r>
    </w:p>
    <w:p w14:paraId="3AE68CC3">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账号：531900051810601</w:t>
      </w:r>
    </w:p>
    <w:p w14:paraId="2E0425CB">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户名：中国重汽集团济南卡车股份有限公司</w:t>
      </w:r>
    </w:p>
    <w:p w14:paraId="5630FE60">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开户银行：招商银行股份有限公司济南分行营业部</w:t>
      </w:r>
    </w:p>
    <w:p w14:paraId="0D7FCF6C">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 xml:space="preserve">联行号：308451028020 </w:t>
      </w:r>
    </w:p>
    <w:p w14:paraId="4709FDF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投标保证金应从投标人的基本账户转出至上述账户并到账，否则视为无效投标。</w:t>
      </w:r>
    </w:p>
    <w:p w14:paraId="58AAA6BE">
      <w:pPr>
        <w:pStyle w:val="152"/>
        <w:tabs>
          <w:tab w:val="left" w:pos="454"/>
          <w:tab w:val="left" w:pos="2433"/>
        </w:tabs>
        <w:snapToGrid w:val="0"/>
        <w:spacing w:line="360" w:lineRule="auto"/>
        <w:ind w:firstLine="480"/>
        <w:rPr>
          <w:rFonts w:asciiTheme="minorEastAsia" w:hAnsiTheme="minorEastAsia" w:eastAsiaTheme="minorEastAsia" w:cstheme="minorEastAsia"/>
          <w:color w:val="auto"/>
          <w:sz w:val="24"/>
          <w:szCs w:val="24"/>
          <w:highlight w:val="none"/>
        </w:rPr>
      </w:pPr>
      <w:r>
        <w:rPr>
          <w:rFonts w:hint="eastAsia"/>
          <w:color w:val="auto"/>
          <w:sz w:val="24"/>
          <w:szCs w:val="28"/>
          <w:highlight w:val="none"/>
        </w:rPr>
        <w:t>转账附言：</w:t>
      </w:r>
      <w:r>
        <w:rPr>
          <w:rFonts w:hint="eastAsia"/>
          <w:b/>
          <w:bCs/>
          <w:color w:val="auto"/>
          <w:sz w:val="24"/>
          <w:szCs w:val="28"/>
          <w:highlight w:val="none"/>
        </w:rPr>
        <w:t>公司名称+项目名称+投标保证金</w:t>
      </w:r>
      <w:r>
        <w:rPr>
          <w:rFonts w:hint="eastAsia"/>
          <w:color w:val="auto"/>
          <w:sz w:val="24"/>
          <w:szCs w:val="28"/>
          <w:highlight w:val="none"/>
        </w:rPr>
        <w:t>。</w:t>
      </w:r>
    </w:p>
    <w:p w14:paraId="42221BFB">
      <w:pPr>
        <w:pStyle w:val="152"/>
        <w:numPr>
          <w:ilvl w:val="0"/>
          <w:numId w:val="6"/>
        </w:numPr>
        <w:tabs>
          <w:tab w:val="left" w:pos="454"/>
          <w:tab w:val="left" w:pos="2433"/>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投标保证金的退还</w:t>
      </w:r>
    </w:p>
    <w:p w14:paraId="563B656B">
      <w:pPr>
        <w:pStyle w:val="152"/>
        <w:numPr>
          <w:ilvl w:val="0"/>
          <w:numId w:val="7"/>
        </w:numPr>
        <w:tabs>
          <w:tab w:val="left" w:pos="454"/>
          <w:tab w:val="left" w:pos="2433"/>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宋体" w:hAnsi="宋体" w:cs="宋体"/>
          <w:color w:val="auto"/>
          <w:sz w:val="24"/>
          <w:szCs w:val="24"/>
          <w:highlight w:val="none"/>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0D49E394">
      <w:pPr>
        <w:pStyle w:val="230"/>
        <w:ind w:firstLine="0" w:firstLineChars="0"/>
        <w:rPr>
          <w:rFonts w:eastAsia="宋体" w:cs="宋体"/>
          <w:color w:val="auto"/>
          <w:highlight w:val="none"/>
        </w:rPr>
      </w:pPr>
      <w:r>
        <w:rPr>
          <w:rFonts w:hint="eastAsia" w:eastAsia="宋体" w:cs="宋体"/>
          <w:color w:val="auto"/>
          <w:highlight w:val="none"/>
          <w:lang w:val="en-US"/>
        </w:rPr>
        <w:t>4.</w:t>
      </w:r>
      <w:r>
        <w:rPr>
          <w:rFonts w:hint="eastAsia" w:eastAsia="宋体" w:cs="宋体"/>
          <w:color w:val="auto"/>
          <w:highlight w:val="none"/>
        </w:rPr>
        <w:t>发生以下情况时，招标人有权没收保证金：</w:t>
      </w:r>
    </w:p>
    <w:p w14:paraId="40751CB5">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1</w:t>
      </w:r>
      <w:r>
        <w:rPr>
          <w:rFonts w:hint="eastAsia" w:eastAsia="宋体" w:cs="宋体"/>
          <w:color w:val="auto"/>
          <w:highlight w:val="none"/>
        </w:rPr>
        <w:t>） 截至开标前3天，投标人无正当理由且未以书面形式递交说明而在投标截止日不来投标的；</w:t>
      </w:r>
    </w:p>
    <w:p w14:paraId="7596DC8F">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2</w:t>
      </w:r>
      <w:r>
        <w:rPr>
          <w:rFonts w:hint="eastAsia" w:eastAsia="宋体" w:cs="宋体"/>
          <w:color w:val="auto"/>
          <w:highlight w:val="none"/>
        </w:rPr>
        <w:t>）投标人递送投标文件后，无正当理由放弃投标的；</w:t>
      </w:r>
    </w:p>
    <w:p w14:paraId="564A910C">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3</w:t>
      </w:r>
      <w:r>
        <w:rPr>
          <w:rFonts w:hint="eastAsia" w:eastAsia="宋体" w:cs="宋体"/>
          <w:color w:val="auto"/>
          <w:highlight w:val="none"/>
        </w:rPr>
        <w:t>）若为视频开标，招标过程中澄清函等资料原件未按要求提交的；</w:t>
      </w:r>
    </w:p>
    <w:p w14:paraId="621A5AD6">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4</w:t>
      </w:r>
      <w:r>
        <w:rPr>
          <w:rFonts w:hint="eastAsia" w:eastAsia="宋体" w:cs="宋体"/>
          <w:color w:val="auto"/>
          <w:highlight w:val="none"/>
        </w:rPr>
        <w:t>）4自中标通知书发出之日起30日内，中标人无正当理由不签订合同的；</w:t>
      </w:r>
    </w:p>
    <w:p w14:paraId="5D976B57">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5</w:t>
      </w:r>
      <w:r>
        <w:rPr>
          <w:rFonts w:hint="eastAsia" w:eastAsia="宋体" w:cs="宋体"/>
          <w:color w:val="auto"/>
          <w:highlight w:val="none"/>
        </w:rPr>
        <w:t>）投标人在投标过程中被查实有串标、围标、陪标等违规违纪行为的；</w:t>
      </w:r>
    </w:p>
    <w:p w14:paraId="665E3EA9">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6</w:t>
      </w:r>
      <w:r>
        <w:rPr>
          <w:rFonts w:hint="eastAsia" w:eastAsia="宋体" w:cs="宋体"/>
          <w:color w:val="auto"/>
          <w:highlight w:val="none"/>
        </w:rPr>
        <w:t>）投标人有违约违规行为或被投诉、举报的，在调查处理期间，保证金暂不退还，待调查处理结束后按有关规定处理。</w:t>
      </w:r>
    </w:p>
    <w:p w14:paraId="7FE08EB8">
      <w:pPr>
        <w:pStyle w:val="230"/>
        <w:ind w:firstLine="480"/>
        <w:rPr>
          <w:rFonts w:eastAsia="宋体" w:cs="宋体"/>
          <w:color w:val="auto"/>
          <w:highlight w:val="none"/>
        </w:rPr>
      </w:pPr>
      <w:r>
        <w:rPr>
          <w:rFonts w:hint="eastAsia" w:eastAsia="宋体" w:cs="宋体"/>
          <w:color w:val="auto"/>
          <w:highlight w:val="none"/>
          <w:lang w:val="en-US"/>
        </w:rPr>
        <w:t>（7）</w:t>
      </w:r>
      <w:r>
        <w:rPr>
          <w:rFonts w:hint="eastAsia" w:eastAsia="宋体" w:cs="宋体"/>
          <w:color w:val="auto"/>
          <w:highlight w:val="none"/>
        </w:rPr>
        <w:t>供应商与采购人、其他供应商或者采购代理机构恶意串通、围标、陪标的；</w:t>
      </w:r>
    </w:p>
    <w:p w14:paraId="1F829276">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（8）供应商有违约违规行为或被投诉、举报的，在调查处理期间，保证金暂不退还，待调查处理结束后按有关规定处理；</w:t>
      </w:r>
    </w:p>
    <w:p w14:paraId="0BFD4048">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（9）采购文件规定的其他情形。</w:t>
      </w:r>
    </w:p>
    <w:p w14:paraId="2D8F6DDC">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十一、中标</w:t>
      </w:r>
    </w:p>
    <w:p w14:paraId="6838B9F0">
      <w:pPr>
        <w:pStyle w:val="152"/>
        <w:numPr>
          <w:ilvl w:val="0"/>
          <w:numId w:val="8"/>
        </w:numPr>
        <w:adjustRightInd w:val="0"/>
        <w:snapToGrid w:val="0"/>
        <w:spacing w:line="360" w:lineRule="auto"/>
        <w:ind w:left="420" w:firstLineChars="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评标定标后，招标人将以书面通知的形式通知中标单位。</w:t>
      </w:r>
    </w:p>
    <w:p w14:paraId="4C725B30">
      <w:pPr>
        <w:pStyle w:val="152"/>
        <w:numPr>
          <w:ilvl w:val="0"/>
          <w:numId w:val="8"/>
        </w:numPr>
        <w:adjustRightInd w:val="0"/>
        <w:snapToGrid w:val="0"/>
        <w:spacing w:line="360" w:lineRule="auto"/>
        <w:ind w:left="420" w:firstLineChars="0"/>
        <w:jc w:val="left"/>
        <w:rPr>
          <w:color w:val="auto"/>
          <w:highlight w:val="none"/>
        </w:rPr>
      </w:pPr>
      <w:r>
        <w:rPr>
          <w:rFonts w:hint="eastAsia" w:asciiTheme="minorEastAsia" w:hAnsiTheme="minorEastAsia" w:eastAsiaTheme="minorEastAsia" w:cstheme="minorEastAsia"/>
          <w:color w:val="auto"/>
          <w:sz w:val="24"/>
          <w:szCs w:val="24"/>
          <w:highlight w:val="none"/>
        </w:rPr>
        <w:t>中标人收到中标通知后，应在30个工作日内与招标人签订合同，中标人无正当理由不与招标人订立合同，或在签订合同时向招标人提出附加条件，取消其中标资格。</w:t>
      </w:r>
    </w:p>
    <w:p w14:paraId="6DFA989C">
      <w:pPr>
        <w:pStyle w:val="152"/>
        <w:numPr>
          <w:ilvl w:val="0"/>
          <w:numId w:val="8"/>
        </w:numPr>
        <w:adjustRightInd w:val="0"/>
        <w:snapToGrid w:val="0"/>
        <w:spacing w:line="360" w:lineRule="auto"/>
        <w:ind w:left="420" w:firstLineChars="0"/>
        <w:jc w:val="left"/>
        <w:rPr>
          <w:rFonts w:asciiTheme="minorEastAsia" w:hAnsiTheme="minorEastAsia" w:eastAsiaTheme="minorEastAsia" w:cstheme="minorEastAsia"/>
          <w:b/>
          <w:color w:val="auto"/>
          <w:sz w:val="24"/>
          <w:szCs w:val="24"/>
          <w:highlight w:val="none"/>
        </w:rPr>
      </w:pPr>
      <w:r>
        <w:rPr>
          <w:rFonts w:hint="eastAsia"/>
          <w:b/>
          <w:color w:val="auto"/>
          <w:highlight w:val="none"/>
        </w:rPr>
        <w:t>若投标人已成为意向中标人，投标人必须无条件配合招标人完成核价流程的工作。</w:t>
      </w:r>
    </w:p>
    <w:p w14:paraId="324D3C53">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十二、中标人瑕疵滞后发现的处理原则</w:t>
      </w:r>
    </w:p>
    <w:p w14:paraId="792FD12C">
      <w:pPr>
        <w:snapToGrid w:val="0"/>
        <w:spacing w:line="360" w:lineRule="auto"/>
        <w:ind w:firstLine="482" w:firstLineChars="200"/>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6477433F">
      <w:pPr>
        <w:keepNext/>
        <w:keepLines/>
        <w:spacing w:line="360" w:lineRule="auto"/>
        <w:outlineLvl w:val="1"/>
        <w:rPr>
          <w:rFonts w:ascii="宋体" w:hAnsi="宋体" w:cs="宋体"/>
          <w:b/>
          <w:bCs/>
          <w:color w:val="auto"/>
          <w:sz w:val="24"/>
          <w:szCs w:val="24"/>
          <w:highlight w:val="none"/>
        </w:rPr>
      </w:pPr>
      <w:r>
        <w:rPr>
          <w:rFonts w:hint="eastAsia" w:asciiTheme="minorEastAsia" w:hAnsiTheme="minorEastAsia" w:eastAsiaTheme="minorEastAsia" w:cstheme="minorEastAsia"/>
          <w:b/>
          <w:color w:val="auto"/>
          <w:sz w:val="24"/>
          <w:szCs w:val="24"/>
          <w:highlight w:val="none"/>
          <w:u w:val="single"/>
        </w:rPr>
        <w:t>十三、</w:t>
      </w:r>
      <w:r>
        <w:rPr>
          <w:rFonts w:hint="eastAsia" w:ascii="宋体" w:hAnsi="宋体" w:cs="宋体"/>
          <w:b/>
          <w:bCs/>
          <w:color w:val="auto"/>
          <w:sz w:val="24"/>
          <w:szCs w:val="24"/>
          <w:highlight w:val="none"/>
        </w:rPr>
        <w:t>废标及终止招标</w:t>
      </w:r>
    </w:p>
    <w:p w14:paraId="39F57C31">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727070">
      <w:pPr>
        <w:spacing w:line="360" w:lineRule="auto"/>
        <w:ind w:right="2"/>
        <w:rPr>
          <w:rFonts w:ascii="宋体" w:hAnsi="宋体" w:cs="宋体"/>
          <w:color w:val="auto"/>
          <w:sz w:val="24"/>
          <w:szCs w:val="24"/>
          <w:highlight w:val="none"/>
        </w:rPr>
      </w:pPr>
      <w:r>
        <w:rPr>
          <w:rFonts w:hint="eastAsia" w:ascii="宋体" w:hAnsi="宋体" w:cs="宋体"/>
          <w:color w:val="auto"/>
          <w:sz w:val="24"/>
          <w:szCs w:val="24"/>
          <w:highlight w:val="none"/>
        </w:rPr>
        <w:t xml:space="preserve">    （1）投标人提供的有关资格、资质证明文件不合格、不真实或提供虚假投标材料；</w:t>
      </w:r>
    </w:p>
    <w:p w14:paraId="563B1479">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（2）投标人在报价有效期内撤回投标；</w:t>
      </w:r>
    </w:p>
    <w:p w14:paraId="2EB36EBB">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（3）在整个评标过程中，投标人有企图影响评标结果公正性的任何活动；</w:t>
      </w:r>
    </w:p>
    <w:p w14:paraId="17E03B72">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（4）投标人以任何方式诋毁其他投标人；</w:t>
      </w:r>
    </w:p>
    <w:p w14:paraId="019E802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（5）投标人串通投标；</w:t>
      </w:r>
    </w:p>
    <w:p w14:paraId="4949882D">
      <w:pPr>
        <w:pStyle w:val="25"/>
        <w:rPr>
          <w:rFonts w:hAnsi="宋体" w:eastAsia="宋体" w:cs="宋体"/>
          <w:color w:val="auto"/>
          <w:szCs w:val="24"/>
          <w:highlight w:val="none"/>
        </w:rPr>
      </w:pPr>
      <w:r>
        <w:rPr>
          <w:rFonts w:hint="eastAsia" w:hAnsi="宋体" w:eastAsia="宋体" w:cs="宋体"/>
          <w:color w:val="auto"/>
          <w:szCs w:val="24"/>
          <w:highlight w:val="none"/>
        </w:rPr>
        <w:t xml:space="preserve">    （6）投标人被举报、检举，并经招标人查实无误的；</w:t>
      </w:r>
    </w:p>
    <w:p w14:paraId="06346D0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（7）以他人名义投标或者以其他方式弄虚作假，骗取中标的；</w:t>
      </w:r>
    </w:p>
    <w:p w14:paraId="7AA5667F">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（8）投标人负责人为同一人或者存在控股、管理关系的不同单位；</w:t>
      </w:r>
    </w:p>
    <w:p w14:paraId="573BA5D2">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（9）有效投标不足三家；</w:t>
      </w:r>
    </w:p>
    <w:p w14:paraId="33A0F31E">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（10）未按要求填报商务报价资料，对招标开展造成较大影响；</w:t>
      </w:r>
    </w:p>
    <w:p w14:paraId="504B9549">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（11）未按照招标人规定的时间内在中国重汽e采通完成投标的；</w:t>
      </w:r>
    </w:p>
    <w:p w14:paraId="66AB1A61">
      <w:pPr>
        <w:pStyle w:val="25"/>
        <w:ind w:firstLine="480" w:firstLineChars="200"/>
        <w:rPr>
          <w:rFonts w:hAnsi="宋体" w:eastAsia="宋体" w:cs="宋体"/>
          <w:color w:val="auto"/>
          <w:szCs w:val="24"/>
          <w:highlight w:val="none"/>
        </w:rPr>
      </w:pPr>
      <w:r>
        <w:rPr>
          <w:rFonts w:hint="eastAsia" w:hAnsi="宋体" w:eastAsia="宋体" w:cs="宋体"/>
          <w:color w:val="auto"/>
          <w:szCs w:val="24"/>
          <w:highlight w:val="none"/>
        </w:rPr>
        <w:t>（12）不同投标人的投标文件异常一致；</w:t>
      </w:r>
    </w:p>
    <w:p w14:paraId="70EC08CA">
      <w:pPr>
        <w:pStyle w:val="25"/>
        <w:ind w:firstLine="480" w:firstLineChars="200"/>
        <w:rPr>
          <w:rFonts w:hAnsi="宋体" w:eastAsia="宋体" w:cs="宋体"/>
          <w:color w:val="auto"/>
          <w:szCs w:val="24"/>
          <w:highlight w:val="none"/>
        </w:rPr>
      </w:pPr>
      <w:r>
        <w:rPr>
          <w:rFonts w:hint="eastAsia" w:hAnsi="宋体" w:eastAsia="宋体" w:cs="宋体"/>
          <w:color w:val="auto"/>
          <w:szCs w:val="24"/>
          <w:highlight w:val="none"/>
        </w:rPr>
        <w:t>（13）投标报价呈规律性差异的；</w:t>
      </w:r>
    </w:p>
    <w:p w14:paraId="0C332C02">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hAnsi="宋体" w:cs="宋体"/>
          <w:color w:val="auto"/>
          <w:sz w:val="24"/>
          <w:szCs w:val="24"/>
          <w:highlight w:val="none"/>
        </w:rPr>
        <w:t>4</w:t>
      </w:r>
      <w:r>
        <w:rPr>
          <w:rFonts w:hint="eastAsia" w:ascii="宋体" w:hAnsi="宋体" w:cs="宋体"/>
          <w:color w:val="auto"/>
          <w:sz w:val="24"/>
          <w:szCs w:val="24"/>
          <w:highlight w:val="none"/>
        </w:rPr>
        <w:t>）法律、法规规定的其他情况。</w:t>
      </w:r>
    </w:p>
    <w:p w14:paraId="0DC9392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2.出现下列情形之一，招标人有权否决所有投标人的投标，并终止招标。</w:t>
      </w:r>
    </w:p>
    <w:p w14:paraId="66035057">
      <w:pPr>
        <w:spacing w:line="360" w:lineRule="auto"/>
        <w:ind w:right="2"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（1）符合条件的投标人或者对招标文件做实质响应的投标人不足三家的；</w:t>
      </w:r>
    </w:p>
    <w:p w14:paraId="695C8128">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（2）出现影响采购公正的违法、违规行为的；</w:t>
      </w:r>
    </w:p>
    <w:p w14:paraId="27AB8130">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（3）评标委员会经评审，认为所有投标都不符合招标文件要求的；</w:t>
      </w:r>
    </w:p>
    <w:p w14:paraId="5685338A">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（4）因重大变故，采购任务取消的</w:t>
      </w:r>
      <w:bookmarkStart w:id="11" w:name="OLE_LINK26"/>
      <w:bookmarkStart w:id="12" w:name="OLE_LINK27"/>
      <w:bookmarkStart w:id="13" w:name="OLE_LINK25"/>
      <w:bookmarkStart w:id="14" w:name="OLE_LINK28"/>
      <w:bookmarkStart w:id="15" w:name="OLE_LINK29"/>
      <w:r>
        <w:rPr>
          <w:rFonts w:hint="eastAsia" w:ascii="宋体" w:hAnsi="宋体" w:cs="宋体"/>
          <w:bCs/>
          <w:color w:val="auto"/>
          <w:sz w:val="24"/>
          <w:szCs w:val="24"/>
          <w:highlight w:val="none"/>
        </w:rPr>
        <w:t>；</w:t>
      </w:r>
      <w:bookmarkEnd w:id="11"/>
      <w:bookmarkEnd w:id="12"/>
      <w:bookmarkEnd w:id="13"/>
      <w:bookmarkEnd w:id="14"/>
      <w:bookmarkEnd w:id="15"/>
    </w:p>
    <w:p w14:paraId="3F9CAF66">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（5）投标人承诺同意由于招标人公司政策变化引起的随时终止项目的要求并承担由此带来的一切损失；</w:t>
      </w:r>
    </w:p>
    <w:p w14:paraId="5017190F">
      <w:pPr>
        <w:pStyle w:val="25"/>
        <w:ind w:firstLine="480" w:firstLineChars="200"/>
        <w:rPr>
          <w:rFonts w:hAnsi="宋体" w:eastAsia="宋体" w:cs="宋体"/>
          <w:bCs/>
          <w:color w:val="auto"/>
          <w:szCs w:val="24"/>
          <w:highlight w:val="none"/>
        </w:rPr>
      </w:pPr>
      <w:r>
        <w:rPr>
          <w:rFonts w:hint="eastAsia" w:hAnsi="宋体" w:eastAsia="宋体" w:cs="宋体"/>
          <w:bCs/>
          <w:color w:val="auto"/>
          <w:szCs w:val="24"/>
          <w:highlight w:val="none"/>
        </w:rPr>
        <w:t>（6）招标人认为其他应终止招标的情形。</w:t>
      </w:r>
    </w:p>
    <w:p w14:paraId="1E83101E">
      <w:pPr>
        <w:snapToGrid w:val="0"/>
        <w:spacing w:line="360" w:lineRule="auto"/>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十四、本次招标最终解释权归中国重型汽车集团有限公司。</w:t>
      </w:r>
    </w:p>
    <w:p w14:paraId="4BEBCA82">
      <w:pPr>
        <w:pStyle w:val="235"/>
        <w:numPr>
          <w:ilvl w:val="0"/>
          <w:numId w:val="0"/>
        </w:numPr>
        <w:overflowPunct/>
        <w:ind w:firstLine="482" w:firstLineChars="200"/>
        <w:rPr>
          <w:rFonts w:ascii="宋体" w:hAnsi="宋体" w:eastAsia="宋体" w:cs="宋体"/>
          <w:color w:val="auto"/>
          <w:sz w:val="24"/>
          <w:szCs w:val="24"/>
          <w:highlight w:val="none"/>
          <w:lang w:val="en-US"/>
        </w:rPr>
      </w:pPr>
      <w:r>
        <w:rPr>
          <w:rFonts w:ascii="宋体" w:hAnsi="宋体" w:eastAsia="宋体" w:cs="宋体"/>
          <w:color w:val="auto"/>
          <w:sz w:val="24"/>
          <w:szCs w:val="24"/>
          <w:highlight w:val="none"/>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color w:val="auto"/>
          <w:sz w:val="24"/>
          <w:szCs w:val="24"/>
          <w:highlight w:val="none"/>
        </w:rPr>
        <w:t>。</w:t>
      </w:r>
    </w:p>
    <w:p w14:paraId="4D01FA49">
      <w:pPr>
        <w:snapToGrid w:val="0"/>
        <w:spacing w:line="360" w:lineRule="auto"/>
        <w:jc w:val="left"/>
        <w:rPr>
          <w:rFonts w:ascii="宋体" w:hAnsi="宋体" w:cs="宋体"/>
          <w:b/>
          <w:color w:val="auto"/>
          <w:sz w:val="44"/>
          <w:szCs w:val="36"/>
          <w:highlight w:val="none"/>
        </w:rPr>
      </w:pPr>
      <w:r>
        <w:rPr>
          <w:rFonts w:hint="eastAsia" w:ascii="宋体" w:hAnsi="宋体" w:cs="宋体"/>
          <w:b/>
          <w:color w:val="auto"/>
          <w:sz w:val="44"/>
          <w:szCs w:val="36"/>
          <w:highlight w:val="none"/>
        </w:rPr>
        <w:br w:type="page"/>
      </w:r>
    </w:p>
    <w:p w14:paraId="437147B6">
      <w:pPr>
        <w:autoSpaceDE w:val="0"/>
        <w:autoSpaceDN w:val="0"/>
        <w:adjustRightInd w:val="0"/>
        <w:snapToGrid w:val="0"/>
        <w:spacing w:line="360" w:lineRule="auto"/>
        <w:jc w:val="center"/>
        <w:rPr>
          <w:rFonts w:ascii="宋体" w:hAnsi="宋体" w:cs="宋体"/>
          <w:b/>
          <w:bCs/>
          <w:color w:val="auto"/>
          <w:sz w:val="44"/>
          <w:szCs w:val="44"/>
          <w:highlight w:val="none"/>
          <w:lang w:bidi="zh-CN"/>
        </w:rPr>
      </w:pPr>
      <w:r>
        <w:rPr>
          <w:rFonts w:hint="eastAsia" w:ascii="宋体" w:hAnsi="宋体" w:cs="宋体"/>
          <w:b/>
          <w:color w:val="auto"/>
          <w:sz w:val="44"/>
          <w:szCs w:val="36"/>
          <w:highlight w:val="none"/>
        </w:rPr>
        <w:t>第二部分</w:t>
      </w:r>
      <w:r>
        <w:rPr>
          <w:rFonts w:hint="eastAsia" w:ascii="宋体" w:hAnsi="宋体" w:cs="宋体"/>
          <w:b/>
          <w:bCs/>
          <w:color w:val="auto"/>
          <w:sz w:val="44"/>
          <w:szCs w:val="44"/>
          <w:highlight w:val="none"/>
          <w:lang w:bidi="zh-CN"/>
        </w:rPr>
        <w:t>技术要求</w:t>
      </w:r>
    </w:p>
    <w:p w14:paraId="4524CD53">
      <w:pPr>
        <w:keepNext/>
        <w:keepLines/>
        <w:spacing w:before="120" w:after="120" w:line="480" w:lineRule="exact"/>
        <w:jc w:val="center"/>
        <w:outlineLvl w:val="1"/>
        <w:rPr>
          <w:rFonts w:ascii="宋体" w:hAnsi="宋体" w:eastAsia="宋体"/>
          <w:b/>
          <w:bCs/>
          <w:color w:val="auto"/>
          <w:kern w:val="44"/>
          <w:sz w:val="28"/>
          <w:szCs w:val="28"/>
          <w:highlight w:val="none"/>
        </w:rPr>
      </w:pPr>
      <w:bookmarkStart w:id="16" w:name="_Toc169605877"/>
      <w:r>
        <w:rPr>
          <w:rFonts w:hint="eastAsia" w:ascii="宋体" w:hAnsi="宋体" w:eastAsia="宋体"/>
          <w:b/>
          <w:bCs/>
          <w:color w:val="auto"/>
          <w:kern w:val="44"/>
          <w:sz w:val="28"/>
          <w:szCs w:val="28"/>
          <w:highlight w:val="none"/>
        </w:rPr>
        <w:t>第一章采购货物概况</w:t>
      </w:r>
      <w:bookmarkEnd w:id="16"/>
    </w:p>
    <w:p w14:paraId="5A865AA9">
      <w:pPr>
        <w:keepNext/>
        <w:keepLines/>
        <w:spacing w:before="120" w:after="120" w:line="480" w:lineRule="exact"/>
        <w:jc w:val="center"/>
        <w:outlineLvl w:val="2"/>
        <w:rPr>
          <w:rFonts w:ascii="宋体" w:hAnsi="宋体" w:eastAsia="宋体"/>
          <w:b/>
          <w:bCs/>
          <w:color w:val="auto"/>
          <w:sz w:val="24"/>
          <w:szCs w:val="24"/>
          <w:highlight w:val="none"/>
        </w:rPr>
      </w:pPr>
      <w:bookmarkStart w:id="17" w:name="_Toc169605878"/>
      <w:r>
        <w:rPr>
          <w:rFonts w:hint="eastAsia" w:ascii="宋体" w:hAnsi="宋体" w:eastAsia="宋体"/>
          <w:b/>
          <w:bCs/>
          <w:color w:val="auto"/>
          <w:sz w:val="24"/>
          <w:szCs w:val="24"/>
          <w:highlight w:val="none"/>
        </w:rPr>
        <w:t>第一节使用环境</w:t>
      </w:r>
      <w:bookmarkEnd w:id="17"/>
    </w:p>
    <w:p w14:paraId="535B92F1">
      <w:pPr>
        <w:keepNext/>
        <w:keepLines/>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一、项目名称：</w:t>
      </w:r>
      <w:r>
        <w:rPr>
          <w:rFonts w:hint="eastAsia" w:ascii="宋体" w:hAnsi="宋体" w:eastAsia="宋体"/>
          <w:color w:val="auto"/>
          <w:sz w:val="24"/>
          <w:szCs w:val="24"/>
          <w:highlight w:val="none"/>
          <w:u w:val="single"/>
        </w:rPr>
        <w:t>莱芜工厂辊压线废料再利用-新增行车项目</w:t>
      </w:r>
    </w:p>
    <w:p w14:paraId="3D130986">
      <w:pPr>
        <w:spacing w:line="360" w:lineRule="auto"/>
        <w:outlineLvl w:val="3"/>
        <w:rPr>
          <w:rFonts w:ascii="宋体" w:hAnsi="宋体" w:eastAsia="宋体" w:cs="宋体"/>
          <w:color w:val="auto"/>
          <w:sz w:val="24"/>
          <w:szCs w:val="24"/>
          <w:highlight w:val="none"/>
          <w:u w:val="single"/>
        </w:rPr>
      </w:pPr>
      <w:r>
        <w:rPr>
          <w:rFonts w:hint="eastAsia" w:ascii="宋体" w:hAnsi="宋体" w:eastAsia="宋体"/>
          <w:color w:val="auto"/>
          <w:sz w:val="24"/>
          <w:szCs w:val="24"/>
          <w:highlight w:val="none"/>
        </w:rPr>
        <w:t>二、建设地点：</w:t>
      </w:r>
      <w:r>
        <w:rPr>
          <w:rFonts w:hint="eastAsia" w:ascii="宋体" w:hAnsi="宋体" w:eastAsia="宋体" w:cs="宋体"/>
          <w:color w:val="auto"/>
          <w:sz w:val="24"/>
          <w:szCs w:val="24"/>
          <w:highlight w:val="none"/>
          <w:u w:val="single"/>
        </w:rPr>
        <w:t>中国重汽集团济南卡车制造公司</w:t>
      </w:r>
    </w:p>
    <w:p w14:paraId="5221CD25">
      <w:pPr>
        <w:spacing w:line="360" w:lineRule="auto"/>
        <w:outlineLvl w:val="3"/>
        <w:rPr>
          <w:rFonts w:ascii="宋体" w:hAnsi="宋体" w:eastAsia="宋体"/>
          <w:color w:val="auto"/>
          <w:sz w:val="24"/>
          <w:szCs w:val="24"/>
          <w:highlight w:val="none"/>
        </w:rPr>
      </w:pPr>
      <w:r>
        <w:rPr>
          <w:rFonts w:hint="eastAsia" w:ascii="宋体" w:hAnsi="宋体" w:eastAsia="宋体"/>
          <w:color w:val="auto"/>
          <w:sz w:val="24"/>
          <w:szCs w:val="24"/>
          <w:highlight w:val="none"/>
        </w:rPr>
        <w:t>三、使用地点：</w:t>
      </w:r>
      <w:r>
        <w:rPr>
          <w:rFonts w:hint="eastAsia" w:ascii="宋体" w:hAnsi="宋体" w:eastAsia="宋体" w:cs="宋体"/>
          <w:color w:val="auto"/>
          <w:sz w:val="24"/>
          <w:szCs w:val="24"/>
          <w:highlight w:val="none"/>
          <w:u w:val="single"/>
        </w:rPr>
        <w:t>中国重汽集团济南卡车制造公司莱芜工厂</w:t>
      </w:r>
    </w:p>
    <w:p w14:paraId="6C2D8B56">
      <w:pPr>
        <w:pStyle w:val="152"/>
        <w:spacing w:line="360" w:lineRule="auto"/>
        <w:ind w:left="480" w:hanging="480" w:firstLineChars="0"/>
        <w:outlineLvl w:val="3"/>
        <w:rPr>
          <w:rFonts w:ascii="宋体" w:hAnsi="宋体" w:eastAsia="宋体"/>
          <w:color w:val="auto"/>
          <w:sz w:val="24"/>
          <w:szCs w:val="24"/>
          <w:highlight w:val="none"/>
        </w:rPr>
      </w:pPr>
      <w:r>
        <w:rPr>
          <w:rFonts w:ascii="宋体" w:hAnsi="宋体" w:eastAsia="宋体"/>
          <w:color w:val="auto"/>
          <w:sz w:val="24"/>
          <w:szCs w:val="24"/>
          <w:highlight w:val="none"/>
        </w:rPr>
        <w:t>四、</w:t>
      </w:r>
      <w:r>
        <w:rPr>
          <w:rFonts w:hint="eastAsia" w:ascii="宋体" w:hAnsi="宋体" w:eastAsia="宋体"/>
          <w:color w:val="auto"/>
          <w:sz w:val="24"/>
          <w:szCs w:val="24"/>
          <w:highlight w:val="none"/>
        </w:rPr>
        <w:t>使用环境及能源供给：</w:t>
      </w:r>
    </w:p>
    <w:p w14:paraId="78948523">
      <w:pPr>
        <w:pStyle w:val="7"/>
        <w:tabs>
          <w:tab w:val="left" w:pos="1134"/>
        </w:tabs>
        <w:spacing w:line="360" w:lineRule="auto"/>
        <w:ind w:left="480" w:firstLine="0"/>
        <w:rPr>
          <w:rFonts w:ascii="宋体" w:hAnsi="宋体" w:eastAsia="宋体"/>
          <w:color w:val="auto"/>
          <w:sz w:val="24"/>
          <w:szCs w:val="24"/>
          <w:highlight w:val="none"/>
        </w:rPr>
      </w:pPr>
      <w:r>
        <w:rPr>
          <w:rFonts w:hint="eastAsia" w:ascii="宋体" w:hAnsi="宋体" w:eastAsia="宋体"/>
          <w:bCs/>
          <w:color w:val="auto"/>
          <w:sz w:val="24"/>
          <w:szCs w:val="24"/>
          <w:highlight w:val="none"/>
        </w:rPr>
        <w:t>1.海拔高度：</w:t>
      </w:r>
      <w:r>
        <w:rPr>
          <w:rFonts w:ascii="宋体" w:hAnsi="宋体" w:eastAsia="宋体"/>
          <w:color w:val="auto"/>
          <w:sz w:val="24"/>
          <w:szCs w:val="24"/>
          <w:highlight w:val="none"/>
        </w:rPr>
        <w:t>≤</w:t>
      </w:r>
      <w:r>
        <w:rPr>
          <w:rFonts w:hint="eastAsia" w:ascii="宋体" w:hAnsi="宋体" w:eastAsia="宋体"/>
          <w:color w:val="auto"/>
          <w:sz w:val="24"/>
          <w:szCs w:val="24"/>
          <w:highlight w:val="none"/>
        </w:rPr>
        <w:t>4000m；</w:t>
      </w:r>
    </w:p>
    <w:p w14:paraId="3FF0013D">
      <w:pPr>
        <w:pStyle w:val="7"/>
        <w:tabs>
          <w:tab w:val="left" w:pos="1134"/>
        </w:tabs>
        <w:spacing w:line="360" w:lineRule="auto"/>
        <w:ind w:left="480" w:firstLine="0"/>
        <w:rPr>
          <w:rFonts w:ascii="宋体" w:hAnsi="宋体" w:eastAsia="宋体"/>
          <w:color w:val="auto"/>
          <w:sz w:val="24"/>
          <w:szCs w:val="24"/>
          <w:highlight w:val="none"/>
        </w:rPr>
      </w:pPr>
      <w:r>
        <w:rPr>
          <w:rFonts w:hint="eastAsia" w:ascii="宋体" w:hAnsi="宋体" w:eastAsia="宋体"/>
          <w:bCs/>
          <w:color w:val="auto"/>
          <w:sz w:val="24"/>
          <w:szCs w:val="24"/>
          <w:highlight w:val="none"/>
        </w:rPr>
        <w:t>2.环境温度：</w:t>
      </w:r>
      <w:r>
        <w:rPr>
          <w:rFonts w:ascii="宋体" w:hAnsi="宋体" w:eastAsia="宋体"/>
          <w:color w:val="auto"/>
          <w:sz w:val="24"/>
          <w:szCs w:val="24"/>
          <w:highlight w:val="none"/>
        </w:rPr>
        <w:t>-25</w:t>
      </w:r>
      <w:r>
        <w:rPr>
          <w:rFonts w:hint="eastAsia" w:ascii="宋体" w:hAnsi="宋体" w:eastAsia="宋体"/>
          <w:color w:val="auto"/>
          <w:sz w:val="24"/>
          <w:szCs w:val="24"/>
          <w:highlight w:val="none"/>
        </w:rPr>
        <w:t>℃</w:t>
      </w:r>
      <w:r>
        <w:rPr>
          <w:rFonts w:ascii="宋体" w:hAnsi="宋体" w:eastAsia="宋体"/>
          <w:color w:val="auto"/>
          <w:sz w:val="24"/>
          <w:szCs w:val="24"/>
          <w:highlight w:val="none"/>
        </w:rPr>
        <w:t>～45</w:t>
      </w:r>
      <w:r>
        <w:rPr>
          <w:rFonts w:hint="eastAsia" w:ascii="宋体" w:hAnsi="宋体" w:eastAsia="宋体"/>
          <w:color w:val="auto"/>
          <w:sz w:val="24"/>
          <w:szCs w:val="24"/>
          <w:highlight w:val="none"/>
        </w:rPr>
        <w:t>℃</w:t>
      </w:r>
      <w:r>
        <w:rPr>
          <w:rFonts w:ascii="宋体" w:hAnsi="宋体" w:eastAsia="宋体"/>
          <w:color w:val="auto"/>
          <w:sz w:val="24"/>
          <w:szCs w:val="24"/>
          <w:highlight w:val="none"/>
        </w:rPr>
        <w:t>；</w:t>
      </w:r>
    </w:p>
    <w:p w14:paraId="76874849">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3.相对湿度：年平均59%，最大95%、最小15%</w:t>
      </w:r>
      <w:r>
        <w:rPr>
          <w:rFonts w:ascii="宋体" w:hAnsi="宋体" w:eastAsia="宋体"/>
          <w:bCs/>
          <w:color w:val="auto"/>
          <w:sz w:val="24"/>
          <w:szCs w:val="24"/>
          <w:highlight w:val="none"/>
        </w:rPr>
        <w:t>；</w:t>
      </w:r>
    </w:p>
    <w:p w14:paraId="55AD922F">
      <w:pPr>
        <w:spacing w:line="360" w:lineRule="auto"/>
        <w:ind w:firstLine="480" w:firstLineChars="200"/>
        <w:outlineLvl w:val="3"/>
        <w:rPr>
          <w:rFonts w:ascii="宋体" w:hAnsi="宋体" w:eastAsia="宋体" w:cs="宋体"/>
          <w:color w:val="auto"/>
          <w:sz w:val="24"/>
          <w:szCs w:val="24"/>
          <w:highlight w:val="none"/>
        </w:rPr>
      </w:pPr>
      <w:r>
        <w:rPr>
          <w:rFonts w:ascii="宋体" w:hAnsi="宋体" w:eastAsia="宋体"/>
          <w:bCs/>
          <w:color w:val="auto"/>
          <w:sz w:val="24"/>
          <w:szCs w:val="24"/>
          <w:highlight w:val="none"/>
        </w:rPr>
        <w:t>4</w:t>
      </w:r>
      <w:r>
        <w:rPr>
          <w:rFonts w:hint="eastAsia" w:ascii="宋体" w:hAnsi="宋体" w:eastAsia="宋体"/>
          <w:bCs/>
          <w:color w:val="auto"/>
          <w:sz w:val="24"/>
          <w:szCs w:val="24"/>
          <w:highlight w:val="none"/>
        </w:rPr>
        <w:t>.</w:t>
      </w:r>
      <w:r>
        <w:rPr>
          <w:rFonts w:hint="eastAsia" w:ascii="宋体" w:hAnsi="宋体" w:eastAsia="宋体" w:cs="宋体"/>
          <w:color w:val="auto"/>
          <w:sz w:val="24"/>
          <w:szCs w:val="24"/>
          <w:highlight w:val="none"/>
        </w:rPr>
        <w:t>大气压强：80kPa～110kPa；</w:t>
      </w:r>
    </w:p>
    <w:p w14:paraId="0D370D40">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5.电力</w:t>
      </w:r>
      <w:r>
        <w:rPr>
          <w:rFonts w:ascii="宋体" w:hAnsi="宋体" w:eastAsia="宋体" w:cs="宋体"/>
          <w:color w:val="auto"/>
          <w:sz w:val="24"/>
          <w:szCs w:val="24"/>
          <w:highlight w:val="none"/>
        </w:rPr>
        <w:t>:中国制式，三相五线制供电，供电电压 380V士10%/220V士10%，供电频率50Hz士0.5Hz</w:t>
      </w:r>
      <w:r>
        <w:rPr>
          <w:rFonts w:hint="eastAsia" w:ascii="宋体" w:hAnsi="宋体" w:eastAsia="宋体" w:cs="宋体"/>
          <w:color w:val="auto"/>
          <w:sz w:val="24"/>
          <w:szCs w:val="24"/>
          <w:highlight w:val="none"/>
        </w:rPr>
        <w:t>；</w:t>
      </w:r>
    </w:p>
    <w:p w14:paraId="2E439BD5">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6.水：市政自来水0.25MPa(0.15-0.35MPa); </w:t>
      </w:r>
    </w:p>
    <w:p w14:paraId="6495C7BD">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7.非采暖季：动力站房供高温热水，供回水温度80℃/60℃; </w:t>
      </w:r>
    </w:p>
    <w:p w14:paraId="106B6394">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8.压缩空气：厂区空压机自产压缩空气，0.55～0.7 Mpa。</w:t>
      </w:r>
    </w:p>
    <w:p w14:paraId="5DA2C71D">
      <w:p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五、工作制度：全年工作300天、双班制、设备年时基数5000小时以上。</w:t>
      </w:r>
    </w:p>
    <w:p w14:paraId="40B405DC">
      <w:pPr>
        <w:keepNext/>
        <w:keepLines/>
        <w:spacing w:before="120" w:after="120" w:line="480" w:lineRule="exact"/>
        <w:jc w:val="center"/>
        <w:outlineLvl w:val="2"/>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第二节采购货物概况</w:t>
      </w:r>
    </w:p>
    <w:p w14:paraId="41E1FB18">
      <w:pPr>
        <w:pStyle w:val="152"/>
        <w:numPr>
          <w:ilvl w:val="0"/>
          <w:numId w:val="9"/>
        </w:numPr>
        <w:spacing w:line="420" w:lineRule="exact"/>
        <w:ind w:firstLineChars="0"/>
        <w:outlineLvl w:val="3"/>
        <w:rPr>
          <w:rFonts w:ascii="宋体" w:hAnsi="宋体" w:eastAsia="宋体"/>
          <w:bCs/>
          <w:color w:val="auto"/>
          <w:sz w:val="24"/>
          <w:szCs w:val="24"/>
          <w:highlight w:val="none"/>
        </w:rPr>
      </w:pPr>
      <w:r>
        <w:rPr>
          <w:rFonts w:hint="eastAsia" w:ascii="宋体" w:hAnsi="宋体" w:eastAsia="宋体"/>
          <w:b/>
          <w:color w:val="auto"/>
          <w:sz w:val="24"/>
          <w:szCs w:val="24"/>
          <w:highlight w:val="none"/>
        </w:rPr>
        <w:t>货物名称：单梁行车10吨</w:t>
      </w:r>
    </w:p>
    <w:p w14:paraId="4077F00B">
      <w:pPr>
        <w:spacing w:line="420" w:lineRule="exact"/>
        <w:outlineLvl w:val="3"/>
        <w:rPr>
          <w:rFonts w:ascii="宋体" w:hAnsi="宋体" w:eastAsia="宋体"/>
          <w:color w:val="auto"/>
          <w:sz w:val="24"/>
          <w:szCs w:val="24"/>
          <w:highlight w:val="none"/>
        </w:rPr>
      </w:pPr>
      <w:r>
        <w:rPr>
          <w:rFonts w:hint="eastAsia" w:ascii="宋体" w:hAnsi="宋体" w:eastAsia="宋体"/>
          <w:b/>
          <w:color w:val="auto"/>
          <w:sz w:val="24"/>
          <w:szCs w:val="24"/>
          <w:highlight w:val="none"/>
        </w:rPr>
        <w:t>二、货物数量：</w:t>
      </w:r>
      <w:r>
        <w:rPr>
          <w:rFonts w:hint="eastAsia" w:ascii="宋体" w:hAnsi="宋体" w:eastAsia="宋体"/>
          <w:color w:val="auto"/>
          <w:sz w:val="24"/>
          <w:szCs w:val="24"/>
          <w:highlight w:val="none"/>
        </w:rPr>
        <w:t>（详见</w:t>
      </w:r>
      <w:r>
        <w:rPr>
          <w:rFonts w:hint="eastAsia" w:ascii="宋体" w:hAnsi="宋体" w:eastAsia="宋体" w:cs="宋体"/>
          <w:color w:val="auto"/>
          <w:sz w:val="24"/>
          <w:szCs w:val="24"/>
          <w:highlight w:val="none"/>
        </w:rPr>
        <w:t>采购货物主要构成一览表</w:t>
      </w:r>
      <w:r>
        <w:rPr>
          <w:rFonts w:hint="eastAsia" w:ascii="宋体" w:hAnsi="宋体" w:eastAsia="宋体"/>
          <w:color w:val="auto"/>
          <w:sz w:val="24"/>
          <w:szCs w:val="24"/>
          <w:highlight w:val="none"/>
        </w:rPr>
        <w:t>）</w:t>
      </w:r>
    </w:p>
    <w:p w14:paraId="5781DCBF">
      <w:pPr>
        <w:spacing w:line="420" w:lineRule="exact"/>
        <w:outlineLvl w:val="3"/>
        <w:rPr>
          <w:rFonts w:ascii="宋体" w:hAnsi="宋体" w:eastAsia="宋体"/>
          <w:b/>
          <w:color w:val="auto"/>
          <w:sz w:val="24"/>
          <w:szCs w:val="24"/>
          <w:highlight w:val="none"/>
        </w:rPr>
      </w:pPr>
      <w:r>
        <w:rPr>
          <w:rFonts w:hint="eastAsia" w:ascii="宋体" w:hAnsi="宋体" w:eastAsia="宋体"/>
          <w:b/>
          <w:color w:val="auto"/>
          <w:sz w:val="24"/>
          <w:szCs w:val="24"/>
          <w:highlight w:val="none"/>
        </w:rPr>
        <w:t>三、分投分中：不允许</w:t>
      </w:r>
    </w:p>
    <w:p w14:paraId="1242F748">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采购货物主要构成一览表</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318"/>
        <w:gridCol w:w="1770"/>
        <w:gridCol w:w="498"/>
        <w:gridCol w:w="708"/>
        <w:gridCol w:w="1276"/>
        <w:gridCol w:w="2413"/>
      </w:tblGrid>
      <w:tr w14:paraId="2247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17" w:type="dxa"/>
            <w:vAlign w:val="center"/>
          </w:tcPr>
          <w:p w14:paraId="0627520A">
            <w:pPr>
              <w:spacing w:line="360" w:lineRule="exact"/>
              <w:jc w:val="center"/>
              <w:rPr>
                <w:rFonts w:ascii="宋体" w:hAnsi="宋体" w:eastAsia="宋体"/>
                <w:b/>
                <w:color w:val="auto"/>
                <w:highlight w:val="none"/>
              </w:rPr>
            </w:pPr>
            <w:r>
              <w:rPr>
                <w:rFonts w:hint="eastAsia" w:ascii="宋体" w:hAnsi="宋体" w:eastAsia="宋体"/>
                <w:b/>
                <w:color w:val="auto"/>
                <w:highlight w:val="none"/>
              </w:rPr>
              <w:t>序号</w:t>
            </w:r>
          </w:p>
        </w:tc>
        <w:tc>
          <w:tcPr>
            <w:tcW w:w="1318" w:type="dxa"/>
            <w:vAlign w:val="center"/>
          </w:tcPr>
          <w:p w14:paraId="5964C290">
            <w:pPr>
              <w:spacing w:line="360" w:lineRule="exact"/>
              <w:jc w:val="center"/>
              <w:rPr>
                <w:rFonts w:ascii="宋体" w:hAnsi="宋体" w:eastAsia="宋体"/>
                <w:b/>
                <w:color w:val="auto"/>
                <w:highlight w:val="none"/>
              </w:rPr>
            </w:pPr>
            <w:r>
              <w:rPr>
                <w:rFonts w:hint="eastAsia" w:ascii="宋体" w:hAnsi="宋体" w:eastAsia="宋体"/>
                <w:b/>
                <w:color w:val="auto"/>
                <w:highlight w:val="none"/>
              </w:rPr>
              <w:t>名称</w:t>
            </w:r>
          </w:p>
        </w:tc>
        <w:tc>
          <w:tcPr>
            <w:tcW w:w="1770" w:type="dxa"/>
            <w:vAlign w:val="center"/>
          </w:tcPr>
          <w:p w14:paraId="72F1EB88">
            <w:pPr>
              <w:spacing w:line="360" w:lineRule="exact"/>
              <w:jc w:val="center"/>
              <w:rPr>
                <w:rFonts w:ascii="宋体" w:hAnsi="宋体" w:eastAsia="宋体"/>
                <w:b/>
                <w:color w:val="auto"/>
                <w:highlight w:val="none"/>
              </w:rPr>
            </w:pPr>
            <w:r>
              <w:rPr>
                <w:rFonts w:hint="eastAsia" w:ascii="宋体" w:hAnsi="宋体" w:eastAsia="宋体"/>
                <w:b/>
                <w:color w:val="auto"/>
                <w:highlight w:val="none"/>
              </w:rPr>
              <w:t>规格</w:t>
            </w:r>
          </w:p>
        </w:tc>
        <w:tc>
          <w:tcPr>
            <w:tcW w:w="498" w:type="dxa"/>
            <w:vAlign w:val="center"/>
          </w:tcPr>
          <w:p w14:paraId="0FFC824F">
            <w:pPr>
              <w:spacing w:line="360" w:lineRule="exact"/>
              <w:jc w:val="center"/>
              <w:rPr>
                <w:rFonts w:ascii="宋体" w:hAnsi="宋体" w:eastAsia="宋体"/>
                <w:b/>
                <w:color w:val="auto"/>
                <w:highlight w:val="none"/>
              </w:rPr>
            </w:pPr>
            <w:r>
              <w:rPr>
                <w:rFonts w:hint="eastAsia" w:ascii="宋体" w:hAnsi="宋体" w:eastAsia="宋体"/>
                <w:b/>
                <w:color w:val="auto"/>
                <w:highlight w:val="none"/>
              </w:rPr>
              <w:t>单位</w:t>
            </w:r>
          </w:p>
        </w:tc>
        <w:tc>
          <w:tcPr>
            <w:tcW w:w="708" w:type="dxa"/>
            <w:vAlign w:val="center"/>
          </w:tcPr>
          <w:p w14:paraId="1CB4AE6C">
            <w:pPr>
              <w:spacing w:line="360" w:lineRule="exact"/>
              <w:jc w:val="center"/>
              <w:rPr>
                <w:rFonts w:ascii="宋体" w:hAnsi="宋体" w:eastAsia="宋体"/>
                <w:b/>
                <w:color w:val="auto"/>
                <w:highlight w:val="none"/>
              </w:rPr>
            </w:pPr>
            <w:r>
              <w:rPr>
                <w:rFonts w:hint="eastAsia" w:ascii="宋体" w:hAnsi="宋体" w:eastAsia="宋体"/>
                <w:b/>
                <w:color w:val="auto"/>
                <w:highlight w:val="none"/>
              </w:rPr>
              <w:t>数量</w:t>
            </w:r>
          </w:p>
        </w:tc>
        <w:tc>
          <w:tcPr>
            <w:tcW w:w="1276" w:type="dxa"/>
            <w:vAlign w:val="center"/>
          </w:tcPr>
          <w:p w14:paraId="59900D6B">
            <w:pPr>
              <w:spacing w:line="360" w:lineRule="exact"/>
              <w:jc w:val="center"/>
              <w:rPr>
                <w:rFonts w:ascii="宋体" w:hAnsi="宋体" w:eastAsia="宋体"/>
                <w:b/>
                <w:color w:val="auto"/>
                <w:highlight w:val="none"/>
              </w:rPr>
            </w:pPr>
            <w:r>
              <w:rPr>
                <w:rFonts w:hint="eastAsia" w:ascii="宋体" w:hAnsi="宋体" w:eastAsia="宋体"/>
                <w:b/>
                <w:color w:val="auto"/>
                <w:highlight w:val="none"/>
              </w:rPr>
              <w:t>交货方式</w:t>
            </w:r>
          </w:p>
        </w:tc>
        <w:tc>
          <w:tcPr>
            <w:tcW w:w="2413" w:type="dxa"/>
            <w:vAlign w:val="center"/>
          </w:tcPr>
          <w:p w14:paraId="479FD6FF">
            <w:pPr>
              <w:spacing w:line="360" w:lineRule="exact"/>
              <w:jc w:val="center"/>
              <w:rPr>
                <w:rFonts w:ascii="宋体" w:hAnsi="宋体" w:eastAsia="宋体"/>
                <w:b/>
                <w:color w:val="auto"/>
                <w:highlight w:val="none"/>
              </w:rPr>
            </w:pPr>
            <w:r>
              <w:rPr>
                <w:rFonts w:hint="eastAsia" w:ascii="宋体" w:hAnsi="宋体" w:eastAsia="宋体"/>
                <w:b/>
                <w:color w:val="auto"/>
                <w:highlight w:val="none"/>
              </w:rPr>
              <w:t>备注</w:t>
            </w:r>
          </w:p>
        </w:tc>
      </w:tr>
      <w:tr w14:paraId="1669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17" w:type="dxa"/>
            <w:vAlign w:val="center"/>
          </w:tcPr>
          <w:p w14:paraId="0BC36736">
            <w:pPr>
              <w:spacing w:line="360" w:lineRule="exact"/>
              <w:jc w:val="center"/>
              <w:rPr>
                <w:rFonts w:ascii="宋体" w:hAnsi="宋体" w:eastAsia="宋体"/>
                <w:b/>
                <w:color w:val="auto"/>
                <w:highlight w:val="none"/>
              </w:rPr>
            </w:pPr>
            <w:r>
              <w:rPr>
                <w:rFonts w:hint="eastAsia" w:ascii="宋体" w:hAnsi="宋体" w:eastAsia="宋体"/>
                <w:b/>
                <w:color w:val="auto"/>
                <w:highlight w:val="none"/>
              </w:rPr>
              <w:t>1</w:t>
            </w:r>
          </w:p>
        </w:tc>
        <w:tc>
          <w:tcPr>
            <w:tcW w:w="1318" w:type="dxa"/>
            <w:vAlign w:val="center"/>
          </w:tcPr>
          <w:p w14:paraId="2FA1617B">
            <w:pPr>
              <w:widowControl/>
              <w:jc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单梁行车</w:t>
            </w:r>
          </w:p>
        </w:tc>
        <w:tc>
          <w:tcPr>
            <w:tcW w:w="1770" w:type="dxa"/>
            <w:vAlign w:val="center"/>
          </w:tcPr>
          <w:p w14:paraId="4739ECC1">
            <w:pPr>
              <w:widowControl/>
              <w:jc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起重量10吨</w:t>
            </w:r>
          </w:p>
          <w:p w14:paraId="2D17689E">
            <w:pPr>
              <w:widowControl/>
              <w:jc w:val="center"/>
              <w:rPr>
                <w:rFonts w:ascii="宋体" w:hAnsi="宋体" w:eastAsia="仿宋_GB2312"/>
                <w:b/>
                <w:bCs/>
                <w:color w:val="auto"/>
                <w:highlight w:val="none"/>
              </w:rPr>
            </w:pPr>
            <w:r>
              <w:rPr>
                <w:rFonts w:hint="eastAsia" w:ascii="仿宋_GB2312" w:hAnsi="仿宋_GB2312" w:eastAsia="仿宋_GB2312" w:cs="仿宋_GB2312"/>
                <w:color w:val="auto"/>
                <w:kern w:val="0"/>
                <w:sz w:val="24"/>
                <w:szCs w:val="24"/>
                <w:highlight w:val="none"/>
              </w:rPr>
              <w:t>跨度17.5米</w:t>
            </w:r>
          </w:p>
        </w:tc>
        <w:tc>
          <w:tcPr>
            <w:tcW w:w="498" w:type="dxa"/>
            <w:vAlign w:val="center"/>
          </w:tcPr>
          <w:p w14:paraId="6E4BCCEA">
            <w:pPr>
              <w:spacing w:line="360" w:lineRule="exact"/>
              <w:jc w:val="center"/>
              <w:rPr>
                <w:rFonts w:ascii="宋体" w:hAnsi="宋体" w:eastAsia="宋体"/>
                <w:b/>
                <w:color w:val="auto"/>
                <w:highlight w:val="none"/>
              </w:rPr>
            </w:pPr>
            <w:r>
              <w:rPr>
                <w:rFonts w:hint="eastAsia" w:ascii="宋体" w:hAnsi="宋体" w:eastAsia="宋体"/>
                <w:b/>
                <w:color w:val="auto"/>
                <w:highlight w:val="none"/>
              </w:rPr>
              <w:t>套</w:t>
            </w:r>
          </w:p>
        </w:tc>
        <w:tc>
          <w:tcPr>
            <w:tcW w:w="708" w:type="dxa"/>
            <w:vAlign w:val="center"/>
          </w:tcPr>
          <w:p w14:paraId="11604B30">
            <w:pPr>
              <w:spacing w:line="360" w:lineRule="exact"/>
              <w:jc w:val="center"/>
              <w:rPr>
                <w:rFonts w:ascii="宋体" w:hAnsi="宋体" w:eastAsia="宋体"/>
                <w:b/>
                <w:color w:val="auto"/>
                <w:highlight w:val="none"/>
              </w:rPr>
            </w:pPr>
            <w:r>
              <w:rPr>
                <w:rFonts w:hint="eastAsia" w:ascii="宋体" w:hAnsi="宋体" w:eastAsia="宋体"/>
                <w:b/>
                <w:color w:val="auto"/>
                <w:highlight w:val="none"/>
              </w:rPr>
              <w:t>1</w:t>
            </w:r>
          </w:p>
        </w:tc>
        <w:tc>
          <w:tcPr>
            <w:tcW w:w="1276" w:type="dxa"/>
            <w:vAlign w:val="center"/>
          </w:tcPr>
          <w:p w14:paraId="2700B362">
            <w:pPr>
              <w:spacing w:line="360" w:lineRule="exact"/>
              <w:jc w:val="center"/>
              <w:rPr>
                <w:rFonts w:ascii="宋体" w:hAnsi="宋体" w:eastAsia="宋体"/>
                <w:b/>
                <w:color w:val="auto"/>
                <w:highlight w:val="none"/>
              </w:rPr>
            </w:pPr>
            <w:r>
              <w:rPr>
                <w:rFonts w:hint="eastAsia" w:ascii="宋体" w:hAnsi="宋体" w:eastAsia="宋体"/>
                <w:b/>
                <w:color w:val="auto"/>
                <w:highlight w:val="none"/>
              </w:rPr>
              <w:t>交钥匙方式</w:t>
            </w:r>
          </w:p>
        </w:tc>
        <w:tc>
          <w:tcPr>
            <w:tcW w:w="2413" w:type="dxa"/>
            <w:vAlign w:val="center"/>
          </w:tcPr>
          <w:p w14:paraId="7BA1A623">
            <w:pPr>
              <w:spacing w:line="360" w:lineRule="exact"/>
              <w:jc w:val="center"/>
              <w:rPr>
                <w:rFonts w:ascii="宋体" w:hAnsi="宋体" w:eastAsia="宋体"/>
                <w:b/>
                <w:color w:val="auto"/>
                <w:highlight w:val="none"/>
              </w:rPr>
            </w:pPr>
            <w:r>
              <w:rPr>
                <w:rFonts w:hint="eastAsia" w:ascii="宋体" w:hAnsi="宋体" w:eastAsia="宋体"/>
                <w:b/>
                <w:color w:val="auto"/>
                <w:highlight w:val="none"/>
              </w:rPr>
              <w:t>含滑线27米，轨道54米，以及其他附件</w:t>
            </w:r>
          </w:p>
        </w:tc>
      </w:tr>
    </w:tbl>
    <w:p w14:paraId="6EA9AA32">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p w14:paraId="5EF22E22">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表所列采购设备仅为主要设备明细，应配套供货以及招标人所列其它货物（或设备）和服务，请投标人认真阅读“供货范围”。若有异议，不管是多么微小，都应在投标文件“商务偏离”章节中予以详细说明。</w:t>
      </w:r>
    </w:p>
    <w:p w14:paraId="38E8F131">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2.本表“供货方式”指：交钥匙方式——包括制造、运输、定点卸货、安装、调试和协助验收以及约定培训等。</w:t>
      </w:r>
    </w:p>
    <w:p w14:paraId="441FD75A">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3.交货期：</w:t>
      </w:r>
      <w:r>
        <w:rPr>
          <w:rFonts w:hint="eastAsia" w:ascii="宋体" w:hAnsi="宋体" w:cs="宋体"/>
          <w:bCs/>
          <w:color w:val="auto"/>
          <w:sz w:val="24"/>
          <w:szCs w:val="24"/>
          <w:highlight w:val="none"/>
          <w:lang w:val="en-US" w:eastAsia="zh-CN"/>
        </w:rPr>
        <w:t>合同生效后9</w:t>
      </w:r>
      <w:r>
        <w:rPr>
          <w:rFonts w:hint="eastAsia" w:ascii="宋体" w:hAnsi="宋体" w:eastAsia="宋体" w:cs="宋体"/>
          <w:bCs/>
          <w:color w:val="auto"/>
          <w:sz w:val="24"/>
          <w:szCs w:val="24"/>
          <w:highlight w:val="none"/>
        </w:rPr>
        <w:t>0日内到货</w:t>
      </w:r>
      <w:r>
        <w:rPr>
          <w:rFonts w:hint="eastAsia" w:ascii="宋体" w:hAnsi="宋体" w:cs="宋体"/>
          <w:bCs/>
          <w:color w:val="auto"/>
          <w:sz w:val="24"/>
          <w:szCs w:val="24"/>
          <w:highlight w:val="none"/>
          <w:lang w:val="en-US" w:eastAsia="zh-CN"/>
        </w:rPr>
        <w:t>并</w:t>
      </w:r>
      <w:r>
        <w:rPr>
          <w:rFonts w:hint="eastAsia" w:ascii="宋体" w:hAnsi="宋体" w:eastAsia="宋体" w:cs="宋体"/>
          <w:bCs/>
          <w:color w:val="auto"/>
          <w:sz w:val="24"/>
          <w:szCs w:val="24"/>
          <w:highlight w:val="none"/>
        </w:rPr>
        <w:t>调试完成。</w:t>
      </w:r>
    </w:p>
    <w:p w14:paraId="599D0755">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4.主要器件品牌表：</w:t>
      </w:r>
    </w:p>
    <w:p w14:paraId="5A547A1C">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元器件建议按照下表清单中的标准选用，投标方投标时提供选用规格清单,最终规格待图纸会签时确定，可选同等或更优质量品牌。</w:t>
      </w:r>
    </w:p>
    <w:tbl>
      <w:tblPr>
        <w:tblStyle w:val="4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223"/>
        <w:gridCol w:w="755"/>
        <w:gridCol w:w="2432"/>
        <w:gridCol w:w="4414"/>
      </w:tblGrid>
      <w:tr w14:paraId="68D1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1677" w:type="dxa"/>
            <w:gridSpan w:val="2"/>
            <w:vAlign w:val="center"/>
          </w:tcPr>
          <w:p w14:paraId="1DBD8795">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名称</w:t>
            </w:r>
          </w:p>
        </w:tc>
        <w:tc>
          <w:tcPr>
            <w:tcW w:w="755" w:type="dxa"/>
            <w:vAlign w:val="center"/>
          </w:tcPr>
          <w:p w14:paraId="1C29221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432" w:type="dxa"/>
            <w:vAlign w:val="center"/>
          </w:tcPr>
          <w:p w14:paraId="3A68CFA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分项内容</w:t>
            </w:r>
          </w:p>
        </w:tc>
        <w:tc>
          <w:tcPr>
            <w:tcW w:w="4414" w:type="dxa"/>
            <w:vAlign w:val="center"/>
          </w:tcPr>
          <w:p w14:paraId="654E1E2F">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制造商</w:t>
            </w:r>
          </w:p>
        </w:tc>
      </w:tr>
      <w:tr w14:paraId="312C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454" w:type="dxa"/>
            <w:vMerge w:val="restart"/>
            <w:vAlign w:val="center"/>
          </w:tcPr>
          <w:p w14:paraId="6B5FB8D9">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23" w:type="dxa"/>
            <w:vMerge w:val="restart"/>
            <w:vAlign w:val="center"/>
          </w:tcPr>
          <w:p w14:paraId="562D22F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钢结构</w:t>
            </w:r>
          </w:p>
        </w:tc>
        <w:tc>
          <w:tcPr>
            <w:tcW w:w="755" w:type="dxa"/>
            <w:vAlign w:val="center"/>
          </w:tcPr>
          <w:p w14:paraId="4685A4F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2432" w:type="dxa"/>
            <w:vAlign w:val="center"/>
          </w:tcPr>
          <w:p w14:paraId="26504E2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起重机钢结构</w:t>
            </w:r>
          </w:p>
        </w:tc>
        <w:tc>
          <w:tcPr>
            <w:tcW w:w="4414" w:type="dxa"/>
            <w:vAlign w:val="center"/>
          </w:tcPr>
          <w:p w14:paraId="345B89A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主机厂</w:t>
            </w:r>
          </w:p>
        </w:tc>
      </w:tr>
      <w:tr w14:paraId="41CE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454" w:type="dxa"/>
            <w:vMerge w:val="continue"/>
            <w:vAlign w:val="center"/>
          </w:tcPr>
          <w:p w14:paraId="61E66F3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01E9DCCB">
            <w:pPr>
              <w:widowControl/>
              <w:spacing w:line="320" w:lineRule="exact"/>
              <w:jc w:val="center"/>
              <w:rPr>
                <w:rFonts w:ascii="宋体" w:hAnsi="宋体" w:cs="宋体"/>
                <w:color w:val="auto"/>
                <w:kern w:val="0"/>
                <w:szCs w:val="21"/>
                <w:highlight w:val="none"/>
              </w:rPr>
            </w:pPr>
          </w:p>
        </w:tc>
        <w:tc>
          <w:tcPr>
            <w:tcW w:w="755" w:type="dxa"/>
            <w:vAlign w:val="center"/>
          </w:tcPr>
          <w:p w14:paraId="19201C7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2432" w:type="dxa"/>
            <w:vAlign w:val="center"/>
          </w:tcPr>
          <w:p w14:paraId="6A4658FE">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主梁钢材</w:t>
            </w:r>
          </w:p>
        </w:tc>
        <w:tc>
          <w:tcPr>
            <w:tcW w:w="4414" w:type="dxa"/>
            <w:vAlign w:val="center"/>
          </w:tcPr>
          <w:p w14:paraId="74DE9C3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宝武、安钢、邯钢</w:t>
            </w:r>
          </w:p>
        </w:tc>
      </w:tr>
      <w:tr w14:paraId="7574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jc w:val="center"/>
        </w:trPr>
        <w:tc>
          <w:tcPr>
            <w:tcW w:w="454" w:type="dxa"/>
            <w:vMerge w:val="continue"/>
            <w:vAlign w:val="center"/>
          </w:tcPr>
          <w:p w14:paraId="798C1E30">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66DC621E">
            <w:pPr>
              <w:widowControl/>
              <w:spacing w:line="320" w:lineRule="exact"/>
              <w:jc w:val="center"/>
              <w:rPr>
                <w:rFonts w:ascii="宋体" w:hAnsi="宋体" w:cs="宋体"/>
                <w:color w:val="auto"/>
                <w:kern w:val="0"/>
                <w:szCs w:val="21"/>
                <w:highlight w:val="none"/>
              </w:rPr>
            </w:pPr>
          </w:p>
        </w:tc>
        <w:tc>
          <w:tcPr>
            <w:tcW w:w="755" w:type="dxa"/>
            <w:vAlign w:val="center"/>
          </w:tcPr>
          <w:p w14:paraId="03CB236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2432" w:type="dxa"/>
            <w:vAlign w:val="center"/>
          </w:tcPr>
          <w:p w14:paraId="1876F9D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导轨</w:t>
            </w:r>
          </w:p>
        </w:tc>
        <w:tc>
          <w:tcPr>
            <w:tcW w:w="4414" w:type="dxa"/>
            <w:vAlign w:val="center"/>
          </w:tcPr>
          <w:p w14:paraId="5BA2A7B4">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宝武、河北永洋</w:t>
            </w:r>
          </w:p>
        </w:tc>
      </w:tr>
      <w:tr w14:paraId="0153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454" w:type="dxa"/>
            <w:vMerge w:val="restart"/>
            <w:vAlign w:val="center"/>
          </w:tcPr>
          <w:p w14:paraId="73A9497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223" w:type="dxa"/>
            <w:vMerge w:val="restart"/>
            <w:vAlign w:val="center"/>
          </w:tcPr>
          <w:p w14:paraId="7BBC3B96">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起升机构</w:t>
            </w:r>
          </w:p>
        </w:tc>
        <w:tc>
          <w:tcPr>
            <w:tcW w:w="755" w:type="dxa"/>
            <w:vAlign w:val="center"/>
          </w:tcPr>
          <w:p w14:paraId="7307A37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2.1</w:t>
            </w:r>
          </w:p>
        </w:tc>
        <w:tc>
          <w:tcPr>
            <w:tcW w:w="2432" w:type="dxa"/>
            <w:vAlign w:val="center"/>
          </w:tcPr>
          <w:p w14:paraId="4C7E381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起升电机</w:t>
            </w:r>
          </w:p>
        </w:tc>
        <w:tc>
          <w:tcPr>
            <w:tcW w:w="4414" w:type="dxa"/>
            <w:vAlign w:val="center"/>
          </w:tcPr>
          <w:p w14:paraId="752BA8F9">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ABM、SEW、ABB或同等品牌</w:t>
            </w:r>
          </w:p>
        </w:tc>
      </w:tr>
      <w:tr w14:paraId="154C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454" w:type="dxa"/>
            <w:vMerge w:val="continue"/>
            <w:vAlign w:val="center"/>
          </w:tcPr>
          <w:p w14:paraId="673DBB3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50F452EE">
            <w:pPr>
              <w:widowControl/>
              <w:spacing w:line="320" w:lineRule="exact"/>
              <w:jc w:val="center"/>
              <w:rPr>
                <w:rFonts w:ascii="宋体" w:hAnsi="宋体" w:cs="宋体"/>
                <w:color w:val="auto"/>
                <w:kern w:val="0"/>
                <w:szCs w:val="21"/>
                <w:highlight w:val="none"/>
              </w:rPr>
            </w:pPr>
          </w:p>
        </w:tc>
        <w:tc>
          <w:tcPr>
            <w:tcW w:w="755" w:type="dxa"/>
            <w:vAlign w:val="center"/>
          </w:tcPr>
          <w:p w14:paraId="40F55B4F">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2.2</w:t>
            </w:r>
          </w:p>
        </w:tc>
        <w:tc>
          <w:tcPr>
            <w:tcW w:w="2432" w:type="dxa"/>
            <w:vAlign w:val="center"/>
          </w:tcPr>
          <w:p w14:paraId="0BB5858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减速机</w:t>
            </w:r>
          </w:p>
        </w:tc>
        <w:tc>
          <w:tcPr>
            <w:tcW w:w="4414" w:type="dxa"/>
          </w:tcPr>
          <w:p w14:paraId="04667FC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SEW、弗兰德、ABM或同等品牌</w:t>
            </w:r>
          </w:p>
        </w:tc>
      </w:tr>
      <w:tr w14:paraId="5AA6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454" w:type="dxa"/>
            <w:vMerge w:val="continue"/>
            <w:vAlign w:val="center"/>
          </w:tcPr>
          <w:p w14:paraId="0D249132">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6A88F088">
            <w:pPr>
              <w:widowControl/>
              <w:spacing w:line="320" w:lineRule="exact"/>
              <w:jc w:val="center"/>
              <w:rPr>
                <w:rFonts w:ascii="宋体" w:hAnsi="宋体" w:cs="宋体"/>
                <w:color w:val="auto"/>
                <w:kern w:val="0"/>
                <w:szCs w:val="21"/>
                <w:highlight w:val="none"/>
              </w:rPr>
            </w:pPr>
          </w:p>
        </w:tc>
        <w:tc>
          <w:tcPr>
            <w:tcW w:w="755" w:type="dxa"/>
            <w:vAlign w:val="center"/>
          </w:tcPr>
          <w:p w14:paraId="4BA93C8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2.4</w:t>
            </w:r>
          </w:p>
        </w:tc>
        <w:tc>
          <w:tcPr>
            <w:tcW w:w="2432" w:type="dxa"/>
            <w:vAlign w:val="center"/>
          </w:tcPr>
          <w:p w14:paraId="5BD317F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钢丝绳</w:t>
            </w:r>
          </w:p>
        </w:tc>
        <w:tc>
          <w:tcPr>
            <w:tcW w:w="4414" w:type="dxa"/>
            <w:vAlign w:val="center"/>
          </w:tcPr>
          <w:p w14:paraId="043690F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荣兴、CASAR、布顿、英制钢缆</w:t>
            </w:r>
          </w:p>
        </w:tc>
      </w:tr>
      <w:tr w14:paraId="1E3D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jc w:val="center"/>
        </w:trPr>
        <w:tc>
          <w:tcPr>
            <w:tcW w:w="454" w:type="dxa"/>
            <w:vAlign w:val="center"/>
          </w:tcPr>
          <w:p w14:paraId="4821E79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223" w:type="dxa"/>
            <w:vAlign w:val="center"/>
          </w:tcPr>
          <w:p w14:paraId="234AB11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运行机构</w:t>
            </w:r>
          </w:p>
        </w:tc>
        <w:tc>
          <w:tcPr>
            <w:tcW w:w="755" w:type="dxa"/>
            <w:vAlign w:val="center"/>
          </w:tcPr>
          <w:p w14:paraId="71164525">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2432" w:type="dxa"/>
            <w:vAlign w:val="center"/>
          </w:tcPr>
          <w:p w14:paraId="66775BA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大/小车三合一运行电机</w:t>
            </w:r>
          </w:p>
        </w:tc>
        <w:tc>
          <w:tcPr>
            <w:tcW w:w="4414" w:type="dxa"/>
            <w:vAlign w:val="center"/>
          </w:tcPr>
          <w:p w14:paraId="2977C97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SEW、西门子、ABM或同等品牌</w:t>
            </w:r>
          </w:p>
        </w:tc>
      </w:tr>
      <w:tr w14:paraId="0853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454" w:type="dxa"/>
            <w:vMerge w:val="restart"/>
            <w:vAlign w:val="center"/>
          </w:tcPr>
          <w:p w14:paraId="33D4224F">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1223" w:type="dxa"/>
            <w:vMerge w:val="restart"/>
            <w:vAlign w:val="center"/>
          </w:tcPr>
          <w:p w14:paraId="216572A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电气部分</w:t>
            </w:r>
          </w:p>
        </w:tc>
        <w:tc>
          <w:tcPr>
            <w:tcW w:w="755" w:type="dxa"/>
            <w:vAlign w:val="center"/>
          </w:tcPr>
          <w:p w14:paraId="52EA486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4.1</w:t>
            </w:r>
          </w:p>
        </w:tc>
        <w:tc>
          <w:tcPr>
            <w:tcW w:w="2432" w:type="dxa"/>
            <w:vAlign w:val="center"/>
          </w:tcPr>
          <w:p w14:paraId="78C3F11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直流电源</w:t>
            </w:r>
          </w:p>
        </w:tc>
        <w:tc>
          <w:tcPr>
            <w:tcW w:w="4414" w:type="dxa"/>
            <w:vAlign w:val="center"/>
          </w:tcPr>
          <w:p w14:paraId="5AEB39A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施耐德、西门子</w:t>
            </w:r>
          </w:p>
        </w:tc>
      </w:tr>
      <w:tr w14:paraId="0A03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jc w:val="center"/>
        </w:trPr>
        <w:tc>
          <w:tcPr>
            <w:tcW w:w="454" w:type="dxa"/>
            <w:vMerge w:val="continue"/>
            <w:vAlign w:val="center"/>
          </w:tcPr>
          <w:p w14:paraId="7A8F6B86">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2824996E">
            <w:pPr>
              <w:widowControl/>
              <w:spacing w:line="320" w:lineRule="exact"/>
              <w:jc w:val="center"/>
              <w:rPr>
                <w:rFonts w:ascii="宋体" w:hAnsi="宋体" w:cs="宋体"/>
                <w:color w:val="auto"/>
                <w:kern w:val="0"/>
                <w:szCs w:val="21"/>
                <w:highlight w:val="none"/>
              </w:rPr>
            </w:pPr>
          </w:p>
        </w:tc>
        <w:tc>
          <w:tcPr>
            <w:tcW w:w="755" w:type="dxa"/>
            <w:vAlign w:val="center"/>
          </w:tcPr>
          <w:p w14:paraId="6F88AF5B">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4.2</w:t>
            </w:r>
          </w:p>
        </w:tc>
        <w:tc>
          <w:tcPr>
            <w:tcW w:w="2432" w:type="dxa"/>
            <w:vAlign w:val="center"/>
          </w:tcPr>
          <w:p w14:paraId="1465739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变频器（起重机专用）</w:t>
            </w:r>
          </w:p>
        </w:tc>
        <w:tc>
          <w:tcPr>
            <w:tcW w:w="4414" w:type="dxa"/>
            <w:vAlign w:val="center"/>
          </w:tcPr>
          <w:p w14:paraId="739C34A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施耐德、西门子</w:t>
            </w:r>
          </w:p>
        </w:tc>
      </w:tr>
      <w:tr w14:paraId="6422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54" w:type="dxa"/>
            <w:vMerge w:val="continue"/>
            <w:vAlign w:val="center"/>
          </w:tcPr>
          <w:p w14:paraId="02A68978">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74DA6A9B">
            <w:pPr>
              <w:widowControl/>
              <w:spacing w:line="320" w:lineRule="exact"/>
              <w:jc w:val="center"/>
              <w:rPr>
                <w:rFonts w:ascii="宋体" w:hAnsi="宋体" w:cs="宋体"/>
                <w:color w:val="auto"/>
                <w:kern w:val="0"/>
                <w:szCs w:val="21"/>
                <w:highlight w:val="none"/>
              </w:rPr>
            </w:pPr>
          </w:p>
        </w:tc>
        <w:tc>
          <w:tcPr>
            <w:tcW w:w="755" w:type="dxa"/>
            <w:vAlign w:val="center"/>
          </w:tcPr>
          <w:p w14:paraId="67E2A7A9">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4.3</w:t>
            </w:r>
          </w:p>
        </w:tc>
        <w:tc>
          <w:tcPr>
            <w:tcW w:w="2432" w:type="dxa"/>
            <w:vAlign w:val="center"/>
          </w:tcPr>
          <w:p w14:paraId="73D3307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低压电器（接触器、继电器、开关、按钮等）</w:t>
            </w:r>
          </w:p>
        </w:tc>
        <w:tc>
          <w:tcPr>
            <w:tcW w:w="4414" w:type="dxa"/>
            <w:vAlign w:val="center"/>
          </w:tcPr>
          <w:p w14:paraId="2BE9703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施耐德、西门子</w:t>
            </w:r>
          </w:p>
        </w:tc>
      </w:tr>
      <w:tr w14:paraId="1ABE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454" w:type="dxa"/>
            <w:vMerge w:val="continue"/>
            <w:vAlign w:val="center"/>
          </w:tcPr>
          <w:p w14:paraId="68AC4B89">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7F4B77E8">
            <w:pPr>
              <w:widowControl/>
              <w:spacing w:line="320" w:lineRule="exact"/>
              <w:jc w:val="center"/>
              <w:rPr>
                <w:rFonts w:ascii="宋体" w:hAnsi="宋体" w:cs="宋体"/>
                <w:color w:val="auto"/>
                <w:kern w:val="0"/>
                <w:szCs w:val="21"/>
                <w:highlight w:val="none"/>
              </w:rPr>
            </w:pPr>
          </w:p>
        </w:tc>
        <w:tc>
          <w:tcPr>
            <w:tcW w:w="755" w:type="dxa"/>
            <w:vAlign w:val="center"/>
          </w:tcPr>
          <w:p w14:paraId="0C3F4D70">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4.4</w:t>
            </w:r>
          </w:p>
        </w:tc>
        <w:tc>
          <w:tcPr>
            <w:tcW w:w="2432" w:type="dxa"/>
            <w:vAlign w:val="center"/>
          </w:tcPr>
          <w:p w14:paraId="1CF97B5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光电开关</w:t>
            </w:r>
          </w:p>
        </w:tc>
        <w:tc>
          <w:tcPr>
            <w:tcW w:w="4414" w:type="dxa"/>
            <w:vAlign w:val="center"/>
          </w:tcPr>
          <w:p w14:paraId="28CE4A20">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SICK（西克）、OMRON（欧姆龙）、施耐德</w:t>
            </w:r>
          </w:p>
        </w:tc>
      </w:tr>
      <w:tr w14:paraId="0A61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454" w:type="dxa"/>
            <w:vMerge w:val="continue"/>
            <w:vAlign w:val="center"/>
          </w:tcPr>
          <w:p w14:paraId="0C420A0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47BBE26A">
            <w:pPr>
              <w:widowControl/>
              <w:spacing w:line="320" w:lineRule="exact"/>
              <w:jc w:val="center"/>
              <w:rPr>
                <w:rFonts w:ascii="宋体" w:hAnsi="宋体" w:cs="宋体"/>
                <w:color w:val="auto"/>
                <w:kern w:val="0"/>
                <w:szCs w:val="21"/>
                <w:highlight w:val="none"/>
              </w:rPr>
            </w:pPr>
          </w:p>
        </w:tc>
        <w:tc>
          <w:tcPr>
            <w:tcW w:w="755" w:type="dxa"/>
            <w:vAlign w:val="center"/>
          </w:tcPr>
          <w:p w14:paraId="26120CD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4.5</w:t>
            </w:r>
          </w:p>
        </w:tc>
        <w:tc>
          <w:tcPr>
            <w:tcW w:w="2432" w:type="dxa"/>
            <w:vAlign w:val="center"/>
          </w:tcPr>
          <w:p w14:paraId="502B40F6">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行程开关、限位开关</w:t>
            </w:r>
          </w:p>
        </w:tc>
        <w:tc>
          <w:tcPr>
            <w:tcW w:w="4414" w:type="dxa"/>
            <w:vAlign w:val="center"/>
          </w:tcPr>
          <w:p w14:paraId="2DF61086">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施耐德、欧姆龙、西门子</w:t>
            </w:r>
          </w:p>
        </w:tc>
      </w:tr>
      <w:tr w14:paraId="110D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454" w:type="dxa"/>
            <w:vMerge w:val="continue"/>
            <w:vAlign w:val="center"/>
          </w:tcPr>
          <w:p w14:paraId="7559696B">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7D65F9E3">
            <w:pPr>
              <w:widowControl/>
              <w:spacing w:line="320" w:lineRule="exact"/>
              <w:jc w:val="center"/>
              <w:rPr>
                <w:rFonts w:ascii="宋体" w:hAnsi="宋体" w:cs="宋体"/>
                <w:color w:val="auto"/>
                <w:kern w:val="0"/>
                <w:szCs w:val="21"/>
                <w:highlight w:val="none"/>
              </w:rPr>
            </w:pPr>
          </w:p>
        </w:tc>
        <w:tc>
          <w:tcPr>
            <w:tcW w:w="755" w:type="dxa"/>
            <w:vAlign w:val="center"/>
          </w:tcPr>
          <w:p w14:paraId="5FDB92D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4.6</w:t>
            </w:r>
          </w:p>
        </w:tc>
        <w:tc>
          <w:tcPr>
            <w:tcW w:w="2432" w:type="dxa"/>
            <w:vAlign w:val="center"/>
          </w:tcPr>
          <w:p w14:paraId="0252BC7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遥控器</w:t>
            </w:r>
          </w:p>
        </w:tc>
        <w:tc>
          <w:tcPr>
            <w:tcW w:w="4414" w:type="dxa"/>
            <w:vAlign w:val="center"/>
          </w:tcPr>
          <w:p w14:paraId="4FDB4C8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AUTEC、HBC、意凯希、禹鼎</w:t>
            </w:r>
          </w:p>
        </w:tc>
      </w:tr>
      <w:tr w14:paraId="0BFD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454" w:type="dxa"/>
            <w:vMerge w:val="continue"/>
            <w:vAlign w:val="center"/>
          </w:tcPr>
          <w:p w14:paraId="2DA4E339">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499E9BD4">
            <w:pPr>
              <w:widowControl/>
              <w:spacing w:line="320" w:lineRule="exact"/>
              <w:jc w:val="center"/>
              <w:rPr>
                <w:rFonts w:ascii="宋体" w:hAnsi="宋体" w:cs="宋体"/>
                <w:color w:val="auto"/>
                <w:kern w:val="0"/>
                <w:szCs w:val="21"/>
                <w:highlight w:val="none"/>
              </w:rPr>
            </w:pPr>
          </w:p>
        </w:tc>
        <w:tc>
          <w:tcPr>
            <w:tcW w:w="755" w:type="dxa"/>
            <w:vAlign w:val="center"/>
          </w:tcPr>
          <w:p w14:paraId="596DE46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4.7</w:t>
            </w:r>
          </w:p>
        </w:tc>
        <w:tc>
          <w:tcPr>
            <w:tcW w:w="2432" w:type="dxa"/>
            <w:vAlign w:val="center"/>
          </w:tcPr>
          <w:p w14:paraId="492B3F8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手电门</w:t>
            </w:r>
          </w:p>
        </w:tc>
        <w:tc>
          <w:tcPr>
            <w:tcW w:w="4414" w:type="dxa"/>
            <w:vAlign w:val="center"/>
          </w:tcPr>
          <w:p w14:paraId="20344B2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施耐德、意大利GG、西门子</w:t>
            </w:r>
          </w:p>
        </w:tc>
      </w:tr>
      <w:tr w14:paraId="12A0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454" w:type="dxa"/>
            <w:vMerge w:val="continue"/>
            <w:vAlign w:val="center"/>
          </w:tcPr>
          <w:p w14:paraId="2232464A">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0466D395">
            <w:pPr>
              <w:widowControl/>
              <w:spacing w:line="320" w:lineRule="exact"/>
              <w:jc w:val="center"/>
              <w:rPr>
                <w:rFonts w:ascii="宋体" w:hAnsi="宋体" w:cs="宋体"/>
                <w:color w:val="auto"/>
                <w:kern w:val="0"/>
                <w:szCs w:val="21"/>
                <w:highlight w:val="none"/>
              </w:rPr>
            </w:pPr>
          </w:p>
        </w:tc>
        <w:tc>
          <w:tcPr>
            <w:tcW w:w="755" w:type="dxa"/>
            <w:vAlign w:val="center"/>
          </w:tcPr>
          <w:p w14:paraId="1AEB782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4.8</w:t>
            </w:r>
          </w:p>
        </w:tc>
        <w:tc>
          <w:tcPr>
            <w:tcW w:w="2432" w:type="dxa"/>
            <w:vAlign w:val="center"/>
          </w:tcPr>
          <w:p w14:paraId="14E122B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滑触线</w:t>
            </w:r>
          </w:p>
        </w:tc>
        <w:tc>
          <w:tcPr>
            <w:tcW w:w="4414" w:type="dxa"/>
            <w:vAlign w:val="center"/>
          </w:tcPr>
          <w:p w14:paraId="7511331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济南德玛、武汉汉发</w:t>
            </w:r>
          </w:p>
        </w:tc>
      </w:tr>
      <w:tr w14:paraId="714E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454" w:type="dxa"/>
            <w:vMerge w:val="continue"/>
            <w:vAlign w:val="center"/>
          </w:tcPr>
          <w:p w14:paraId="3801A24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5793D3CB">
            <w:pPr>
              <w:widowControl/>
              <w:spacing w:line="320" w:lineRule="exact"/>
              <w:jc w:val="center"/>
              <w:rPr>
                <w:rFonts w:ascii="宋体" w:hAnsi="宋体" w:cs="宋体"/>
                <w:color w:val="auto"/>
                <w:kern w:val="0"/>
                <w:szCs w:val="21"/>
                <w:highlight w:val="none"/>
              </w:rPr>
            </w:pPr>
          </w:p>
        </w:tc>
        <w:tc>
          <w:tcPr>
            <w:tcW w:w="755" w:type="dxa"/>
            <w:vAlign w:val="center"/>
          </w:tcPr>
          <w:p w14:paraId="23410D4B">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4.9</w:t>
            </w:r>
          </w:p>
        </w:tc>
        <w:tc>
          <w:tcPr>
            <w:tcW w:w="2432" w:type="dxa"/>
            <w:vAlign w:val="center"/>
          </w:tcPr>
          <w:p w14:paraId="1795E34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轴承</w:t>
            </w:r>
          </w:p>
        </w:tc>
        <w:tc>
          <w:tcPr>
            <w:tcW w:w="4414" w:type="dxa"/>
            <w:vAlign w:val="center"/>
          </w:tcPr>
          <w:p w14:paraId="1BE86F6E">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SKF、NSK、TWB</w:t>
            </w:r>
          </w:p>
        </w:tc>
      </w:tr>
    </w:tbl>
    <w:p w14:paraId="5E52A852">
      <w:pPr>
        <w:pStyle w:val="20"/>
        <w:spacing w:after="120"/>
        <w:rPr>
          <w:color w:val="auto"/>
          <w:highlight w:val="none"/>
        </w:rPr>
      </w:pPr>
    </w:p>
    <w:p w14:paraId="3393CDCC">
      <w:pPr>
        <w:spacing w:line="360" w:lineRule="auto"/>
        <w:outlineLvl w:val="3"/>
        <w:rPr>
          <w:rFonts w:ascii="宋体" w:hAnsi="宋体" w:eastAsia="宋体"/>
          <w:b/>
          <w:color w:val="auto"/>
          <w:sz w:val="24"/>
          <w:szCs w:val="24"/>
          <w:highlight w:val="none"/>
        </w:rPr>
      </w:pPr>
      <w:r>
        <w:rPr>
          <w:rFonts w:hint="eastAsia" w:ascii="宋体" w:hAnsi="宋体" w:eastAsia="宋体"/>
          <w:b/>
          <w:color w:val="auto"/>
          <w:sz w:val="24"/>
          <w:szCs w:val="24"/>
          <w:highlight w:val="none"/>
        </w:rPr>
        <w:t>四、采购货物特别说明</w:t>
      </w:r>
    </w:p>
    <w:p w14:paraId="5B4B90C7">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招标方所列货物的名称和规格型号，如为某一供应商所特有，则该名称和规格型号可作参考；但要求投标方所提供的货物必须满足本技术标书实质性要求。</w:t>
      </w:r>
    </w:p>
    <w:p w14:paraId="1FD2BABD">
      <w:pPr>
        <w:spacing w:line="360" w:lineRule="auto"/>
        <w:rPr>
          <w:rFonts w:ascii="宋体" w:hAnsi="宋体" w:eastAsia="宋体"/>
          <w:color w:val="auto"/>
          <w:sz w:val="24"/>
          <w:szCs w:val="24"/>
          <w:highlight w:val="none"/>
        </w:rPr>
      </w:pPr>
      <w:r>
        <w:rPr>
          <w:rFonts w:hint="eastAsia" w:ascii="宋体" w:hAnsi="宋体" w:eastAsia="宋体"/>
          <w:b/>
          <w:color w:val="auto"/>
          <w:sz w:val="24"/>
          <w:szCs w:val="24"/>
          <w:highlight w:val="none"/>
        </w:rPr>
        <w:t>五、投标要求</w:t>
      </w:r>
    </w:p>
    <w:p w14:paraId="32AB5944">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1、投标方须对防冻液真空加注机提升总装线适应性改造项目施工详细内容充分分析，识别出总装产线需要变更的变化点并提供详细的工艺方案，同时以此为报价基础。</w:t>
      </w:r>
    </w:p>
    <w:p w14:paraId="26707D45">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2、中标人对设备质量和可靠性负责。</w:t>
      </w:r>
    </w:p>
    <w:p w14:paraId="629CDAC4">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3、中标人应审查施工图纸，在工艺流程、布置及油壶口位置不变的情况下，如发现问题，可对加注形式、设备结构、用电量等工艺参数提出修改意见和改进措施。对设备的运转质量负最终责任。对设计修改部分提供完整技术资料。</w:t>
      </w:r>
    </w:p>
    <w:p w14:paraId="4C86C3BC">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4、中标人对中标设备的制造、安装、调试提供系列服务，具体如下：</w:t>
      </w:r>
    </w:p>
    <w:p w14:paraId="0060ADBB">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原则上，本项目中电机功率＞7.5kW,必须选用一级能效。电机功率&lt;7.5kW，优先选用一级能效；其中对于能源供应类设备及年运行时间≥2000h工艺设备的电机必须选用一级能效。杜绝选用三级及以下能效。空调必须选用一级能效，变压器最低选用二级能效，对于特殊场景、特殊用途其他设备和性价比综合考虑、充分论证；</w:t>
      </w:r>
    </w:p>
    <w:p w14:paraId="24BB4044">
      <w:pPr>
        <w:pStyle w:val="18"/>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变频电机、伺服电机不做强制要求。</w:t>
      </w:r>
    </w:p>
    <w:p w14:paraId="04F8D73D">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起重机等断续工作制设备电机，不在国家能效认证范围内，不做强制要求。</w:t>
      </w:r>
    </w:p>
    <w:p w14:paraId="7326DC3A">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设备颜色符合《Q-ZZ30070设备设施颜色标识》规定，外观无明显缺陷，重新焊接完成后，对焊接位置进行重新刷漆。</w:t>
      </w:r>
    </w:p>
    <w:p w14:paraId="4CA95BAF">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主、辅材的采购、供应；</w:t>
      </w:r>
    </w:p>
    <w:p w14:paraId="210D5577">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非标设备的加工、制作、安装；</w:t>
      </w:r>
    </w:p>
    <w:p w14:paraId="7DF0F4EC">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除业主方提供外的机械及电气外购件、标准件的采购、供应，根据性能价格较优的原则选定供货厂商，并对外购件的质量负责；</w:t>
      </w:r>
    </w:p>
    <w:p w14:paraId="39CB4F4F">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配合土建施工，负责检查各种预留孔洞、沟槽和预埋件的位置、尺寸；</w:t>
      </w:r>
    </w:p>
    <w:p w14:paraId="2D765A6A">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建立健全安全、保卫、卫生、消防制度，保证工程顺利进行；</w:t>
      </w:r>
    </w:p>
    <w:p w14:paraId="2CB9D30C">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施工人员的食宿及费用；</w:t>
      </w:r>
    </w:p>
    <w:p w14:paraId="6EB241F5">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安装现场制作所需的设备、工具；</w:t>
      </w:r>
    </w:p>
    <w:p w14:paraId="51E75333">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配合业主方、设计院进行工艺调试；</w:t>
      </w:r>
    </w:p>
    <w:p w14:paraId="5E1626A8">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负责人员培训及售后服务；</w:t>
      </w:r>
    </w:p>
    <w:p w14:paraId="3EC0A360">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从生产厂到交货地点的包装、运输；</w:t>
      </w:r>
    </w:p>
    <w:p w14:paraId="7756B01D">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参与设备验收，提供竣工图与竣工报告等技术文件，及时办理移交手续；</w:t>
      </w:r>
    </w:p>
    <w:p w14:paraId="135607C9">
      <w:pPr>
        <w:numPr>
          <w:ilvl w:val="0"/>
          <w:numId w:val="10"/>
        </w:numPr>
        <w:spacing w:line="360" w:lineRule="auto"/>
        <w:rPr>
          <w:rFonts w:ascii="宋体" w:hAnsi="宋体" w:eastAsia="宋体"/>
          <w:bCs/>
          <w:color w:val="auto"/>
          <w:sz w:val="24"/>
          <w:szCs w:val="24"/>
          <w:highlight w:val="none"/>
        </w:rPr>
      </w:pPr>
      <w:bookmarkStart w:id="18" w:name="_Hlk206399421"/>
      <w:r>
        <w:rPr>
          <w:rFonts w:hint="eastAsia" w:ascii="宋体" w:hAnsi="宋体" w:eastAsia="宋体"/>
          <w:bCs/>
          <w:color w:val="auto"/>
          <w:sz w:val="24"/>
          <w:szCs w:val="24"/>
          <w:highlight w:val="none"/>
        </w:rPr>
        <w:t>其他甲方的施工要求。</w:t>
      </w:r>
    </w:p>
    <w:bookmarkEnd w:id="18"/>
    <w:p w14:paraId="050B91D6">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6、在现场制作的关键部件，必须经委托方检验合格后，方可进行涂漆、组装。合格品才能运抵施工现场。</w:t>
      </w:r>
    </w:p>
    <w:p w14:paraId="323661A0">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7、中标方服从招标方对现场、安全的管理。</w:t>
      </w:r>
    </w:p>
    <w:p w14:paraId="11954086">
      <w:pPr>
        <w:widowControl/>
        <w:spacing w:line="360" w:lineRule="auto"/>
        <w:jc w:val="left"/>
        <w:rPr>
          <w:rFonts w:ascii="宋体" w:hAnsi="宋体" w:eastAsia="宋体"/>
          <w:color w:val="auto"/>
          <w:sz w:val="24"/>
          <w:szCs w:val="24"/>
          <w:highlight w:val="none"/>
        </w:rPr>
      </w:pPr>
    </w:p>
    <w:p w14:paraId="5B65357B">
      <w:pPr>
        <w:widowControl/>
        <w:spacing w:line="360" w:lineRule="auto"/>
        <w:jc w:val="left"/>
        <w:rPr>
          <w:rFonts w:ascii="宋体" w:hAnsi="宋体" w:eastAsia="宋体"/>
          <w:color w:val="auto"/>
          <w:sz w:val="24"/>
          <w:szCs w:val="24"/>
          <w:highlight w:val="none"/>
        </w:rPr>
      </w:pPr>
    </w:p>
    <w:p w14:paraId="3461DE81">
      <w:pPr>
        <w:keepNext/>
        <w:keepLines/>
        <w:spacing w:before="120" w:after="120" w:line="480" w:lineRule="exact"/>
        <w:jc w:val="center"/>
        <w:outlineLvl w:val="1"/>
        <w:rPr>
          <w:rFonts w:ascii="宋体" w:hAnsi="宋体" w:eastAsia="宋体"/>
          <w:bCs/>
          <w:color w:val="auto"/>
          <w:kern w:val="44"/>
          <w:sz w:val="28"/>
          <w:szCs w:val="28"/>
          <w:highlight w:val="none"/>
        </w:rPr>
      </w:pPr>
      <w:bookmarkStart w:id="19" w:name="_Toc169605880"/>
      <w:bookmarkStart w:id="20" w:name="_Toc169605881"/>
      <w:r>
        <w:rPr>
          <w:rFonts w:hint="eastAsia" w:ascii="宋体" w:hAnsi="宋体" w:eastAsia="宋体"/>
          <w:b/>
          <w:bCs/>
          <w:color w:val="auto"/>
          <w:kern w:val="44"/>
          <w:sz w:val="28"/>
          <w:szCs w:val="28"/>
          <w:highlight w:val="none"/>
        </w:rPr>
        <w:t>第二章技术要求</w:t>
      </w:r>
      <w:bookmarkEnd w:id="19"/>
    </w:p>
    <w:p w14:paraId="4E9CEDCF">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一、特别提示</w:t>
      </w:r>
    </w:p>
    <w:p w14:paraId="1E775750">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1.本章技术要求，仅对功能、设计、结构、性能、安装和试验检验等方面，提出了最低和一般性的技术要求，并未对一切技术细节作出规定。</w:t>
      </w:r>
    </w:p>
    <w:p w14:paraId="0803392B">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2.本技术要求所使用的标准、规范等，如与投标人所执行的标准、规范不一致时，应按高于本技术要求所列的标准、规范执行。</w:t>
      </w:r>
    </w:p>
    <w:p w14:paraId="76090EC6">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3</w:t>
      </w:r>
      <w:r>
        <w:rPr>
          <w:rFonts w:hint="eastAsia" w:ascii="宋体" w:hAnsi="宋体" w:eastAsia="宋体"/>
          <w:color w:val="auto"/>
          <w:sz w:val="24"/>
          <w:szCs w:val="24"/>
          <w:highlight w:val="none"/>
        </w:rPr>
        <w:t>.投标人认为所供货物必须由招标人配备、解决或提供的其它要求，如设备基础隔振和减振设施、软化水、洁净气源等，均应在投标文件“技术偏离”中予以充分说明。</w:t>
      </w:r>
    </w:p>
    <w:p w14:paraId="5069395E">
      <w:pPr>
        <w:spacing w:line="360" w:lineRule="auto"/>
        <w:ind w:firstLine="480" w:firstLineChars="200"/>
        <w:rPr>
          <w:rFonts w:ascii="宋体" w:hAnsi="宋体" w:eastAsia="宋体"/>
          <w:color w:val="auto"/>
          <w:sz w:val="24"/>
          <w:szCs w:val="24"/>
          <w:highlight w:val="none"/>
        </w:rPr>
      </w:pPr>
      <w:r>
        <w:rPr>
          <w:rFonts w:ascii="宋体" w:hAnsi="宋体" w:eastAsia="宋体"/>
          <w:bCs/>
          <w:color w:val="auto"/>
          <w:sz w:val="24"/>
          <w:szCs w:val="24"/>
          <w:highlight w:val="none"/>
        </w:rPr>
        <w:t>4</w:t>
      </w:r>
      <w:r>
        <w:rPr>
          <w:rFonts w:hint="eastAsia" w:ascii="宋体" w:hAnsi="宋体" w:eastAsia="宋体"/>
          <w:bCs/>
          <w:color w:val="auto"/>
          <w:sz w:val="24"/>
          <w:szCs w:val="24"/>
          <w:highlight w:val="none"/>
        </w:rPr>
        <w:t>.投标人应根据招投标货物具体要求，提出</w:t>
      </w:r>
      <w:r>
        <w:rPr>
          <w:rFonts w:hint="eastAsia" w:ascii="宋体" w:hAnsi="宋体" w:eastAsia="宋体"/>
          <w:color w:val="auto"/>
          <w:sz w:val="24"/>
          <w:szCs w:val="24"/>
          <w:highlight w:val="none"/>
        </w:rPr>
        <w:t>对厂房、设备基础（或安装平台）、公用设施、消防、环保等超出招标文件、投标文件、答疑文件、技术交流文件、技术协议书和合同等规定的、有特殊需要的解释、说明和要求。</w:t>
      </w:r>
    </w:p>
    <w:p w14:paraId="396E3FCE">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5.无论是否有技术偏离，投标人均应在投标文件“技术偏离”中明确作出有无说明。若有异议，不管是多么微小，投标人必须予以明确和详细的说明或澄清。</w:t>
      </w:r>
    </w:p>
    <w:p w14:paraId="4533E4F0">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6</w:t>
      </w:r>
      <w:r>
        <w:rPr>
          <w:rFonts w:hint="eastAsia" w:ascii="宋体" w:hAnsi="宋体" w:eastAsia="宋体"/>
          <w:color w:val="auto"/>
          <w:sz w:val="24"/>
          <w:szCs w:val="24"/>
          <w:highlight w:val="none"/>
        </w:rPr>
        <w:t>.为避免投标人优势在招标评审时漏项，质保期超出本技术标书要求的，应当在投标文件“技术偏离”中特别注明。</w:t>
      </w:r>
    </w:p>
    <w:p w14:paraId="0FCFB4A4">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二、基本要求</w:t>
      </w:r>
    </w:p>
    <w:p w14:paraId="24C96439">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1</w:t>
      </w:r>
      <w:r>
        <w:rPr>
          <w:rFonts w:hint="eastAsia" w:ascii="宋体" w:hAnsi="宋体" w:eastAsia="宋体"/>
          <w:color w:val="auto"/>
          <w:sz w:val="24"/>
          <w:szCs w:val="24"/>
          <w:highlight w:val="none"/>
        </w:rPr>
        <w:t>.投标人所供的货物，必须符合中国最新版的法律、法规和相关标准、规范的要求，符合项目所在地政府有关特殊要求。</w:t>
      </w:r>
    </w:p>
    <w:p w14:paraId="1E95DAA5">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2</w:t>
      </w:r>
      <w:r>
        <w:rPr>
          <w:rFonts w:hint="eastAsia" w:ascii="宋体" w:hAnsi="宋体" w:eastAsia="宋体"/>
          <w:color w:val="auto"/>
          <w:sz w:val="24"/>
          <w:szCs w:val="24"/>
          <w:highlight w:val="none"/>
        </w:rPr>
        <w:t>.投标人所供货物涉及的专利权技术以及知识产权保护的其它技术等，应保证招标人不因此受到任何侵权指控以及实际损失。</w:t>
      </w:r>
    </w:p>
    <w:p w14:paraId="2E539803">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3</w:t>
      </w:r>
      <w:r>
        <w:rPr>
          <w:rFonts w:hint="eastAsia" w:ascii="宋体" w:hAnsi="宋体" w:eastAsia="宋体"/>
          <w:color w:val="auto"/>
          <w:sz w:val="24"/>
          <w:szCs w:val="24"/>
          <w:highlight w:val="none"/>
        </w:rPr>
        <w:t>.投标人应保证所供货物的先进性、可靠性、经济性和实用性，并为全新货物（或设备）。</w:t>
      </w:r>
    </w:p>
    <w:p w14:paraId="707B928D">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4</w:t>
      </w:r>
      <w:r>
        <w:rPr>
          <w:rFonts w:hint="eastAsia" w:ascii="宋体" w:hAnsi="宋体" w:eastAsia="宋体"/>
          <w:color w:val="auto"/>
          <w:sz w:val="24"/>
          <w:szCs w:val="24"/>
          <w:highlight w:val="none"/>
        </w:rPr>
        <w:t>.投标人应满足招标人提出的各项技术要求，必要时应当免费提供技术承诺或担保。</w:t>
      </w:r>
    </w:p>
    <w:p w14:paraId="30AEAF74">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5</w:t>
      </w:r>
      <w:r>
        <w:rPr>
          <w:rFonts w:hint="eastAsia" w:ascii="宋体" w:hAnsi="宋体" w:eastAsia="宋体"/>
          <w:color w:val="auto"/>
          <w:sz w:val="24"/>
          <w:szCs w:val="24"/>
          <w:highlight w:val="none"/>
        </w:rPr>
        <w:t>.投标人应保证所供货物（或设备）为中国政府指定或规定的主管部门公布的非淘汰货物（或设备），并尽力提供中国政府指定或规定的主管部门认可的环保型和节能型货物（或设备）。</w:t>
      </w:r>
    </w:p>
    <w:p w14:paraId="2A1549AA">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6</w:t>
      </w:r>
      <w:r>
        <w:rPr>
          <w:rFonts w:hint="eastAsia" w:ascii="宋体" w:hAnsi="宋体" w:eastAsia="宋体"/>
          <w:color w:val="auto"/>
          <w:sz w:val="24"/>
          <w:szCs w:val="24"/>
          <w:highlight w:val="none"/>
        </w:rPr>
        <w:t>.投标人应保证所供货物的完整性和成套性，能保证货物的正常运行、使用。</w:t>
      </w:r>
    </w:p>
    <w:p w14:paraId="743FD7FB">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7</w:t>
      </w:r>
      <w:r>
        <w:rPr>
          <w:rFonts w:hint="eastAsia" w:ascii="宋体" w:hAnsi="宋体" w:eastAsia="宋体"/>
          <w:color w:val="auto"/>
          <w:sz w:val="24"/>
          <w:szCs w:val="24"/>
          <w:highlight w:val="none"/>
        </w:rPr>
        <w:t>.投标人应对招标人采购的货物所涉及的技术、产能等信息负有保密义务，招标人拥有追究投标人泄密责任的权利；招标人如有需要，投标人应无条件签署保密协议。</w:t>
      </w:r>
    </w:p>
    <w:p w14:paraId="26CD43EE">
      <w:pPr>
        <w:spacing w:line="360" w:lineRule="auto"/>
        <w:ind w:firstLine="480" w:firstLineChars="200"/>
        <w:rPr>
          <w:rFonts w:ascii="Times New Roman" w:hAnsi="Times New Roman" w:eastAsia="宋体"/>
          <w:bCs/>
          <w:color w:val="auto"/>
          <w:sz w:val="24"/>
          <w:szCs w:val="24"/>
          <w:highlight w:val="none"/>
        </w:rPr>
      </w:pPr>
      <w:r>
        <w:rPr>
          <w:rFonts w:ascii="Times New Roman" w:hAnsi="Times New Roman" w:eastAsia="宋体"/>
          <w:bCs/>
          <w:color w:val="auto"/>
          <w:sz w:val="24"/>
          <w:szCs w:val="24"/>
          <w:highlight w:val="none"/>
        </w:rPr>
        <w:t>8.投标人预验收时需提供进口设备、部件的报关清关资料。</w:t>
      </w:r>
    </w:p>
    <w:p w14:paraId="245D338B">
      <w:pPr>
        <w:spacing w:line="360" w:lineRule="auto"/>
        <w:ind w:firstLine="480" w:firstLineChars="200"/>
        <w:rPr>
          <w:rFonts w:ascii="Times New Roman" w:hAnsi="Times New Roman" w:eastAsia="宋体"/>
          <w:bCs/>
          <w:color w:val="auto"/>
          <w:sz w:val="24"/>
          <w:szCs w:val="24"/>
          <w:highlight w:val="none"/>
        </w:rPr>
      </w:pPr>
      <w:r>
        <w:rPr>
          <w:rFonts w:ascii="Times New Roman" w:hAnsi="Times New Roman" w:eastAsia="宋体"/>
          <w:bCs/>
          <w:color w:val="auto"/>
          <w:sz w:val="24"/>
          <w:szCs w:val="24"/>
          <w:highlight w:val="none"/>
        </w:rPr>
        <w:t>9.</w:t>
      </w:r>
      <w:r>
        <w:rPr>
          <w:rFonts w:hint="eastAsia" w:ascii="Times New Roman" w:hAnsi="Times New Roman" w:eastAsia="宋体"/>
          <w:bCs/>
          <w:color w:val="auto"/>
          <w:sz w:val="24"/>
          <w:szCs w:val="24"/>
          <w:highlight w:val="none"/>
        </w:rPr>
        <w:t>要求投标方必须在近三年内为国内外厂家提供过同类型项目案例。投标文件中必须附有与本招标设备相同或相似技术规格、型号的设备的市场销售业绩清单。</w:t>
      </w:r>
    </w:p>
    <w:p w14:paraId="4D3612DA">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10.投标方应在确保改造后的产线可以安全稳定运行，并且具备生产现有及项目内要求的新增车型的能力。</w:t>
      </w:r>
    </w:p>
    <w:p w14:paraId="4A65AD2B">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11.投标方积极协助和提供招标方和招标方所委托的工程设计单位有关人员与标的物有关的工程设计资料。</w:t>
      </w:r>
    </w:p>
    <w:p w14:paraId="0C123B4C">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12.投标方所供的设备，必须符合中国最新版的法律、法规和相关标准、规范的要求。</w:t>
      </w:r>
    </w:p>
    <w:p w14:paraId="16896010">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13.投标方所供设备涉及的专利权技术以及知识产权保护其它技术等，应保证招标方不因此受到第三方侵权指控以及实际损失。</w:t>
      </w:r>
    </w:p>
    <w:p w14:paraId="76A2D545">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14.投标方应满足招标方提出的各项技术要求。</w:t>
      </w:r>
    </w:p>
    <w:p w14:paraId="30A519A9">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15.投标方应对招标方采购的设备所涉及的产品、技术、产能等信息负有保密义务。</w:t>
      </w:r>
    </w:p>
    <w:p w14:paraId="1E0424E5">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14:paraId="34E80564">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17.本技术要求所使用的标准、规范等，如与投标方所执行的标准、规范不一致时，应按高于本技术要求所列的标准、规范执行，并在投标文件“技术偏离”中予以说明。</w:t>
      </w:r>
    </w:p>
    <w:p w14:paraId="1D4CD014">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18.投标方认为所供货物必须由招标方配备、解决或提供的其他要求，如设备基础隔振和减振设施、洁净气源等，均应在投标文件中予以充分说明。</w:t>
      </w:r>
    </w:p>
    <w:p w14:paraId="6920D6CC">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19.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571A4787">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35886C63">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*21.在本标书中没有提及到的部分，所有供应商必须保证设备各部分功能齐全并便于使用，这部分价格应该包含在报价中，而不得另行加价。</w:t>
      </w:r>
    </w:p>
    <w:p w14:paraId="1E0EF15E">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 xml:space="preserve"> *22. 本项目中所有改造均不可影响卡车制造公司正常生产。</w:t>
      </w:r>
    </w:p>
    <w:p w14:paraId="58FA16DE">
      <w:pPr>
        <w:spacing w:line="360" w:lineRule="auto"/>
        <w:ind w:firstLine="600" w:firstLineChars="250"/>
        <w:rPr>
          <w:rFonts w:ascii="宋体" w:hAnsi="宋体" w:eastAsia="宋体"/>
          <w:color w:val="auto"/>
          <w:sz w:val="24"/>
          <w:szCs w:val="24"/>
          <w:highlight w:val="none"/>
        </w:rPr>
      </w:pPr>
      <w:r>
        <w:rPr>
          <w:rFonts w:hint="eastAsia" w:ascii="Times New Roman" w:hAnsi="Times New Roman" w:eastAsia="宋体"/>
          <w:bCs/>
          <w:color w:val="auto"/>
          <w:sz w:val="24"/>
          <w:szCs w:val="24"/>
          <w:highlight w:val="none"/>
        </w:rPr>
        <w:t>23.本招标文件中所有加注“*”的条款为否决项，不允许出现偏离。</w:t>
      </w:r>
    </w:p>
    <w:p w14:paraId="61BD630D">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三、技术要求</w:t>
      </w:r>
    </w:p>
    <w:p w14:paraId="79A279E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1.法律、法规、技术标准要求</w:t>
      </w:r>
    </w:p>
    <w:p w14:paraId="5EF41A7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双方签订的技术协议、双方会签的图纸、双方签订的会议纪要、安全规范和标准、防火规范和标准、环保规范和标准。</w:t>
      </w:r>
    </w:p>
    <w:p w14:paraId="1D0D6E7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设备采用材质合格证明及分析报告</w:t>
      </w:r>
    </w:p>
    <w:p w14:paraId="21D6FA33">
      <w:pPr>
        <w:numPr>
          <w:ilvl w:val="0"/>
          <w:numId w:val="11"/>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设计标准与规范</w:t>
      </w:r>
    </w:p>
    <w:p w14:paraId="5544C24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GB/T3811-2008</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《起重机设计规范》</w:t>
      </w:r>
    </w:p>
    <w:p w14:paraId="60589D5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GB/T6067.1-2010 《起重机安全规程第l部分总则》</w:t>
      </w:r>
    </w:p>
    <w:p w14:paraId="0521259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GB/T6067.5-2014《起重机安全规程第5部分桥式和门式起重机》</w:t>
      </w:r>
    </w:p>
    <w:p w14:paraId="4E2699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GB/T14405-2011《通用桥式起重机》</w:t>
      </w:r>
    </w:p>
    <w:p w14:paraId="2EC3A27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GB/T5226.32-2017《机械电气安全 机械电气设备第32部分：起重机械技术条件》</w:t>
      </w:r>
    </w:p>
    <w:p w14:paraId="7A04EA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GB/T20303.1-2016《起重机司机室第l部分总则》</w:t>
      </w:r>
    </w:p>
    <w:p w14:paraId="09C7698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GB/T20303.5-2006《起重机司机室第5部分桥式和门式起重机》</w:t>
      </w:r>
    </w:p>
    <w:p w14:paraId="009610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22437.1-2018 《起重机 载荷与载荷组合的设计原则 第1部分：总则》</w:t>
      </w:r>
    </w:p>
    <w:p w14:paraId="4A8F652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35975-2018 《起重吊具 分类》</w:t>
      </w:r>
    </w:p>
    <w:p w14:paraId="457B9BA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34529-2017 《起重机和葫芦 钢丝绳、卷筒和滑轮的选择》</w:t>
      </w:r>
    </w:p>
    <w:p w14:paraId="6F8D8FA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34198-2017 《起重机用钢丝绳》</w:t>
      </w:r>
    </w:p>
    <w:p w14:paraId="7822556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5972-2016 《起重机 钢丝绳 保养、维护、检验和报废》</w:t>
      </w:r>
    </w:p>
    <w:p w14:paraId="13B8969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23724.1-2016 《起重机 检查 第1部分：总则》</w:t>
      </w:r>
    </w:p>
    <w:p w14:paraId="234FB82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20303.1-2016 《起重机械 检查与维护规程 第7部分：桅杆起重机》</w:t>
      </w:r>
    </w:p>
    <w:p w14:paraId="7245EF3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31052.10-2016 《起重机械 检查与维护规程 第10部分：轻小型起重设备》</w:t>
      </w:r>
    </w:p>
    <w:p w14:paraId="2955FA7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31052.1-2014 《起重机械 检查与维护规程 第1部分：总则》</w:t>
      </w:r>
    </w:p>
    <w:p w14:paraId="4187D1A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31051.1-2014《起重机 工作和非工作状态下的锚定装置 第1部分：总则》</w:t>
      </w:r>
    </w:p>
    <w:p w14:paraId="66A5753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30222-2013 《起重机械用电力驱动起升机构能效测试方法》</w:t>
      </w:r>
    </w:p>
    <w:p w14:paraId="1906076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30223-2013 《起重机械用电力驱动运行机构能效测试方法》</w:t>
      </w:r>
    </w:p>
    <w:p w14:paraId="1B27E93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29562.3-2013 《起重机械用电动机能效测试方法 第3部分：锥形转子三相异步电动机》</w:t>
      </w:r>
    </w:p>
    <w:p w14:paraId="2226A15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24818.1-2009 《起重机 通道及安全防护设施 第1部分：总则》</w:t>
      </w:r>
    </w:p>
    <w:p w14:paraId="783437E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24818.5-2009 《起重机 通道及安全防护设施 第5部分：桥式和门式起重机》</w:t>
      </w:r>
    </w:p>
    <w:p w14:paraId="394981B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22437.5-2008 《起重机 载荷与载荷组合的设计原则 第5部分：桥式和门式起重机》</w:t>
      </w:r>
    </w:p>
    <w:p w14:paraId="78C2014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22416.1-2008</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 维护 第1部分：总则》</w:t>
      </w:r>
    </w:p>
    <w:p w14:paraId="1049B5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20863.1-2007</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《起重机械 分级 第1部分：总则》</w:t>
      </w:r>
    </w:p>
    <w:p w14:paraId="125624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20863.5-2007</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《起重机 分级 第5部分: 桥式和门式起重机》</w:t>
      </w:r>
    </w:p>
    <w:p w14:paraId="0265E09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10183-2005 《桥式和门式起重机 制造及轨道安装公差》</w:t>
      </w:r>
    </w:p>
    <w:p w14:paraId="73418B2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18875-2002 《起重机 备件手册》</w:t>
      </w:r>
    </w:p>
    <w:p w14:paraId="49E2A46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18453-2001 《起重机 维护手册 第1部分:总则》</w:t>
      </w:r>
    </w:p>
    <w:p w14:paraId="1684197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17908-1999 《起重机和起重机械 技术性能和验收文件》</w:t>
      </w:r>
    </w:p>
    <w:p w14:paraId="1EBB83A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790-1995 《电动桥式起重机跨度和起升高度系列》</w:t>
      </w:r>
    </w:p>
    <w:p w14:paraId="28E50AC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GB/T25295-2010《电气设备安全设计导则》</w:t>
      </w:r>
    </w:p>
    <w:p w14:paraId="2A77C58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GB/T12602-2009</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《起重机械超载保护装置》</w:t>
      </w:r>
    </w:p>
    <w:p w14:paraId="011B852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GB/T28264-2017《起重机械安全监控管理系统》</w:t>
      </w:r>
    </w:p>
    <w:p w14:paraId="05014B6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GB986-1998《气焊、手工焊及气保焊焊缝坡口基本形式与尺寸》</w:t>
      </w:r>
    </w:p>
    <w:p w14:paraId="26E735A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GB/T4942.1-2006 《旋转电机整体结构的防护等级》</w:t>
      </w:r>
    </w:p>
    <w:p w14:paraId="61E48FB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GB50052-2016</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《供配电系统设计规范》</w:t>
      </w:r>
    </w:p>
    <w:p w14:paraId="6BA132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GB50054-2011</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《低压配电设计规范》</w:t>
      </w:r>
    </w:p>
    <w:p w14:paraId="7141C0F4">
      <w:pPr>
        <w:numPr>
          <w:ilvl w:val="0"/>
          <w:numId w:val="12"/>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材料标准与规范</w:t>
      </w:r>
    </w:p>
    <w:p w14:paraId="7B79465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GB699-88《优质碳素结构钢》</w:t>
      </w:r>
    </w:p>
    <w:p w14:paraId="3FC8449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GB700-88《碳素结构钢》</w:t>
      </w:r>
    </w:p>
    <w:p w14:paraId="1677322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JB/T6392-2008《起重机车轮》</w:t>
      </w:r>
    </w:p>
    <w:p w14:paraId="71584C4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GB8918-2006《重要用途钢丝绳》</w:t>
      </w:r>
    </w:p>
    <w:p w14:paraId="560023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GB1348-88《低合金结构钢》</w:t>
      </w:r>
    </w:p>
    <w:p w14:paraId="44331D9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GBl1352-89《一般工程用铸造碳钢件》</w:t>
      </w:r>
    </w:p>
    <w:p w14:paraId="4E75EB1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J8/T9003-2004《起重机用三合一减速器》</w:t>
      </w:r>
    </w:p>
    <w:p w14:paraId="4941678E">
      <w:pPr>
        <w:numPr>
          <w:ilvl w:val="0"/>
          <w:numId w:val="13"/>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检验标准与规范</w:t>
      </w:r>
    </w:p>
    <w:p w14:paraId="523D3AF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GB5905-2011《起重机试验规范和规程》</w:t>
      </w:r>
    </w:p>
    <w:p w14:paraId="1F07118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GB/T3323-2005《钢熔化焊对接头射线照相和质量分级》</w:t>
      </w:r>
    </w:p>
    <w:p w14:paraId="71CA0A0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GBl1345- 2013《焊缝无损检测技术、检测等级和评定》</w:t>
      </w:r>
    </w:p>
    <w:p w14:paraId="31D9322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GB/T8923.2-2008《涂覆涂料前钢材表面处理》</w:t>
      </w:r>
    </w:p>
    <w:p w14:paraId="0AE5F1F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GB50278 -2010《起重设备安装工程施工及验收规范》</w:t>
      </w:r>
    </w:p>
    <w:p w14:paraId="32B1F53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GB50256-2014《电气装置安装工程起重机电气装置施工及验收规范》</w:t>
      </w:r>
    </w:p>
    <w:p w14:paraId="33CA059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05G525《吊车轨道联结及车挡》</w:t>
      </w:r>
    </w:p>
    <w:p w14:paraId="2D3A3820">
      <w:pPr>
        <w:numPr>
          <w:ilvl w:val="0"/>
          <w:numId w:val="13"/>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其它国家和行业相关的技术标准规范等。</w:t>
      </w:r>
    </w:p>
    <w:p w14:paraId="3A950A2D">
      <w:pPr>
        <w:numPr>
          <w:ilvl w:val="0"/>
          <w:numId w:val="13"/>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乙方企标高于上述标准时优先采用乙方企标。</w:t>
      </w:r>
    </w:p>
    <w:p w14:paraId="4D08AC3D">
      <w:pPr>
        <w:pStyle w:val="45"/>
        <w:numPr>
          <w:ilvl w:val="0"/>
          <w:numId w:val="14"/>
        </w:numPr>
        <w:spacing w:before="156" w:after="156" w:line="320" w:lineRule="exact"/>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设备构成及主要技术说明</w:t>
      </w:r>
    </w:p>
    <w:tbl>
      <w:tblPr>
        <w:tblStyle w:val="49"/>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19"/>
        <w:gridCol w:w="5748"/>
      </w:tblGrid>
      <w:tr w14:paraId="19EF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1E706546">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型式</w:t>
            </w:r>
          </w:p>
        </w:tc>
        <w:tc>
          <w:tcPr>
            <w:tcW w:w="5748" w:type="dxa"/>
            <w:vAlign w:val="center"/>
          </w:tcPr>
          <w:p w14:paraId="32CDCC5B">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欧式电动单梁桥式起重机</w:t>
            </w:r>
          </w:p>
        </w:tc>
      </w:tr>
      <w:tr w14:paraId="5941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2D662401">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跨度</w:t>
            </w:r>
          </w:p>
        </w:tc>
        <w:tc>
          <w:tcPr>
            <w:tcW w:w="5748" w:type="dxa"/>
            <w:vAlign w:val="center"/>
          </w:tcPr>
          <w:p w14:paraId="4BDF9492">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17</w:t>
            </w:r>
            <w:r>
              <w:rPr>
                <w:rFonts w:ascii="宋体" w:hAnsi="宋体" w:cs="宋体"/>
                <w:color w:val="auto"/>
                <w:kern w:val="0"/>
                <w:szCs w:val="21"/>
                <w:highlight w:val="none"/>
              </w:rPr>
              <w:t>.5</w:t>
            </w:r>
            <w:r>
              <w:rPr>
                <w:rFonts w:hint="eastAsia" w:ascii="宋体" w:hAnsi="宋体" w:cs="宋体"/>
                <w:color w:val="auto"/>
                <w:kern w:val="0"/>
                <w:szCs w:val="21"/>
                <w:highlight w:val="none"/>
              </w:rPr>
              <w:t>米</w:t>
            </w:r>
          </w:p>
        </w:tc>
      </w:tr>
      <w:tr w14:paraId="3B03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37F6F96A">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主要用途</w:t>
            </w:r>
          </w:p>
        </w:tc>
        <w:tc>
          <w:tcPr>
            <w:tcW w:w="5748" w:type="dxa"/>
            <w:vAlign w:val="center"/>
          </w:tcPr>
          <w:p w14:paraId="598818C6">
            <w:pPr>
              <w:adjustRightInd w:val="0"/>
              <w:spacing w:line="320" w:lineRule="exact"/>
              <w:jc w:val="center"/>
              <w:textAlignment w:val="baseline"/>
              <w:rPr>
                <w:rFonts w:ascii="宋体" w:hAnsi="宋体" w:cs="宋体"/>
                <w:color w:val="auto"/>
                <w:kern w:val="0"/>
                <w:szCs w:val="21"/>
                <w:highlight w:val="none"/>
              </w:rPr>
            </w:pPr>
            <w:r>
              <w:rPr>
                <w:rFonts w:hint="eastAsia"/>
                <w:color w:val="auto"/>
                <w:szCs w:val="21"/>
                <w:highlight w:val="none"/>
              </w:rPr>
              <w:t>用于10吨纵梁吊运</w:t>
            </w:r>
          </w:p>
        </w:tc>
      </w:tr>
      <w:tr w14:paraId="2D82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56320103">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起重量</w:t>
            </w:r>
          </w:p>
        </w:tc>
        <w:tc>
          <w:tcPr>
            <w:tcW w:w="5748" w:type="dxa"/>
            <w:vAlign w:val="center"/>
          </w:tcPr>
          <w:p w14:paraId="72E694FF">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10</w:t>
            </w:r>
          </w:p>
        </w:tc>
      </w:tr>
      <w:tr w14:paraId="1644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336B6A31">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设备数量（台）</w:t>
            </w:r>
          </w:p>
        </w:tc>
        <w:tc>
          <w:tcPr>
            <w:tcW w:w="5748" w:type="dxa"/>
            <w:vAlign w:val="center"/>
          </w:tcPr>
          <w:p w14:paraId="35B31167">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1</w:t>
            </w:r>
          </w:p>
        </w:tc>
      </w:tr>
      <w:tr w14:paraId="6941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2968A6D1">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工作级别</w:t>
            </w:r>
          </w:p>
        </w:tc>
        <w:tc>
          <w:tcPr>
            <w:tcW w:w="5748" w:type="dxa"/>
            <w:vAlign w:val="center"/>
          </w:tcPr>
          <w:p w14:paraId="52E2031A">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A5</w:t>
            </w:r>
          </w:p>
        </w:tc>
      </w:tr>
      <w:tr w14:paraId="6DBC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4A1F84CA">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最大起升高度（m）</w:t>
            </w:r>
          </w:p>
        </w:tc>
        <w:tc>
          <w:tcPr>
            <w:tcW w:w="5748" w:type="dxa"/>
            <w:vAlign w:val="center"/>
          </w:tcPr>
          <w:p w14:paraId="06D87C96">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7</w:t>
            </w:r>
            <w:r>
              <w:rPr>
                <w:rFonts w:ascii="宋体" w:hAnsi="宋体" w:cs="宋体"/>
                <w:color w:val="auto"/>
                <w:kern w:val="0"/>
                <w:szCs w:val="21"/>
                <w:highlight w:val="none"/>
              </w:rPr>
              <w:t>.5</w:t>
            </w:r>
          </w:p>
        </w:tc>
      </w:tr>
      <w:tr w14:paraId="0D59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60" w:type="dxa"/>
            <w:vMerge w:val="restart"/>
            <w:vAlign w:val="center"/>
          </w:tcPr>
          <w:p w14:paraId="2DB22F08">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速度（m/min）</w:t>
            </w:r>
          </w:p>
        </w:tc>
        <w:tc>
          <w:tcPr>
            <w:tcW w:w="1719" w:type="dxa"/>
            <w:vAlign w:val="center"/>
          </w:tcPr>
          <w:p w14:paraId="7BE9C7D2">
            <w:pPr>
              <w:adjustRightInd w:val="0"/>
              <w:spacing w:line="32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大车运行</w:t>
            </w:r>
          </w:p>
        </w:tc>
        <w:tc>
          <w:tcPr>
            <w:tcW w:w="5748" w:type="dxa"/>
            <w:vAlign w:val="center"/>
          </w:tcPr>
          <w:p w14:paraId="4533F862">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0</w:t>
            </w:r>
            <w:r>
              <w:rPr>
                <w:rFonts w:ascii="宋体" w:hAnsi="宋体" w:cs="宋体"/>
                <w:color w:val="auto"/>
                <w:kern w:val="0"/>
                <w:szCs w:val="21"/>
                <w:highlight w:val="none"/>
              </w:rPr>
              <w:t>~</w:t>
            </w:r>
            <w:r>
              <w:rPr>
                <w:rFonts w:hint="eastAsia" w:ascii="宋体" w:hAnsi="宋体" w:cs="宋体"/>
                <w:color w:val="auto"/>
                <w:kern w:val="0"/>
                <w:szCs w:val="21"/>
                <w:highlight w:val="none"/>
              </w:rPr>
              <w:t>20m/min变频调速</w:t>
            </w:r>
          </w:p>
        </w:tc>
      </w:tr>
      <w:tr w14:paraId="2E43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60" w:type="dxa"/>
            <w:vMerge w:val="continue"/>
            <w:vAlign w:val="center"/>
          </w:tcPr>
          <w:p w14:paraId="05B4EC06">
            <w:pPr>
              <w:adjustRightInd w:val="0"/>
              <w:spacing w:line="320" w:lineRule="exact"/>
              <w:ind w:firstLine="317" w:firstLineChars="151"/>
              <w:jc w:val="center"/>
              <w:textAlignment w:val="baseline"/>
              <w:rPr>
                <w:rFonts w:ascii="宋体" w:hAnsi="宋体" w:cs="宋体"/>
                <w:color w:val="auto"/>
                <w:kern w:val="0"/>
                <w:szCs w:val="21"/>
                <w:highlight w:val="none"/>
              </w:rPr>
            </w:pPr>
          </w:p>
        </w:tc>
        <w:tc>
          <w:tcPr>
            <w:tcW w:w="1719" w:type="dxa"/>
            <w:vAlign w:val="center"/>
          </w:tcPr>
          <w:p w14:paraId="6CDC1D3C">
            <w:pPr>
              <w:adjustRightInd w:val="0"/>
              <w:spacing w:line="32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起升</w:t>
            </w:r>
          </w:p>
          <w:p w14:paraId="61BBC9AD">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主</w:t>
            </w:r>
          </w:p>
        </w:tc>
        <w:tc>
          <w:tcPr>
            <w:tcW w:w="5748" w:type="dxa"/>
            <w:vAlign w:val="center"/>
          </w:tcPr>
          <w:p w14:paraId="537839A7">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0.</w:t>
            </w:r>
            <w:r>
              <w:rPr>
                <w:rFonts w:hint="eastAsia" w:ascii="宋体" w:hAnsi="宋体" w:cs="宋体"/>
                <w:color w:val="auto"/>
                <w:kern w:val="0"/>
                <w:szCs w:val="21"/>
                <w:highlight w:val="none"/>
              </w:rPr>
              <w:t>5</w:t>
            </w:r>
            <w:r>
              <w:rPr>
                <w:rFonts w:ascii="宋体" w:hAnsi="宋体" w:cs="宋体"/>
                <w:color w:val="auto"/>
                <w:kern w:val="0"/>
                <w:szCs w:val="21"/>
                <w:highlight w:val="none"/>
              </w:rPr>
              <w:t>~</w:t>
            </w:r>
            <w:r>
              <w:rPr>
                <w:rFonts w:hint="eastAsia" w:ascii="宋体" w:hAnsi="宋体" w:cs="宋体"/>
                <w:color w:val="auto"/>
                <w:kern w:val="0"/>
                <w:szCs w:val="21"/>
                <w:highlight w:val="none"/>
              </w:rPr>
              <w:t>5m/min变频调速</w:t>
            </w:r>
          </w:p>
        </w:tc>
      </w:tr>
      <w:tr w14:paraId="520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60" w:type="dxa"/>
            <w:vMerge w:val="continue"/>
            <w:vAlign w:val="center"/>
          </w:tcPr>
          <w:p w14:paraId="147F705A">
            <w:pPr>
              <w:adjustRightInd w:val="0"/>
              <w:spacing w:line="320" w:lineRule="exact"/>
              <w:ind w:firstLine="317" w:firstLineChars="151"/>
              <w:jc w:val="center"/>
              <w:textAlignment w:val="baseline"/>
              <w:rPr>
                <w:rFonts w:ascii="宋体" w:hAnsi="宋体" w:cs="宋体"/>
                <w:color w:val="auto"/>
                <w:kern w:val="0"/>
                <w:szCs w:val="21"/>
                <w:highlight w:val="none"/>
              </w:rPr>
            </w:pPr>
          </w:p>
        </w:tc>
        <w:tc>
          <w:tcPr>
            <w:tcW w:w="1719" w:type="dxa"/>
            <w:vAlign w:val="center"/>
          </w:tcPr>
          <w:p w14:paraId="464D02EC">
            <w:pPr>
              <w:adjustRightInd w:val="0"/>
              <w:spacing w:line="32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小车运行</w:t>
            </w:r>
          </w:p>
        </w:tc>
        <w:tc>
          <w:tcPr>
            <w:tcW w:w="5748" w:type="dxa"/>
            <w:vAlign w:val="center"/>
          </w:tcPr>
          <w:p w14:paraId="0B3F51AB">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0</w:t>
            </w:r>
            <w:r>
              <w:rPr>
                <w:rFonts w:ascii="宋体" w:hAnsi="宋体" w:cs="宋体"/>
                <w:color w:val="auto"/>
                <w:kern w:val="0"/>
                <w:szCs w:val="21"/>
                <w:highlight w:val="none"/>
              </w:rPr>
              <w:t>~2</w:t>
            </w:r>
            <w:r>
              <w:rPr>
                <w:rFonts w:hint="eastAsia" w:ascii="宋体" w:hAnsi="宋体" w:cs="宋体"/>
                <w:color w:val="auto"/>
                <w:kern w:val="0"/>
                <w:szCs w:val="21"/>
                <w:highlight w:val="none"/>
              </w:rPr>
              <w:t>0m/min变频调速</w:t>
            </w:r>
          </w:p>
        </w:tc>
      </w:tr>
      <w:tr w14:paraId="11BF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54BDE694">
            <w:pPr>
              <w:adjustRightInd w:val="0"/>
              <w:spacing w:line="320" w:lineRule="exact"/>
              <w:ind w:firstLine="1155" w:firstLineChars="55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荐用钢轨</w:t>
            </w:r>
          </w:p>
        </w:tc>
        <w:tc>
          <w:tcPr>
            <w:tcW w:w="5748" w:type="dxa"/>
            <w:vAlign w:val="center"/>
          </w:tcPr>
          <w:p w14:paraId="7FC54C04">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P43</w:t>
            </w:r>
          </w:p>
        </w:tc>
      </w:tr>
      <w:tr w14:paraId="57F1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5C43CBB3">
            <w:pPr>
              <w:adjustRightInd w:val="0"/>
              <w:spacing w:line="320" w:lineRule="exact"/>
              <w:ind w:firstLine="1155" w:firstLineChars="55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起重机高度</w:t>
            </w:r>
          </w:p>
        </w:tc>
        <w:tc>
          <w:tcPr>
            <w:tcW w:w="5748" w:type="dxa"/>
            <w:vAlign w:val="center"/>
          </w:tcPr>
          <w:p w14:paraId="674C8986">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≤1.3m，轮子至行车最高点</w:t>
            </w:r>
          </w:p>
        </w:tc>
      </w:tr>
      <w:tr w14:paraId="09B2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234EEEE9">
            <w:pPr>
              <w:adjustRightInd w:val="0"/>
              <w:spacing w:line="320" w:lineRule="exact"/>
              <w:ind w:firstLine="1155" w:firstLineChars="55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轮压</w:t>
            </w:r>
          </w:p>
        </w:tc>
        <w:tc>
          <w:tcPr>
            <w:tcW w:w="5748" w:type="dxa"/>
            <w:vAlign w:val="center"/>
          </w:tcPr>
          <w:p w14:paraId="61B7B6BE">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≤68KN</w:t>
            </w:r>
          </w:p>
        </w:tc>
      </w:tr>
      <w:tr w14:paraId="50C9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7B37C83A">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操作方式</w:t>
            </w:r>
          </w:p>
        </w:tc>
        <w:tc>
          <w:tcPr>
            <w:tcW w:w="5748" w:type="dxa"/>
            <w:vAlign w:val="center"/>
          </w:tcPr>
          <w:p w14:paraId="00C9B508">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地操</w:t>
            </w:r>
            <w:r>
              <w:rPr>
                <w:rFonts w:ascii="宋体" w:hAnsi="宋体" w:cs="宋体"/>
                <w:color w:val="auto"/>
                <w:kern w:val="0"/>
                <w:szCs w:val="21"/>
                <w:highlight w:val="none"/>
              </w:rPr>
              <w:t>遥控</w:t>
            </w:r>
          </w:p>
        </w:tc>
      </w:tr>
      <w:tr w14:paraId="0022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1F6B82C6">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电源</w:t>
            </w:r>
          </w:p>
        </w:tc>
        <w:tc>
          <w:tcPr>
            <w:tcW w:w="5748" w:type="dxa"/>
            <w:vAlign w:val="center"/>
          </w:tcPr>
          <w:p w14:paraId="4BE17957">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三相交流</w:t>
            </w:r>
            <w:r>
              <w:rPr>
                <w:rFonts w:hint="eastAsia" w:ascii="宋体" w:hAnsi="宋体" w:cs="宋体"/>
                <w:color w:val="auto"/>
                <w:kern w:val="0"/>
                <w:szCs w:val="21"/>
                <w:highlight w:val="none"/>
              </w:rPr>
              <w:t xml:space="preserve"> AC 50Hz 380V</w:t>
            </w:r>
          </w:p>
        </w:tc>
      </w:tr>
      <w:tr w14:paraId="6000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1F931C49">
            <w:pPr>
              <w:adjustRightInd w:val="0"/>
              <w:spacing w:line="320" w:lineRule="exact"/>
              <w:ind w:firstLine="317" w:firstLineChars="151"/>
              <w:jc w:val="center"/>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滑触线</w:t>
            </w:r>
          </w:p>
        </w:tc>
        <w:tc>
          <w:tcPr>
            <w:tcW w:w="5748" w:type="dxa"/>
            <w:vAlign w:val="center"/>
          </w:tcPr>
          <w:p w14:paraId="1E0EE6B7">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单极</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2</w:t>
            </w:r>
            <w:r>
              <w:rPr>
                <w:rFonts w:ascii="宋体" w:hAnsi="宋体" w:cs="宋体"/>
                <w:color w:val="auto"/>
                <w:kern w:val="0"/>
                <w:szCs w:val="21"/>
                <w:highlight w:val="none"/>
              </w:rPr>
              <w:t>00A</w:t>
            </w:r>
          </w:p>
        </w:tc>
      </w:tr>
    </w:tbl>
    <w:p w14:paraId="35311C00">
      <w:pPr>
        <w:rPr>
          <w:color w:val="auto"/>
          <w:highlight w:val="none"/>
        </w:rPr>
      </w:pPr>
    </w:p>
    <w:p w14:paraId="3555F70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2.1设备性能要求</w:t>
      </w:r>
    </w:p>
    <w:p w14:paraId="4B1A2C1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 起重机的设计与制造须运行安全、设计先进、结构合理、操作简单、维修方便，其总体技术水平达到当今国内外同类产品的先进水平。</w:t>
      </w:r>
    </w:p>
    <w:p w14:paraId="37D5774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2.1.2起重机的钢结构、机械系统、电气系统和安全保护装置要符合或高于现行国家有关规范和标准。</w:t>
      </w:r>
    </w:p>
    <w:p w14:paraId="6F89703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2.1.3起重机有足够的强度、刚度、稳定性和抗倾覆性，各机构能安全可靠地运行，震动、噪声、环保均符合现行有关标准的要求，消防和安全均符合ISO国际标准或国家标准；</w:t>
      </w:r>
    </w:p>
    <w:p w14:paraId="1345CCC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2.1.4起重机须把充分满足使用方的要求作为最重要的追求目标；</w:t>
      </w:r>
    </w:p>
    <w:p w14:paraId="38B1EFF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2.1.5起重机的设计图纸和技术文件的制图方法、尺寸、公差配合、符号等都应采用公制体系，并符合ISO现行有关标准或中国现行有关国家标准的规定；</w:t>
      </w:r>
    </w:p>
    <w:p w14:paraId="3AFCE37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2.1.6起重机钢结构设计合理、结构优化、符合规范和标准，满足强度、刚度和稳定性的要求，设计中应充分考虑现场的工作环境；钢结构的设计必须考虑到制造、检查、运输、安装和维护的方便与可靠性。在满足需求和有关现行规范标准条件下，通过优化设计，最大限度地降低钢结构的重量；</w:t>
      </w:r>
    </w:p>
    <w:p w14:paraId="10F23A6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所有钢结构件对接焊缝按照国家标准（钢结构超声波探伤标准GB/T3323-2005）进行探伤并且焊接后都要经过抛丸2.5Sa预处理，以达到消除焊接应力和除锈除氧化皮的目的，保证焊接质量；</w:t>
      </w:r>
    </w:p>
    <w:p w14:paraId="73AC3FE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起重机的钢结构主要由主梁、端梁等组成；主梁与端梁采用高强螺栓连接（不低于8.8级），整机精度高和运行平稳。</w:t>
      </w:r>
    </w:p>
    <w:p w14:paraId="606F6A7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 结构要求</w:t>
      </w:r>
    </w:p>
    <w:p w14:paraId="577A477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2.2.1主梁部分</w:t>
      </w:r>
    </w:p>
    <w:p w14:paraId="6387073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主梁为箱型梁结构；</w:t>
      </w:r>
    </w:p>
    <w:p w14:paraId="6302657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主梁上拱度、水平方向的弯曲要符合国家相关标准；</w:t>
      </w:r>
    </w:p>
    <w:p w14:paraId="5695093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主梁由钢板焊接成型，钢板材料必须符合国家的相应规范，刚度满足国家标准要求，主要钢结构材料应具有良好的焊接工艺性，主要钢结构材料采用不低于Q235B，使用的材料具有材质报告及相应的合格证书；</w:t>
      </w:r>
    </w:p>
    <w:p w14:paraId="6253EE2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所有钢结构件在喷漆前必须经过表面抛丸Sa2.5预处理以达到消除焊接应力和除锈除氧化皮的目的；并且对接焊缝按照国家标准（钢结构超声波探伤标准GB/T3323-2005）进行探伤；</w:t>
      </w:r>
    </w:p>
    <w:p w14:paraId="42BC476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2.2.2端梁部分</w:t>
      </w:r>
    </w:p>
    <w:p w14:paraId="763234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端梁材质：中国国家标准不低于Q345B；</w:t>
      </w:r>
    </w:p>
    <w:p w14:paraId="28A66FA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端梁为矩形钢管或钢板焊接成型，成型后的端梁在数控机床一次定位加工；</w:t>
      </w:r>
    </w:p>
    <w:p w14:paraId="12AFEFD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每个端梁配有双轮缘的车轮、缓冲器和防脱轨保护装置；</w:t>
      </w:r>
    </w:p>
    <w:p w14:paraId="553D410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2.2.3起重机机械部分</w:t>
      </w:r>
    </w:p>
    <w:p w14:paraId="19CF0CE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机械系统主要由起升机构、大车及小车行走机构等主要机械机构组成；起重机机械系统所用的零部件，如齿轮箱、制动器、卷筒、轮、滑轮、吊钩、轴承等都必须按起重机规范和相应标准设计制造。所有旋转轴、联节器、齿轮和其它旋转部件均须有安全防护，防护罩的设计应能使人容易接近润滑油脂加注点、油位计和其它检查点，以便操作人员能够没有危险的或者不需拆除防护体的任何部分情况下，就可进行日常观察、维修。</w:t>
      </w:r>
    </w:p>
    <w:p w14:paraId="4523498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起重机各部安全联锁和限位装置、缓冲器、制动器、安全护栏、吊钩防脱钩等齐全，安全可靠。</w:t>
      </w:r>
    </w:p>
    <w:p w14:paraId="0861E00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上升极限位置限位器：起升机构设置上升极限位置限位器，保证吊具起升到极限位置时，自动切断起升装置的动力电源，通过安全报警系统发出信号；起升设置上升双限位。</w:t>
      </w:r>
    </w:p>
    <w:p w14:paraId="615B03B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下降极限位置限位器：保证吊钩下降到极限位置时，自动切断下降装置的动力电源，使钢丝绳在卷筒上缠绕圈数不少于国家规范所规定的圈数；</w:t>
      </w:r>
    </w:p>
    <w:p w14:paraId="29ADFA7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防碰撞机构：起重机设置两套限位机械限位与光电防碰撞装置，；</w:t>
      </w:r>
    </w:p>
    <w:p w14:paraId="0A5A1E0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2.2.4起升机构</w:t>
      </w:r>
    </w:p>
    <w:p w14:paraId="46BA3E8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电动葫芦：采用国内知名品牌。</w:t>
      </w:r>
    </w:p>
    <w:p w14:paraId="6167061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单梁桥式起重机起升机构为欧式开放卷扬机构；</w:t>
      </w:r>
    </w:p>
    <w:p w14:paraId="23FD815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起升机构钢丝绳应采用符合国际和中国现行有关标准的产品，所有钢丝绳采用高强度钢丝绳，要求破断力大，寿命长，自润滑，免维护性能好；</w:t>
      </w:r>
    </w:p>
    <w:p w14:paraId="42E2D54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起升电机：防护等级IP55，F级绝缘；接电持续率60%；有过热保护，风冷式；电机外壳由铝合金冲压成型或压铸成型壳体。</w:t>
      </w:r>
    </w:p>
    <w:p w14:paraId="3F9DEA8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减速箱：完全密封紧凑型齿轮箱，硬齿面（HRC60）、经过研磨处理；采用半油脂润滑，免维护；</w:t>
      </w:r>
    </w:p>
    <w:p w14:paraId="2363644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限位开关：起升机构设置双限位</w:t>
      </w:r>
    </w:p>
    <w:p w14:paraId="18C85B0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卷筒：卷筒直径和钢丝绳直径比值符合国家标准，增强钢丝绳寿命，重物放置偏移小；钢丝绳用绳夹固定，至少有3 圈钢丝绳固定安全圈。主副钩电机接电持续率60%。</w:t>
      </w:r>
    </w:p>
    <w:p w14:paraId="3EE71AE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在吊钩放在最低端，至少留有2圈钢丝绳余量（不含压绳圈）；重级工作制轴承(机构工作级别大于等于M6)，轴承为国内外知名厂家产品；卷筒由无缝钢管制成，并加工出绳槽。</w:t>
      </w:r>
    </w:p>
    <w:p w14:paraId="678B258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吊钩：吊钩组由吊钩和滑轮等组成。采用抗磨滚子轴承，轴承为国内外知名厂家产品；吊钩可以 360°旋转，配备弹簧压紧的安全扣可以防止滑脱；依据标准 DIN17200，吊钩锻件为调质钢 34CrMoV。</w:t>
      </w:r>
    </w:p>
    <w:p w14:paraId="7E65904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2.2.5大车、小车行走机构</w:t>
      </w:r>
    </w:p>
    <w:p w14:paraId="1ED71A5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2.2.5.1驱动结构形式：三合一结构；大、小车：电机防护等级为IP55、绝缘等级为F 级。电机调速为变频器调速，变频器采用起重机专用变频器。</w:t>
      </w:r>
    </w:p>
    <w:p w14:paraId="4B3E065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2.2.5.2 减速机为硬齿面减速机，其齿轮、齿轮轴为锻制，齿面硬度55HRC左右。</w:t>
      </w:r>
    </w:p>
    <w:p w14:paraId="56B8F29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2.2.5.3 制动器为电磁盘式制动器,防尘、无石棉设计。制动器具有自动调节间隙功能，当起升刹车片厚度不够时自动报警，在断电时运行机构要确保处于制动状态要求转向操作轻便, 可靠性高。</w:t>
      </w:r>
    </w:p>
    <w:p w14:paraId="3232666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起升制动器：双制动</w:t>
      </w:r>
    </w:p>
    <w:p w14:paraId="4286E2B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刹车片寿命：正常使用不低于100万次，紧急制动不低于500次。</w:t>
      </w:r>
    </w:p>
    <w:p w14:paraId="644731F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2.2.5.4 车轮材料为球墨铸铁或锻造合金，表面硬化处理。</w:t>
      </w:r>
    </w:p>
    <w:p w14:paraId="4CFBC63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2.2.5.5 在大、小车运行的终端位置设置十字限位开关，大、小车运行到此位置自动实现减速、停止。终端位置设置机械死档块，防止因电气失灵大、小车冲出轨道。</w:t>
      </w:r>
    </w:p>
    <w:p w14:paraId="493B1F5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2.2.5.6 缓冲器采用吸收能量高、缓冲性能好的缓冲器。</w:t>
      </w:r>
    </w:p>
    <w:p w14:paraId="7CB6A17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2.2.6操作方式</w:t>
      </w:r>
    </w:p>
    <w:p w14:paraId="560E5B3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起重机操作方式为遥控器操作，一用一备。</w:t>
      </w:r>
    </w:p>
    <w:p w14:paraId="131DA1D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2.3电气及控制要求</w:t>
      </w:r>
    </w:p>
    <w:p w14:paraId="2729F9D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2.3.1起重机电气系统的设计和制造须把安全运行放在首位，所有电气设备须有必要的防护措施，防止发生意外的触电事故和碰撞事故，在所有的操作系统上都应设有应急停止专用的蘑菇头紧急停车开关；</w:t>
      </w:r>
    </w:p>
    <w:p w14:paraId="2F6A1FF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2.3.2起重机所采用的电气元器件和部件要充分保证系统的可靠性、稳定性、耐用性。电气元器件和部件的要保证其产品的连续性，能够保证备件10年的国内供应；</w:t>
      </w:r>
    </w:p>
    <w:p w14:paraId="2E3D868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2.3.3起重机的电气控制系统的所有控制柜和元器件都要保留足够的检测和维修空间，并且可方便地搬运和吊装，电气控制系统要方便维修、更换和拆卸部件；</w:t>
      </w:r>
    </w:p>
    <w:p w14:paraId="34B86B7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2.3.4所有起重机配置过载保护及报警功能、以及安全规范规定或相关标准规定的所有保护措施；起重机的所有电气元件选用国内外知名品牌产品；</w:t>
      </w:r>
    </w:p>
    <w:p w14:paraId="02F06EB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2.3.5电气柜要求：电气柜须采用标准尺寸柜体，外壳防护等级为IP54， </w:t>
      </w:r>
    </w:p>
    <w:p w14:paraId="116B90F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2.3.6常规电气保护：过流、过压、欠压、短路、过热、接地、漏电、缺相、刹车片厚度监测、报警保护。</w:t>
      </w:r>
    </w:p>
    <w:p w14:paraId="4A5D7A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2.3.7大车行走指示：大车行走时要有符合工程标准的声光警示装置；</w:t>
      </w:r>
    </w:p>
    <w:p w14:paraId="24D475D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2.3.8起重机要尽量采用各种阻燃材料从本质上来预防火灾的发生；</w:t>
      </w:r>
    </w:p>
    <w:p w14:paraId="6B151BD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2.3.9所有正常工作条件下温度超过60℃的部分都应用隔热材料进行防护；</w:t>
      </w:r>
    </w:p>
    <w:p w14:paraId="6446FAF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2.3.10所有可能带电的部位，应进行绝缘处理或者用栅栏护围以防止危险发生；</w:t>
      </w:r>
    </w:p>
    <w:p w14:paraId="4EA3974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2.3.11起重机电气系统所使用的电线和电缆一律为各种铜芯电线和电缆，必须具有耐高温、防火、防爆、机械强度高、安全可靠的特性；</w:t>
      </w:r>
    </w:p>
    <w:p w14:paraId="7921D18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2.3.12起重机的电源采用三相五线制(380V 50Hz)，现场每跨提供一处电源断路器，断路器出线开始由投标方负责提供，电源由大车滑触线引入起重机上的电源控制柜上。由电源控制柜引出动力、照明、控制等电源。电源总开关必须具有过电流及电磁保护功能。电网的PE 线与起重机轨道紧密相连，轨道应采用重复接地措施。滑触线需提供相间、各相对地的绝缘测试报告。</w:t>
      </w:r>
    </w:p>
    <w:p w14:paraId="2D2EC9B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 其他要求</w:t>
      </w:r>
    </w:p>
    <w:p w14:paraId="69D1ED8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2.4.1所有转动部件应有可靠的润滑系统。</w:t>
      </w:r>
    </w:p>
    <w:p w14:paraId="73C5332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2.4.2 全部减速器采用硬齿面减速器，供方应采取措施防止减速器渗漏油。</w:t>
      </w:r>
    </w:p>
    <w:p w14:paraId="505FC7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2.4.3整车设置警示电铃，大、小车、起升等运行之前需操作电铃警示。</w:t>
      </w:r>
    </w:p>
    <w:p w14:paraId="1BEA518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2.4.4起升机构（主、副钩）设置起重量限制器，当载荷达到90%额定载荷时，发出提示性报警信号，达到100%额定载荷时，起升机构停止上升，只能下降。起重量限制器带吨位显示器，必须保证在地面上数字清晰可见，选择质量可靠的产品。重量限制器具有主、副钩总载荷叠加功能，防止主梁过载。</w:t>
      </w:r>
    </w:p>
    <w:p w14:paraId="7328B61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2.4.5采用全新国标轨道，不允许采用翻新轨道，包括轨道、轨道压板（图集号：05G525）、螺栓、鱼尾板、调整垫板。轨道两端车档应与起重机撞块有良好的接触（大车止档招标方提供）。</w:t>
      </w:r>
    </w:p>
    <w:p w14:paraId="3E843E5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2.4.6起重机的喷涂应按招标方要求喷涂,采用高质量防锈漆，钢结构、机械设备及零部件都要作防腐处理。制造钢结构的板材和型材要经过抛丸预处理，管材除镀锌外，要经过化学方法或机械手工除锈。</w:t>
      </w:r>
    </w:p>
    <w:p w14:paraId="56A44ED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 标准</w:t>
      </w:r>
    </w:p>
    <w:p w14:paraId="4D1085D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2.5.1 桥式起重机的设计、制造、包装、运输、安装、验收应符合下列标准、规范和有关的中国国家标准(GB)的要求。如下列标准与企业执行标准有矛盾，按较高标准执行。从订货之日起至供方开始投料制造之前的这段时间内，如果因标准、规程发生修改或变化，需方有权提出补充要求，供方应满足并遵守这些要求。</w:t>
      </w:r>
    </w:p>
    <w:p w14:paraId="3AA38B0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2.5.2 供方须执行本规范书所列标准。有矛盾时，按较高标准执行。</w:t>
      </w:r>
    </w:p>
    <w:p w14:paraId="497392F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2.5.3起重机的验收在当地特种设备质量监督局和需方共同检查验收合格后，特种设备质量监督局出具许可证。</w:t>
      </w:r>
    </w:p>
    <w:p w14:paraId="100E03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2.6涂装要求</w:t>
      </w:r>
    </w:p>
    <w:p w14:paraId="1557493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2.6.1起重机涂装的寿命要求不小于10年，要求采用高质量防锈漆。</w:t>
      </w:r>
    </w:p>
    <w:p w14:paraId="6633637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2.6.2起重机所有的钢结构、机械设备及所有零部件都要作防腐处理。制造钢结构的板材和型材都要经过Sa2.5抛丸预处理，管材除镀锌外，要经过化学方法或机械手工除锈。</w:t>
      </w:r>
    </w:p>
    <w:p w14:paraId="73C0373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2.6.3设备的涂装要求：钢结构油漆为A80，涂层总厚度不小于120µm。主梁结构颜色：RAL1028（中黄色），零部件油漆为（包括齿轮箱、电机、吊钩、制动器及小车等）RAL5009（蓝色），电器柜内侧也要涂漆。以上所有涂装颜色需业主确认。如需变更，需要在合同生效之日起壹个月内通知卖方。</w:t>
      </w:r>
    </w:p>
    <w:p w14:paraId="2D69238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2.6.4发运途中，所有金属表面都有防湿防潮保护；</w:t>
      </w:r>
    </w:p>
    <w:p w14:paraId="523214C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2.6.5外购的机电设备的颜色与周围环境相协调，提交时不能有任何损坏；</w:t>
      </w:r>
    </w:p>
    <w:p w14:paraId="07630AB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2.6.6漆膜的外观检查为湿膜，不得缩边、缩水、起泡、发白、失光、涂料流挂。干膜不得有细微龟裂、剥膜等现象。面漆应均匀、平整、色泽一致，不得有漏漆、流漆、开裂、针孔、脱层等缺陷；</w:t>
      </w:r>
    </w:p>
    <w:p w14:paraId="663D25D6">
      <w:pPr>
        <w:spacing w:line="360" w:lineRule="auto"/>
        <w:ind w:firstLine="480" w:firstLineChars="200"/>
        <w:rPr>
          <w:color w:val="auto"/>
          <w:highlight w:val="none"/>
        </w:rPr>
      </w:pPr>
      <w:r>
        <w:rPr>
          <w:rFonts w:hint="eastAsia" w:ascii="宋体" w:hAnsi="宋体" w:eastAsia="宋体" w:cs="宋体"/>
          <w:color w:val="auto"/>
          <w:sz w:val="24"/>
          <w:szCs w:val="24"/>
          <w:highlight w:val="none"/>
        </w:rPr>
        <w:t>2.6.7漆膜性能检验，漆膜的干透性、粘附力参照GB9286-88规定的一级质量要求进行。漆膜的厚度检验，每10m2不少于3处，厚度误差20%。</w:t>
      </w:r>
    </w:p>
    <w:p w14:paraId="7957D5C9">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四、执行标准</w:t>
      </w:r>
    </w:p>
    <w:p w14:paraId="78C8B103">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1、招标方此处所列标准仅为涉及的主要标准，而且不保证其为最新版执行标准；投标方应当在投标文件中认真予以填写、补充和修改完善。</w:t>
      </w:r>
    </w:p>
    <w:p w14:paraId="742513AE">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2、投标方需要执行的标准，应当采用所供货物通过买方组织的最终验收之日已经开始执行的最新标准。</w:t>
      </w:r>
    </w:p>
    <w:p w14:paraId="7B019AC0">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3、采购货物的产品质量、技术标准如在招投标文件中无相应说明，则按中华人民共和国有关部门颁发的最新的国标或专业（部）标准执行及相应的国际标准。</w:t>
      </w:r>
    </w:p>
    <w:p w14:paraId="67D47C29">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4、采购货物没有国家或专业（部）标准的，按企业标准执行时，卖方应在合同签署之前，将所涉及的企业标准提供给买方确认。</w:t>
      </w:r>
    </w:p>
    <w:p w14:paraId="1BC78A79">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5、采购货物如果采用国际标准，其执行标准由投标方提供、招标方确认。</w:t>
      </w:r>
    </w:p>
    <w:p w14:paraId="1EA6FFD4">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6、采购货物所涉及的标准不统一时，原则上按照最严格标准执行。</w:t>
      </w:r>
    </w:p>
    <w:p w14:paraId="5CBDCE9C">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7、涉及的主要标准表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4110"/>
        <w:gridCol w:w="1843"/>
        <w:gridCol w:w="2062"/>
      </w:tblGrid>
      <w:tr w14:paraId="732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748B66A">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110" w:type="dxa"/>
            <w:vAlign w:val="center"/>
          </w:tcPr>
          <w:p w14:paraId="11FA090A">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标准名称</w:t>
            </w:r>
          </w:p>
        </w:tc>
        <w:tc>
          <w:tcPr>
            <w:tcW w:w="1843" w:type="dxa"/>
            <w:vAlign w:val="center"/>
          </w:tcPr>
          <w:p w14:paraId="17197C65">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标准编号</w:t>
            </w:r>
          </w:p>
        </w:tc>
        <w:tc>
          <w:tcPr>
            <w:tcW w:w="2062" w:type="dxa"/>
            <w:vAlign w:val="center"/>
          </w:tcPr>
          <w:p w14:paraId="48899948">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4D7E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6D891D1">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10" w:type="dxa"/>
            <w:vAlign w:val="center"/>
          </w:tcPr>
          <w:p w14:paraId="385B220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买方提供企业标准</w:t>
            </w:r>
          </w:p>
        </w:tc>
        <w:tc>
          <w:tcPr>
            <w:tcW w:w="1843" w:type="dxa"/>
            <w:vAlign w:val="center"/>
          </w:tcPr>
          <w:p w14:paraId="049A8322">
            <w:pPr>
              <w:spacing w:line="360" w:lineRule="auto"/>
              <w:ind w:left="480"/>
              <w:jc w:val="center"/>
              <w:rPr>
                <w:rFonts w:ascii="宋体" w:hAnsi="宋体" w:eastAsia="宋体" w:cs="宋体"/>
                <w:color w:val="auto"/>
                <w:sz w:val="24"/>
                <w:szCs w:val="24"/>
                <w:highlight w:val="none"/>
              </w:rPr>
            </w:pPr>
          </w:p>
        </w:tc>
        <w:tc>
          <w:tcPr>
            <w:tcW w:w="2062" w:type="dxa"/>
            <w:vAlign w:val="center"/>
          </w:tcPr>
          <w:p w14:paraId="2F4A8FF4">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卖方确认</w:t>
            </w:r>
          </w:p>
        </w:tc>
      </w:tr>
      <w:tr w14:paraId="4F85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527F0C9">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110" w:type="dxa"/>
            <w:vAlign w:val="center"/>
          </w:tcPr>
          <w:p w14:paraId="25AD150D">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买方提供与设备安全和环保相关的中国、国际通用和制造国的标准</w:t>
            </w:r>
          </w:p>
        </w:tc>
        <w:tc>
          <w:tcPr>
            <w:tcW w:w="1843" w:type="dxa"/>
            <w:vAlign w:val="center"/>
          </w:tcPr>
          <w:p w14:paraId="096D5CBE">
            <w:pPr>
              <w:spacing w:line="360" w:lineRule="auto"/>
              <w:ind w:left="480"/>
              <w:jc w:val="center"/>
              <w:rPr>
                <w:rFonts w:ascii="宋体" w:hAnsi="宋体" w:eastAsia="宋体" w:cs="宋体"/>
                <w:color w:val="auto"/>
                <w:sz w:val="24"/>
                <w:szCs w:val="24"/>
                <w:highlight w:val="none"/>
              </w:rPr>
            </w:pPr>
          </w:p>
        </w:tc>
        <w:tc>
          <w:tcPr>
            <w:tcW w:w="2062" w:type="dxa"/>
            <w:vAlign w:val="center"/>
          </w:tcPr>
          <w:p w14:paraId="52940BAD">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卖方确认</w:t>
            </w:r>
          </w:p>
        </w:tc>
      </w:tr>
    </w:tbl>
    <w:p w14:paraId="70DEED71">
      <w:pPr>
        <w:pStyle w:val="25"/>
        <w:rPr>
          <w:rFonts w:hAnsi="宋体" w:eastAsia="宋体"/>
          <w:color w:val="auto"/>
          <w:highlight w:val="none"/>
        </w:rPr>
      </w:pPr>
    </w:p>
    <w:p w14:paraId="28EEF088">
      <w:pPr>
        <w:keepNext/>
        <w:keepLines/>
        <w:jc w:val="center"/>
        <w:outlineLvl w:val="1"/>
        <w:rPr>
          <w:rFonts w:ascii="宋体" w:hAnsi="宋体" w:eastAsia="宋体"/>
          <w:b/>
          <w:bCs/>
          <w:color w:val="auto"/>
          <w:kern w:val="44"/>
          <w:sz w:val="28"/>
          <w:szCs w:val="28"/>
          <w:highlight w:val="none"/>
        </w:rPr>
      </w:pPr>
      <w:r>
        <w:rPr>
          <w:rFonts w:hint="eastAsia" w:ascii="宋体" w:hAnsi="宋体" w:eastAsia="宋体"/>
          <w:b/>
          <w:bCs/>
          <w:color w:val="auto"/>
          <w:kern w:val="44"/>
          <w:sz w:val="28"/>
          <w:szCs w:val="28"/>
          <w:highlight w:val="none"/>
        </w:rPr>
        <w:t>第三章供货范围及供货方式</w:t>
      </w:r>
      <w:bookmarkEnd w:id="20"/>
    </w:p>
    <w:p w14:paraId="397D29FE">
      <w:pPr>
        <w:rPr>
          <w:rFonts w:ascii="宋体" w:hAnsi="宋体" w:eastAsia="宋体"/>
          <w:color w:val="auto"/>
          <w:highlight w:val="none"/>
        </w:rPr>
      </w:pPr>
    </w:p>
    <w:p w14:paraId="791EEDC6">
      <w:pPr>
        <w:keepNext/>
        <w:keepLines/>
        <w:spacing w:line="360" w:lineRule="auto"/>
        <w:jc w:val="center"/>
        <w:outlineLvl w:val="2"/>
        <w:rPr>
          <w:color w:val="auto"/>
          <w:highlight w:val="none"/>
        </w:rPr>
      </w:pPr>
      <w:bookmarkStart w:id="21" w:name="_Toc169605882"/>
      <w:r>
        <w:rPr>
          <w:rFonts w:hint="eastAsia" w:ascii="宋体" w:hAnsi="宋体" w:eastAsia="宋体" w:cs="宋体"/>
          <w:b/>
          <w:bCs/>
          <w:color w:val="auto"/>
          <w:sz w:val="24"/>
          <w:szCs w:val="32"/>
          <w:highlight w:val="none"/>
        </w:rPr>
        <w:t>第一节  供货范围</w:t>
      </w:r>
      <w:bookmarkEnd w:id="21"/>
    </w:p>
    <w:p w14:paraId="4406D1C4">
      <w:pPr>
        <w:pStyle w:val="152"/>
        <w:spacing w:line="360" w:lineRule="auto"/>
        <w:ind w:firstLine="0" w:firstLineChars="0"/>
        <w:outlineLvl w:val="3"/>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rPr>
        <w:t>供货范围</w:t>
      </w:r>
    </w:p>
    <w:tbl>
      <w:tblPr>
        <w:tblStyle w:val="49"/>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520"/>
        <w:gridCol w:w="1215"/>
        <w:gridCol w:w="793"/>
        <w:gridCol w:w="2693"/>
      </w:tblGrid>
      <w:tr w14:paraId="3ED6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EB39DA">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3520" w:type="dxa"/>
            <w:vAlign w:val="center"/>
          </w:tcPr>
          <w:p w14:paraId="13115CF1">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名称</w:t>
            </w:r>
          </w:p>
        </w:tc>
        <w:tc>
          <w:tcPr>
            <w:tcW w:w="1215" w:type="dxa"/>
            <w:vAlign w:val="center"/>
          </w:tcPr>
          <w:p w14:paraId="5CBD8ABA">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单位</w:t>
            </w:r>
          </w:p>
        </w:tc>
        <w:tc>
          <w:tcPr>
            <w:tcW w:w="793" w:type="dxa"/>
            <w:vAlign w:val="center"/>
          </w:tcPr>
          <w:p w14:paraId="7F078F69">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数量</w:t>
            </w:r>
          </w:p>
        </w:tc>
        <w:tc>
          <w:tcPr>
            <w:tcW w:w="2693" w:type="dxa"/>
            <w:vAlign w:val="center"/>
          </w:tcPr>
          <w:p w14:paraId="4D1B5C4C">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w:t>
            </w:r>
          </w:p>
        </w:tc>
      </w:tr>
      <w:tr w14:paraId="56A6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3297E6">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20" w:type="dxa"/>
            <w:vAlign w:val="center"/>
          </w:tcPr>
          <w:p w14:paraId="768B0B5D">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单梁行车</w:t>
            </w:r>
          </w:p>
        </w:tc>
        <w:tc>
          <w:tcPr>
            <w:tcW w:w="1215" w:type="dxa"/>
            <w:vAlign w:val="center"/>
          </w:tcPr>
          <w:p w14:paraId="26BE9504">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082DE2BE">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693" w:type="dxa"/>
            <w:vAlign w:val="center"/>
          </w:tcPr>
          <w:p w14:paraId="56B75500">
            <w:pPr>
              <w:pStyle w:val="234"/>
              <w:spacing w:beforeLines="0" w:afterLines="0" w:line="360" w:lineRule="auto"/>
              <w:rPr>
                <w:rFonts w:ascii="宋体" w:hAnsi="宋体" w:eastAsia="宋体" w:cs="宋体"/>
                <w:color w:val="auto"/>
                <w:sz w:val="24"/>
                <w:highlight w:val="none"/>
              </w:rPr>
            </w:pPr>
          </w:p>
        </w:tc>
      </w:tr>
      <w:tr w14:paraId="0E56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41887CE">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520" w:type="dxa"/>
            <w:vAlign w:val="center"/>
          </w:tcPr>
          <w:p w14:paraId="78E173A7">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滑线、轨道、其他附件</w:t>
            </w:r>
          </w:p>
        </w:tc>
        <w:tc>
          <w:tcPr>
            <w:tcW w:w="1215" w:type="dxa"/>
            <w:vAlign w:val="center"/>
          </w:tcPr>
          <w:p w14:paraId="4C37AFC1">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7F1ACA95">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693" w:type="dxa"/>
            <w:vAlign w:val="center"/>
          </w:tcPr>
          <w:p w14:paraId="4BF4B7C8">
            <w:pPr>
              <w:pStyle w:val="234"/>
              <w:spacing w:beforeLines="0" w:afterLines="0" w:line="360" w:lineRule="auto"/>
              <w:rPr>
                <w:rFonts w:ascii="宋体" w:hAnsi="宋体" w:eastAsia="宋体" w:cs="宋体"/>
                <w:color w:val="auto"/>
                <w:sz w:val="24"/>
                <w:highlight w:val="none"/>
              </w:rPr>
            </w:pPr>
          </w:p>
        </w:tc>
      </w:tr>
      <w:tr w14:paraId="0081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12E86F3">
            <w:pPr>
              <w:pStyle w:val="44"/>
              <w:spacing w:line="360" w:lineRule="auto"/>
              <w:jc w:val="center"/>
              <w:rPr>
                <w:rFonts w:ascii="宋体" w:hAnsi="宋体" w:cs="宋体"/>
                <w:color w:val="auto"/>
                <w:szCs w:val="24"/>
                <w:highlight w:val="none"/>
              </w:rPr>
            </w:pPr>
            <w:r>
              <w:rPr>
                <w:rFonts w:hint="eastAsia" w:ascii="宋体" w:hAnsi="宋体" w:cs="宋体"/>
                <w:color w:val="auto"/>
                <w:szCs w:val="24"/>
                <w:highlight w:val="none"/>
              </w:rPr>
              <w:t>3</w:t>
            </w:r>
          </w:p>
        </w:tc>
        <w:tc>
          <w:tcPr>
            <w:tcW w:w="3520" w:type="dxa"/>
            <w:vAlign w:val="center"/>
          </w:tcPr>
          <w:p w14:paraId="2A0F0075">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设备使用说明书</w:t>
            </w:r>
          </w:p>
        </w:tc>
        <w:tc>
          <w:tcPr>
            <w:tcW w:w="1215" w:type="dxa"/>
            <w:vAlign w:val="center"/>
          </w:tcPr>
          <w:p w14:paraId="578AE7BA">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759B0D83">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93" w:type="dxa"/>
            <w:vAlign w:val="center"/>
          </w:tcPr>
          <w:p w14:paraId="544EC47A">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r w14:paraId="1694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E40011">
            <w:pPr>
              <w:pStyle w:val="44"/>
              <w:tabs>
                <w:tab w:val="center" w:pos="375"/>
                <w:tab w:val="left" w:pos="539"/>
              </w:tabs>
              <w:spacing w:line="360" w:lineRule="auto"/>
              <w:jc w:val="center"/>
              <w:rPr>
                <w:rFonts w:ascii="宋体" w:hAnsi="宋体" w:cs="宋体"/>
                <w:color w:val="auto"/>
                <w:szCs w:val="24"/>
                <w:highlight w:val="none"/>
              </w:rPr>
            </w:pPr>
            <w:r>
              <w:rPr>
                <w:rFonts w:hint="eastAsia" w:ascii="宋体" w:hAnsi="宋体" w:cs="宋体"/>
                <w:color w:val="auto"/>
                <w:szCs w:val="24"/>
                <w:highlight w:val="none"/>
              </w:rPr>
              <w:t>4</w:t>
            </w:r>
          </w:p>
        </w:tc>
        <w:tc>
          <w:tcPr>
            <w:tcW w:w="3520" w:type="dxa"/>
            <w:vAlign w:val="center"/>
          </w:tcPr>
          <w:p w14:paraId="2B99CB55">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系统软硬件清单</w:t>
            </w:r>
          </w:p>
        </w:tc>
        <w:tc>
          <w:tcPr>
            <w:tcW w:w="1215" w:type="dxa"/>
            <w:vAlign w:val="center"/>
          </w:tcPr>
          <w:p w14:paraId="50CE9404">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4974CEF3">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93" w:type="dxa"/>
            <w:vAlign w:val="center"/>
          </w:tcPr>
          <w:p w14:paraId="70525B31">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r w14:paraId="1908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4D93E2C">
            <w:pPr>
              <w:pStyle w:val="44"/>
              <w:spacing w:line="360" w:lineRule="auto"/>
              <w:jc w:val="center"/>
              <w:rPr>
                <w:rFonts w:ascii="宋体" w:hAnsi="宋体" w:cs="宋体"/>
                <w:color w:val="auto"/>
                <w:szCs w:val="24"/>
                <w:highlight w:val="none"/>
              </w:rPr>
            </w:pPr>
            <w:r>
              <w:rPr>
                <w:rFonts w:hint="eastAsia" w:ascii="宋体" w:hAnsi="宋体" w:cs="宋体"/>
                <w:color w:val="auto"/>
                <w:szCs w:val="24"/>
                <w:highlight w:val="none"/>
              </w:rPr>
              <w:t>5</w:t>
            </w:r>
          </w:p>
        </w:tc>
        <w:tc>
          <w:tcPr>
            <w:tcW w:w="3520" w:type="dxa"/>
            <w:vAlign w:val="center"/>
          </w:tcPr>
          <w:p w14:paraId="4FA0901A">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技术培训资料</w:t>
            </w:r>
          </w:p>
        </w:tc>
        <w:tc>
          <w:tcPr>
            <w:tcW w:w="1215" w:type="dxa"/>
            <w:vAlign w:val="center"/>
          </w:tcPr>
          <w:p w14:paraId="7A3D3DA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573630D7">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93" w:type="dxa"/>
            <w:vAlign w:val="center"/>
          </w:tcPr>
          <w:p w14:paraId="3B477489">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r w14:paraId="40CA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8471158">
            <w:pPr>
              <w:pStyle w:val="44"/>
              <w:spacing w:line="360" w:lineRule="auto"/>
              <w:jc w:val="center"/>
              <w:rPr>
                <w:rFonts w:ascii="宋体" w:hAnsi="宋体" w:cs="宋体"/>
                <w:color w:val="auto"/>
                <w:szCs w:val="24"/>
                <w:highlight w:val="none"/>
              </w:rPr>
            </w:pPr>
            <w:r>
              <w:rPr>
                <w:rFonts w:hint="eastAsia" w:ascii="宋体" w:hAnsi="宋体" w:cs="宋体"/>
                <w:color w:val="auto"/>
                <w:szCs w:val="24"/>
                <w:highlight w:val="none"/>
              </w:rPr>
              <w:t>6</w:t>
            </w:r>
          </w:p>
        </w:tc>
        <w:tc>
          <w:tcPr>
            <w:tcW w:w="3520" w:type="dxa"/>
            <w:vAlign w:val="center"/>
          </w:tcPr>
          <w:p w14:paraId="1843B980">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设备资料（序号6/7/8/9）电子版WORD或PDF版</w:t>
            </w:r>
          </w:p>
        </w:tc>
        <w:tc>
          <w:tcPr>
            <w:tcW w:w="1215" w:type="dxa"/>
            <w:vAlign w:val="center"/>
          </w:tcPr>
          <w:p w14:paraId="2B13664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119F4BA5">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2693" w:type="dxa"/>
            <w:vAlign w:val="center"/>
          </w:tcPr>
          <w:p w14:paraId="3DB3A565">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bl>
    <w:p w14:paraId="1A7543ED">
      <w:pPr>
        <w:spacing w:beforeLines="5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（一）一般界定</w:t>
      </w:r>
    </w:p>
    <w:p w14:paraId="0C84413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1.包括本技术标书所列明的主要货物以及货物正常运行所必需的全套连线设备、材料等。</w:t>
      </w:r>
    </w:p>
    <w:p w14:paraId="2E9D9EC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2.包括为保证货物正常安装、调试和验收完成及以前所必需的整套配件、附件及材料等。</w:t>
      </w:r>
    </w:p>
    <w:p w14:paraId="6B9818A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如果终验收完成后，投标人有需要收回的配件、附件等，应当在投标文件的技术偏离条款中，予以详细说明；否则视同包括在供货范围之内。</w:t>
      </w:r>
    </w:p>
    <w:p w14:paraId="0971D29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3.包括货物维护维修所必需的专用工具。</w:t>
      </w:r>
    </w:p>
    <w:p w14:paraId="1568D47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6DE2CEC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包括为保证货物自身正常运行所必需的、满足使用地点环境条件的通风、冷却、降温等必需设施。</w:t>
      </w:r>
    </w:p>
    <w:p w14:paraId="3DA21B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如投标人难以提供或无优势提供以及属于选用配置的，则应当在投标文件的技术偏离条款中，予以详细说明并注明投标报价未包含该部分的货值。</w:t>
      </w:r>
    </w:p>
    <w:p w14:paraId="455F78F5">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（二）供货范围边界界定</w:t>
      </w:r>
    </w:p>
    <w:p w14:paraId="602DA62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1.对于招标文件中无明确具体要求而投标方认为必须具备的其它货物，投标方必须将该部分货物单独报价（该报价含运杂费及税费等其它费用，而且不再作为其它报价涉及的其它费用的计算基数）。</w:t>
      </w:r>
    </w:p>
    <w:p w14:paraId="136CB75C">
      <w:pPr>
        <w:spacing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.对于招标文件中无明确具体要求而投标人认为必须具备的其它货物，投标人必须将该部分货物单独报价（该报价含运杂费及税费等其它费用，而且不再作为其它报价涉及的其它费用的计算基数）。</w:t>
      </w:r>
    </w:p>
    <w:p w14:paraId="5C4CB392">
      <w:pPr>
        <w:pStyle w:val="18"/>
        <w:ind w:firstLine="420" w:firstLineChars="17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3.供货界面说明</w:t>
      </w:r>
    </w:p>
    <w:p w14:paraId="34B9DDE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3.1、投标方提供每跨含适配的轨道、滑线（及运输安装）及安装附件；</w:t>
      </w:r>
    </w:p>
    <w:p w14:paraId="071E69D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3.2、滑触线按适配型号安装，含未来增加项。</w:t>
      </w:r>
    </w:p>
    <w:p w14:paraId="6FD214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3.3、大车止挡招标方提供。</w:t>
      </w:r>
    </w:p>
    <w:p w14:paraId="69024EB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3.4、投标方提供</w:t>
      </w:r>
      <w:r>
        <w:rPr>
          <w:rFonts w:hint="eastAsia" w:ascii="宋体" w:hAnsi="宋体" w:cs="宋体"/>
          <w:color w:val="auto"/>
          <w:sz w:val="24"/>
          <w:szCs w:val="24"/>
          <w:highlight w:val="none"/>
          <w:lang w:val="en-US" w:eastAsia="zh-CN"/>
        </w:rPr>
        <w:t>招标方</w:t>
      </w:r>
      <w:r>
        <w:rPr>
          <w:rFonts w:hint="eastAsia" w:ascii="宋体" w:hAnsi="宋体" w:eastAsia="宋体" w:cs="宋体"/>
          <w:color w:val="auto"/>
          <w:sz w:val="24"/>
          <w:szCs w:val="24"/>
          <w:highlight w:val="none"/>
        </w:rPr>
        <w:t>电源开关箱至行车接线端的电缆、安装及附件；</w:t>
      </w:r>
    </w:p>
    <w:p w14:paraId="26503DC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3.5、压板采用焊接的形式。</w:t>
      </w:r>
    </w:p>
    <w:p w14:paraId="42BC986F">
      <w:pPr>
        <w:pStyle w:val="18"/>
        <w:ind w:firstLine="840"/>
        <w:rPr>
          <w:color w:val="auto"/>
          <w:highlight w:val="none"/>
        </w:rPr>
      </w:pPr>
    </w:p>
    <w:p w14:paraId="277EE56A">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二、备品备件、易损件和专用耗材供货范围</w:t>
      </w:r>
    </w:p>
    <w:p w14:paraId="10EA75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1.招标人招标文件所指备品备件、易损件和专用耗材，是招标人为保证设备质保期之后正常运行一年所自备自用的备品备件、易损件和专用耗材；</w:t>
      </w:r>
    </w:p>
    <w:p w14:paraId="51B256E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质保期之内正常需要的备品备件、易损件和专用耗材全部包括在供货范围之内而不属于本条款界定的范围（应有明细）。</w:t>
      </w:r>
    </w:p>
    <w:p w14:paraId="423EB5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2.供货范围包括易损件和专用耗材的制造图纸及其技术要求等资料，如涉及专有技术或无法提供，应在投标文件中予以澄清或说明。</w:t>
      </w:r>
    </w:p>
    <w:p w14:paraId="43B2609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3投标方需提供必须的备品备件清单（备品备件明确规格、厂家、产地、价格，单独报价）；</w:t>
      </w:r>
    </w:p>
    <w:p w14:paraId="5F3385B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4易损件和专用耗材，其费用应分类单列，并计入投标总报价之内；</w:t>
      </w:r>
    </w:p>
    <w:p w14:paraId="0AF631C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5投标方应提供设备维修所必需的专用工具，并附详细清单（包括名称、型号、规格、单位、数量、生产厂家、单价、总价等条目，单独报价）。</w:t>
      </w:r>
    </w:p>
    <w:p w14:paraId="04B6F101">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三、技术资料供货范围</w:t>
      </w:r>
    </w:p>
    <w:p w14:paraId="40E0A5E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技术资料供货范围包括：</w:t>
      </w:r>
    </w:p>
    <w:p w14:paraId="691A3A6D">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1.在</w:t>
      </w:r>
      <w:r>
        <w:rPr>
          <w:rFonts w:hint="eastAsia" w:ascii="宋体" w:hAnsi="宋体" w:eastAsia="宋体" w:cs="宋体"/>
          <w:bCs/>
          <w:color w:val="auto"/>
          <w:sz w:val="24"/>
          <w:szCs w:val="24"/>
          <w:highlight w:val="none"/>
        </w:rPr>
        <w:t>合同签订后</w:t>
      </w:r>
      <w:r>
        <w:rPr>
          <w:rFonts w:hint="eastAsia" w:ascii="宋体" w:hAnsi="宋体" w:eastAsia="宋体" w:cs="宋体"/>
          <w:bCs/>
          <w:color w:val="auto"/>
          <w:sz w:val="24"/>
          <w:szCs w:val="24"/>
          <w:highlight w:val="none"/>
          <w:u w:val="single"/>
          <w:shd w:val="pct10" w:color="auto" w:fill="FFFFFF"/>
        </w:rPr>
        <w:t xml:space="preserve"> 10 </w:t>
      </w:r>
      <w:r>
        <w:rPr>
          <w:rFonts w:hint="eastAsia" w:ascii="宋体" w:hAnsi="宋体" w:eastAsia="宋体" w:cs="宋体"/>
          <w:bCs/>
          <w:color w:val="auto"/>
          <w:sz w:val="24"/>
          <w:szCs w:val="24"/>
          <w:highlight w:val="none"/>
        </w:rPr>
        <w:t>个日历日内，提供货物基础及相关的设计、制作所需的纸质及电子版资料；电子版文件应当能够使用常用版本软件可以阅读甚至使用，进口货物、设备应有中外文对照。</w:t>
      </w:r>
    </w:p>
    <w:p w14:paraId="579EB6B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2.在预验收前，提供货物各部分的功能描述文件、图片、影像等资料（进口、设备应有中外文对照）。</w:t>
      </w:r>
    </w:p>
    <w:p w14:paraId="139D491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3.在终验收前，提供为保证货物后续正常运行所需的具体技术要求等资料（如果供货范围包含该部分实物）。</w:t>
      </w:r>
    </w:p>
    <w:p w14:paraId="1F6B768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4.在终验收前，提供确定的维修所需要且买方可以自行采购的外购件、外协件、电气元件及主要原材料的供货厂家明细表。</w:t>
      </w:r>
    </w:p>
    <w:p w14:paraId="37883BB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5.在终验收后的第一笔货款支付日之前，提供包括货物的备品备件、易损件和专用耗材的图纸及技术参数、技术要求等资料。</w:t>
      </w:r>
    </w:p>
    <w:p w14:paraId="7E07C86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01278161">
      <w:pPr>
        <w:spacing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7</w:t>
      </w:r>
      <w:r>
        <w:rPr>
          <w:rFonts w:hint="eastAsia" w:ascii="宋体" w:hAnsi="宋体" w:eastAsia="宋体" w:cs="宋体"/>
          <w:color w:val="auto"/>
          <w:sz w:val="24"/>
          <w:szCs w:val="24"/>
          <w:highlight w:val="none"/>
        </w:rPr>
        <w:t>.本“技术资料范围”所列的技术资料、图等，投标方应各提供4套纸质资料及3套电子版资料（光盘或U盘等），每份技术文件应装有目录清单。</w:t>
      </w:r>
    </w:p>
    <w:p w14:paraId="6ECD87D0">
      <w:pPr>
        <w:spacing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8</w:t>
      </w:r>
      <w:r>
        <w:rPr>
          <w:rFonts w:hint="eastAsia" w:ascii="宋体" w:hAnsi="宋体" w:eastAsia="宋体" w:cs="宋体"/>
          <w:color w:val="auto"/>
          <w:sz w:val="24"/>
          <w:szCs w:val="24"/>
          <w:highlight w:val="none"/>
        </w:rPr>
        <w:t>.本条款所列要求，如招标人认为投标人提供的资料不能满足要求时，有权要求投标人免费补充或增加。</w:t>
      </w:r>
    </w:p>
    <w:p w14:paraId="352A0F58">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9.供方必须提供设备模型（文件格式STP），模型文件应包含设备的全部信息；对设备结构及功能详细说明，包括设备工作流程描述、运行说明、工位节拍等信息。</w:t>
      </w:r>
    </w:p>
    <w:p w14:paraId="00A3A13D">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10.</w:t>
      </w:r>
      <w:r>
        <w:rPr>
          <w:rFonts w:ascii="Times New Roman" w:hAnsi="Times New Roman" w:eastAsia="宋体"/>
          <w:color w:val="auto"/>
          <w:sz w:val="24"/>
          <w:szCs w:val="24"/>
          <w:highlight w:val="none"/>
        </w:rPr>
        <w:t>维修和使用手册</w:t>
      </w:r>
    </w:p>
    <w:p w14:paraId="7417DFEE">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在调试以前必须提供维修和使用手册四套和一套电子文件。这些手册应包括，但不限于下述内容：</w:t>
      </w:r>
    </w:p>
    <w:p w14:paraId="4BD4EF52">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设备描述和主要设备的分项；</w:t>
      </w:r>
    </w:p>
    <w:p w14:paraId="4D4D20F9">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润滑计划和润滑频次；</w:t>
      </w:r>
    </w:p>
    <w:p w14:paraId="2475CC7A">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供应商的文献和详细的元件部件；</w:t>
      </w:r>
    </w:p>
    <w:p w14:paraId="542104DD">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操作程序；</w:t>
      </w:r>
    </w:p>
    <w:p w14:paraId="33700FBD">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设备布置图；</w:t>
      </w:r>
    </w:p>
    <w:p w14:paraId="235C7C91">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详细的元件和总装图，包括分解部件总成图；</w:t>
      </w:r>
    </w:p>
    <w:p w14:paraId="1F01560D">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故障分析和解决方法；</w:t>
      </w:r>
    </w:p>
    <w:p w14:paraId="39673495">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维修功能——维护和维修细节，包括频次；</w:t>
      </w:r>
    </w:p>
    <w:p w14:paraId="4148A07E">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图纸</w:t>
      </w:r>
    </w:p>
    <w:p w14:paraId="1C80D5B1">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.1提供机械AutoCAD（.dwg）格式，电气EPLANP8可编辑格式的文件和电子数据。</w:t>
      </w:r>
    </w:p>
    <w:p w14:paraId="3F68A712">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.2提供所有设施和设备的图纸，包括总图、原理图、制造图、分解视图。</w:t>
      </w:r>
    </w:p>
    <w:p w14:paraId="4B00D361">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.3在签订合同后立即进行设计图纸，并提供图纸，在整个阶段连续地进行。这些图纸包括，但不限于：</w:t>
      </w:r>
    </w:p>
    <w:p w14:paraId="34194BF0">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详细的零件图；</w:t>
      </w:r>
    </w:p>
    <w:p w14:paraId="4198ED8C">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零件和总成图；</w:t>
      </w:r>
    </w:p>
    <w:p w14:paraId="35C1E42C">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总的平面布置图和分图；</w:t>
      </w:r>
    </w:p>
    <w:p w14:paraId="6BB57850">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钢结构布置图和分图；</w:t>
      </w:r>
    </w:p>
    <w:p w14:paraId="2C42AC98">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.4在制作开始前必须将所有平面图和分图交给本公司会签。提供</w:t>
      </w:r>
      <w:r>
        <w:rPr>
          <w:rFonts w:hint="eastAsia" w:ascii="Times New Roman" w:hAnsi="Times New Roman" w:eastAsia="宋体"/>
          <w:color w:val="auto"/>
          <w:sz w:val="24"/>
          <w:szCs w:val="24"/>
          <w:highlight w:val="none"/>
        </w:rPr>
        <w:t>二</w:t>
      </w:r>
      <w:r>
        <w:rPr>
          <w:rFonts w:ascii="Times New Roman" w:hAnsi="Times New Roman" w:eastAsia="宋体"/>
          <w:color w:val="auto"/>
          <w:sz w:val="24"/>
          <w:szCs w:val="24"/>
          <w:highlight w:val="none"/>
        </w:rPr>
        <w:t>份图纸加一套电子文件。这种图纸的会签并不构成供货厂商可以不承担设计责任保证或者对设备顺利运用的责任。</w:t>
      </w:r>
    </w:p>
    <w:p w14:paraId="61B234E9">
      <w:pPr>
        <w:spacing w:line="360" w:lineRule="auto"/>
        <w:ind w:firstLine="480" w:firstLineChars="200"/>
        <w:rPr>
          <w:rFonts w:ascii="宋体" w:hAnsi="宋体" w:eastAsia="宋体" w:cs="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.5在完工时要提供四套图纸和机械AutoCAD（.dwg）格式，电气EPLANP8电子版本图纸。</w:t>
      </w:r>
    </w:p>
    <w:p w14:paraId="55560044">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四、供货范围特别提示</w:t>
      </w:r>
    </w:p>
    <w:p w14:paraId="07A18F9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如果投标人认为本节所列的供货范围难以满足，则仍需要按照本要求提供，但该部分货物应当在投标报价中单独列明货物名称及品质、货值。</w:t>
      </w:r>
      <w:bookmarkStart w:id="22" w:name="_Toc169605883"/>
    </w:p>
    <w:p w14:paraId="70FBD1BF">
      <w:pPr>
        <w:pStyle w:val="25"/>
        <w:spacing w:line="360" w:lineRule="auto"/>
        <w:rPr>
          <w:rFonts w:hAnsi="宋体" w:eastAsia="宋体"/>
          <w:color w:val="auto"/>
          <w:highlight w:val="none"/>
        </w:rPr>
      </w:pPr>
    </w:p>
    <w:p w14:paraId="68D25908">
      <w:pPr>
        <w:keepNext/>
        <w:keepLines/>
        <w:spacing w:line="360" w:lineRule="auto"/>
        <w:jc w:val="center"/>
        <w:outlineLvl w:val="2"/>
        <w:rPr>
          <w:rFonts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第二节  供货方式</w:t>
      </w:r>
      <w:bookmarkEnd w:id="22"/>
    </w:p>
    <w:p w14:paraId="46D48714">
      <w:pPr>
        <w:spacing w:line="360" w:lineRule="auto"/>
        <w:ind w:firstLine="482" w:firstLineChars="200"/>
        <w:outlineLvl w:val="3"/>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一、供货方式</w:t>
      </w:r>
    </w:p>
    <w:p w14:paraId="65A1EDC2">
      <w:pPr>
        <w:spacing w:line="360" w:lineRule="auto"/>
        <w:ind w:firstLine="480" w:firstLineChars="200"/>
        <w:rPr>
          <w:rFonts w:ascii="宋体" w:hAnsi="宋体" w:eastAsia="宋体" w:cs="宋体"/>
          <w:b/>
          <w:i/>
          <w:color w:val="auto"/>
          <w:sz w:val="24"/>
          <w:szCs w:val="24"/>
          <w:highlight w:val="none"/>
        </w:rPr>
      </w:pPr>
      <w:r>
        <w:rPr>
          <w:rFonts w:hint="eastAsia" w:ascii="宋体" w:hAnsi="宋体" w:eastAsia="宋体" w:cs="宋体"/>
          <w:color w:val="auto"/>
          <w:sz w:val="24"/>
          <w:szCs w:val="24"/>
          <w:highlight w:val="none"/>
        </w:rPr>
        <w:t>完全交钥匙方式，即本次招标货物至少包括以下货物及服务：非标或特需设计、制造、至交货地点的运输（含定点装卸）、安装、调试、买方安装地竣工验收服务、货物移交、约定培训等全流程范围。</w:t>
      </w:r>
    </w:p>
    <w:p w14:paraId="71EAF361">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二、供货地点：</w:t>
      </w:r>
      <w:r>
        <w:rPr>
          <w:rFonts w:hint="eastAsia" w:ascii="Times New Roman" w:hAnsi="Times New Roman" w:eastAsia="宋体"/>
          <w:color w:val="auto"/>
          <w:sz w:val="24"/>
          <w:szCs w:val="24"/>
          <w:highlight w:val="none"/>
          <w:u w:val="single"/>
        </w:rPr>
        <w:t>济南卡车制造公司</w:t>
      </w:r>
    </w:p>
    <w:p w14:paraId="5B0B8B9E">
      <w:pPr>
        <w:spacing w:line="360" w:lineRule="auto"/>
        <w:ind w:firstLine="482" w:firstLineChars="200"/>
        <w:jc w:val="left"/>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三、供货时间</w:t>
      </w:r>
    </w:p>
    <w:p w14:paraId="24AABAA9">
      <w:pPr>
        <w:spacing w:line="360" w:lineRule="auto"/>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1.自中标通知书发布之日起，</w:t>
      </w:r>
      <w:r>
        <w:rPr>
          <w:rFonts w:hint="eastAsia" w:ascii="宋体" w:hAnsi="宋体" w:eastAsia="宋体"/>
          <w:color w:val="auto"/>
          <w:sz w:val="24"/>
          <w:szCs w:val="24"/>
          <w:highlight w:val="none"/>
          <w:u w:val="single"/>
        </w:rPr>
        <w:t>60</w:t>
      </w:r>
      <w:r>
        <w:rPr>
          <w:rFonts w:hint="eastAsia" w:ascii="宋体" w:hAnsi="宋体" w:eastAsia="宋体"/>
          <w:color w:val="auto"/>
          <w:sz w:val="24"/>
          <w:szCs w:val="24"/>
          <w:highlight w:val="none"/>
        </w:rPr>
        <w:t>个日历日之内交货至供货地点。</w:t>
      </w:r>
    </w:p>
    <w:p w14:paraId="7D526848">
      <w:pPr>
        <w:spacing w:line="360" w:lineRule="auto"/>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2.接续</w:t>
      </w:r>
      <w:r>
        <w:rPr>
          <w:rFonts w:hint="eastAsia" w:ascii="宋体" w:hAnsi="宋体" w:eastAsia="宋体"/>
          <w:color w:val="auto"/>
          <w:sz w:val="24"/>
          <w:szCs w:val="24"/>
          <w:highlight w:val="none"/>
          <w:u w:val="single"/>
        </w:rPr>
        <w:t>30</w:t>
      </w:r>
      <w:r>
        <w:rPr>
          <w:rFonts w:hint="eastAsia" w:ascii="宋体" w:hAnsi="宋体" w:eastAsia="宋体"/>
          <w:color w:val="auto"/>
          <w:sz w:val="24"/>
          <w:szCs w:val="24"/>
          <w:highlight w:val="none"/>
        </w:rPr>
        <w:t>个日历日之内安装调试完毕。</w:t>
      </w:r>
    </w:p>
    <w:p w14:paraId="74A7E9B9">
      <w:pPr>
        <w:spacing w:line="360" w:lineRule="auto"/>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安装调试时间或终验收时间超过规定时间的，投标人应当随标书提供详细的工期计划。</w:t>
      </w:r>
    </w:p>
    <w:p w14:paraId="5E3E7785">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四、包装</w:t>
      </w:r>
    </w:p>
    <w:p w14:paraId="720A5D21">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1.所提供货物（或设备）的包装，应遵照国家标准和有关包装、包皮的技术条件，或按照最好的商业惯例进行包装。</w:t>
      </w:r>
    </w:p>
    <w:p w14:paraId="1D459B3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2.包装应能满足所需要采取的运输方式（船运、汽运或铁路运输）、多次吊装卸装、卸货以及长期露天堆放要求，应能防止雨淋、受潮、生锈、腐蚀、受振、受磁以及机械和化学因素等引起的损坏。</w:t>
      </w:r>
    </w:p>
    <w:p w14:paraId="09FFEAB3">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3.所提供货物（或设备）的包装，应能防止其一般性被窃或受外力破坏；一般不得采用有大缝隙的板条包装。</w:t>
      </w:r>
    </w:p>
    <w:p w14:paraId="1A439C39">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4.应对包装件做必要的加固和固定，以防止运输可能造成的损坏。</w:t>
      </w:r>
    </w:p>
    <w:p w14:paraId="6D99846B">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5.每个包装件应有装箱单，并至少标明名称、型号规格、数量、净重和毛重、投标人（或供货商）名称和制造日期等相关内容。</w:t>
      </w:r>
    </w:p>
    <w:p w14:paraId="32E3C097">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6.每个包装箱应有明显标志，并具有中文书写的合同号、装运标志、发货和到货地点名称、发货人和收货人名称、货物名称和项目号、箱号和外型尺寸等内容。</w:t>
      </w:r>
    </w:p>
    <w:p w14:paraId="1623AC1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7.应按照不同的装运要求在包装箱上标明“小心轻放”、“箭头向上”、“防潮”、“防磁”、“不准平放”等标志，以及其它适用的国标通用标志。</w:t>
      </w:r>
    </w:p>
    <w:p w14:paraId="42C179E1">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8.包装箱应连续编号，不应出现重复编号。</w:t>
      </w:r>
    </w:p>
    <w:p w14:paraId="009DB68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9.在不受到外界破坏情况下，包装应保证自交货日起一年内货物（或设备）完好无损。</w:t>
      </w:r>
    </w:p>
    <w:p w14:paraId="2B2CAB08">
      <w:pPr>
        <w:adjustRightInd w:val="0"/>
        <w:snapToGrid w:val="0"/>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五、运输</w:t>
      </w:r>
    </w:p>
    <w:p w14:paraId="069603C4">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1.应负责将货物（或设备）运到目的地，并必须做到货物（或设备）在任何运输过程中不受损坏和遗失。</w:t>
      </w:r>
    </w:p>
    <w:p w14:paraId="1BAD6F63">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2.同批货物（或设备）应统一包装、编号运输。</w:t>
      </w:r>
    </w:p>
    <w:p w14:paraId="631D2540">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3.一般情况下，经由铁路、公路运输的包装件尺寸和重量不应超过国家所规定的尺寸限制，特殊情况应予以说明。</w:t>
      </w:r>
    </w:p>
    <w:p w14:paraId="02DD308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4.在每批货物（或设备）发出后，应立即通知买方；通知中应指明：合同号、货运单号、件数、重量和货物（或设备）发出日期等相关内容。</w:t>
      </w:r>
    </w:p>
    <w:p w14:paraId="2E3E7F89">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5.货物（或设备）运抵交货地点后，应负责货物（或设备）的卸货、搬运、保管等事宜，或按照合同约定。</w:t>
      </w:r>
    </w:p>
    <w:p w14:paraId="6025A9CA">
      <w:pPr>
        <w:widowControl/>
        <w:spacing w:line="360" w:lineRule="auto"/>
        <w:jc w:val="left"/>
        <w:rPr>
          <w:rFonts w:ascii="宋体" w:hAnsi="宋体"/>
          <w:color w:val="auto"/>
          <w:highlight w:val="none"/>
        </w:rPr>
      </w:pPr>
    </w:p>
    <w:p w14:paraId="1FB33D6C">
      <w:pPr>
        <w:rPr>
          <w:rFonts w:ascii="宋体" w:hAnsi="宋体"/>
          <w:b/>
          <w:bCs/>
          <w:color w:val="auto"/>
          <w:kern w:val="44"/>
          <w:sz w:val="28"/>
          <w:szCs w:val="28"/>
          <w:highlight w:val="none"/>
        </w:rPr>
      </w:pPr>
      <w:bookmarkStart w:id="23" w:name="_Toc169605884"/>
      <w:r>
        <w:rPr>
          <w:rFonts w:hint="eastAsia" w:ascii="宋体" w:hAnsi="宋体"/>
          <w:b/>
          <w:bCs/>
          <w:color w:val="auto"/>
          <w:kern w:val="44"/>
          <w:sz w:val="28"/>
          <w:szCs w:val="28"/>
          <w:highlight w:val="none"/>
        </w:rPr>
        <w:br w:type="page"/>
      </w:r>
    </w:p>
    <w:p w14:paraId="7BE84C70">
      <w:pPr>
        <w:keepNext/>
        <w:keepLines/>
        <w:spacing w:line="360" w:lineRule="auto"/>
        <w:jc w:val="center"/>
        <w:outlineLvl w:val="1"/>
        <w:rPr>
          <w:rFonts w:ascii="宋体" w:hAnsi="宋体"/>
          <w:b/>
          <w:bCs/>
          <w:color w:val="auto"/>
          <w:kern w:val="44"/>
          <w:sz w:val="28"/>
          <w:szCs w:val="28"/>
          <w:highlight w:val="none"/>
        </w:rPr>
      </w:pPr>
      <w:r>
        <w:rPr>
          <w:rFonts w:hint="eastAsia" w:ascii="宋体" w:hAnsi="宋体"/>
          <w:b/>
          <w:bCs/>
          <w:color w:val="auto"/>
          <w:kern w:val="44"/>
          <w:sz w:val="28"/>
          <w:szCs w:val="28"/>
          <w:highlight w:val="none"/>
        </w:rPr>
        <w:t>第四章质保期及售后服务</w:t>
      </w:r>
      <w:bookmarkEnd w:id="23"/>
    </w:p>
    <w:p w14:paraId="1C139BAD">
      <w:pPr>
        <w:pStyle w:val="238"/>
        <w:spacing w:line="360" w:lineRule="auto"/>
        <w:rPr>
          <w:rFonts w:ascii="宋体" w:hAnsi="宋体"/>
          <w:color w:val="auto"/>
          <w:highlight w:val="none"/>
        </w:rPr>
      </w:pPr>
      <w:r>
        <w:rPr>
          <w:rFonts w:hint="eastAsia" w:ascii="宋体" w:hAnsi="宋体"/>
          <w:color w:val="auto"/>
          <w:highlight w:val="none"/>
        </w:rPr>
        <w:t>一、质保期及质保要求</w:t>
      </w:r>
    </w:p>
    <w:p w14:paraId="495A2015">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.全部供货范围内的设备、材料、零配件和工器具等，除合同特别约定外，其质保期均自终验收签字生效之日起</w:t>
      </w:r>
      <w:r>
        <w:rPr>
          <w:rFonts w:hint="eastAsia" w:ascii="宋体" w:hAnsi="宋体" w:cs="宋体"/>
          <w:color w:val="auto"/>
          <w:sz w:val="24"/>
          <w:szCs w:val="24"/>
          <w:highlight w:val="none"/>
          <w:u w:val="single"/>
        </w:rPr>
        <w:t>12</w:t>
      </w:r>
      <w:r>
        <w:rPr>
          <w:rFonts w:hint="eastAsia" w:ascii="宋体" w:hAnsi="宋体" w:cs="宋体"/>
          <w:color w:val="auto"/>
          <w:sz w:val="24"/>
          <w:szCs w:val="24"/>
          <w:highlight w:val="none"/>
        </w:rPr>
        <w:t>个月。</w:t>
      </w:r>
    </w:p>
    <w:p w14:paraId="0FE6B916">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投标货物或涉及的关键总成和零件，如果有更长时间质保期，允许更改并说明，此将有利于投标人。</w:t>
      </w:r>
    </w:p>
    <w:p w14:paraId="34DC249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设计使用寿命短于质保期的易损件除外，但属于易损件的，应当有明确说明。</w:t>
      </w:r>
    </w:p>
    <w:p w14:paraId="165B8E71">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.质保期之内，如果货物出现设备、总成、关键零部件或者多处一般零部件的二次以上的更换或维修行为，则质保期自更换或维修行为结束、货物重新正常运行使用之日起重新计算。</w:t>
      </w:r>
    </w:p>
    <w:p w14:paraId="0E01BD99">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.质保期内免费提供零部件和及时有效的服务。质保期内因货物本身缺陷造成的各种故障，卖方应负责免费维修和服务。</w:t>
      </w:r>
    </w:p>
    <w:p w14:paraId="11FCB16F">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.质保期终止之日起</w:t>
      </w:r>
      <w:r>
        <w:rPr>
          <w:rFonts w:hint="eastAsia" w:ascii="宋体" w:hAnsi="宋体" w:cs="宋体"/>
          <w:color w:val="auto"/>
          <w:sz w:val="24"/>
          <w:szCs w:val="24"/>
          <w:highlight w:val="none"/>
          <w:u w:val="single"/>
        </w:rPr>
        <w:t>一年内</w:t>
      </w:r>
      <w:r>
        <w:rPr>
          <w:rFonts w:hint="eastAsia" w:ascii="宋体" w:hAnsi="宋体" w:cs="宋体"/>
          <w:color w:val="auto"/>
          <w:sz w:val="24"/>
          <w:szCs w:val="24"/>
          <w:highlight w:val="none"/>
        </w:rPr>
        <w:t>重复出现的质保期之内出现的故障，仍属质保范围而且应当免费。</w:t>
      </w:r>
    </w:p>
    <w:p w14:paraId="32E78419">
      <w:pPr>
        <w:adjustRightInd w:val="0"/>
        <w:snapToGrid w:val="0"/>
        <w:spacing w:line="360" w:lineRule="auto"/>
        <w:ind w:firstLine="480" w:firstLineChars="200"/>
        <w:rPr>
          <w:color w:val="auto"/>
          <w:highlight w:val="none"/>
        </w:rPr>
      </w:pPr>
      <w:r>
        <w:rPr>
          <w:rFonts w:hint="eastAsia"/>
          <w:color w:val="auto"/>
          <w:sz w:val="24"/>
          <w:szCs w:val="24"/>
          <w:highlight w:val="none"/>
        </w:rPr>
        <w:t>5.软件要具备升级功能，在投产后十年内中标方负责为业主方免费升级。</w:t>
      </w:r>
    </w:p>
    <w:p w14:paraId="434BE054">
      <w:pPr>
        <w:pStyle w:val="238"/>
        <w:spacing w:line="360" w:lineRule="auto"/>
        <w:rPr>
          <w:rFonts w:ascii="宋体" w:hAnsi="宋体" w:cs="宋体"/>
          <w:color w:val="auto"/>
          <w:highlight w:val="none"/>
        </w:rPr>
      </w:pPr>
      <w:r>
        <w:rPr>
          <w:rFonts w:hint="eastAsia" w:ascii="宋体" w:hAnsi="宋体" w:cs="宋体"/>
          <w:color w:val="auto"/>
          <w:highlight w:val="none"/>
        </w:rPr>
        <w:t>二、技术</w:t>
      </w:r>
      <w:r>
        <w:rPr>
          <w:rFonts w:hint="eastAsia" w:ascii="宋体" w:hAnsi="宋体"/>
          <w:color w:val="auto"/>
          <w:highlight w:val="none"/>
        </w:rPr>
        <w:t>指导</w:t>
      </w:r>
      <w:r>
        <w:rPr>
          <w:rFonts w:hint="eastAsia" w:ascii="宋体" w:hAnsi="宋体" w:cs="宋体"/>
          <w:color w:val="auto"/>
          <w:highlight w:val="none"/>
        </w:rPr>
        <w:t>及培训服务</w:t>
      </w:r>
    </w:p>
    <w:p w14:paraId="537785E0">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1.应负责在买方货物使用现场，对技术、维修和操作人员提供免费的理论、技术和操作、维修等方面的技术指导和培训，并接受买方有关人员的技术咨询。培训工作日不少于</w:t>
      </w:r>
      <w:r>
        <w:rPr>
          <w:rFonts w:hint="eastAsia" w:ascii="宋体" w:hAnsi="宋体"/>
          <w:color w:val="auto"/>
          <w:sz w:val="24"/>
          <w:szCs w:val="24"/>
          <w:highlight w:val="none"/>
          <w:u w:val="single"/>
          <w:shd w:val="pct10" w:color="auto" w:fill="FFFFFF"/>
        </w:rPr>
        <w:t>2</w:t>
      </w:r>
      <w:r>
        <w:rPr>
          <w:rFonts w:hint="eastAsia" w:ascii="宋体" w:hAnsi="宋体"/>
          <w:color w:val="auto"/>
          <w:sz w:val="24"/>
          <w:szCs w:val="24"/>
          <w:highlight w:val="none"/>
        </w:rPr>
        <w:t>个日历日。</w:t>
      </w:r>
    </w:p>
    <w:p w14:paraId="116DDC37">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2.应免费提供一定数量的培训资料。</w:t>
      </w:r>
    </w:p>
    <w:p w14:paraId="3D7FA2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3.投标方应按要求，免费积极协助和提供招标人和招标人所委托的工程设计单位有关人员所需要的、和设备（或材料）有关的工程设计资料、技术咨询等；</w:t>
      </w:r>
    </w:p>
    <w:p w14:paraId="669740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p>
    <w:p w14:paraId="6BE3A7D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p>
    <w:p w14:paraId="4C258DC0">
      <w:pPr>
        <w:pStyle w:val="7"/>
        <w:rPr>
          <w:rFonts w:ascii="宋体" w:hAnsi="宋体"/>
          <w:color w:val="auto"/>
          <w:sz w:val="24"/>
          <w:szCs w:val="24"/>
          <w:highlight w:val="none"/>
        </w:rPr>
      </w:pPr>
      <w:r>
        <w:rPr>
          <w:rFonts w:hint="eastAsia" w:ascii="宋体" w:hAnsi="宋体"/>
          <w:color w:val="auto"/>
          <w:sz w:val="24"/>
          <w:szCs w:val="24"/>
          <w:highlight w:val="none"/>
        </w:rPr>
        <w:t>6.投标方提供的改造方式、新增设备内容，建议在试用确认无误之后，再批量生产，否则因此造成的损失，由投标方承担。</w:t>
      </w:r>
    </w:p>
    <w:p w14:paraId="0C5B955F">
      <w:pPr>
        <w:pStyle w:val="238"/>
        <w:spacing w:line="360" w:lineRule="auto"/>
        <w:rPr>
          <w:rFonts w:ascii="宋体" w:hAnsi="宋体" w:cs="宋体"/>
          <w:color w:val="auto"/>
          <w:highlight w:val="none"/>
        </w:rPr>
      </w:pPr>
      <w:r>
        <w:rPr>
          <w:rFonts w:hint="eastAsia" w:ascii="宋体" w:hAnsi="宋体" w:cs="宋体"/>
          <w:color w:val="auto"/>
          <w:highlight w:val="none"/>
        </w:rPr>
        <w:t>三、安装调试及验收服务</w:t>
      </w:r>
    </w:p>
    <w:p w14:paraId="29DCDB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p>
    <w:p w14:paraId="6C5849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2投标方免费负责设备的安装、调试，并接受用户的技术咨询；</w:t>
      </w:r>
    </w:p>
    <w:p w14:paraId="2A5773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3投标方是否提供有偿的还是免费的、指导安装调试还是负责安装调试，至少应在投标文件的服务章节中，予以明确说明；</w:t>
      </w:r>
    </w:p>
    <w:p w14:paraId="4B3BCA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4卖方进入买方现场进行安装调试过程中，应进行相关安全环保注意事项的培训，并提供相关人员、设备安全作业资质的要求。</w:t>
      </w:r>
    </w:p>
    <w:p w14:paraId="36E5148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5设备供方配合甲方完成设备数据采集的调试工作，包括但不限于提供设备PLC程序（无密码），接口调试等工作。</w:t>
      </w:r>
    </w:p>
    <w:p w14:paraId="0F9E39D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6投标人在招标人现场进行的、指导或负责的、设备（或材料）的预验收和终验收，应当是免费的，陪同生产时间不少于</w:t>
      </w:r>
      <w:r>
        <w:rPr>
          <w:rFonts w:hint="eastAsia" w:ascii="宋体" w:hAnsi="宋体"/>
          <w:color w:val="auto"/>
          <w:sz w:val="24"/>
          <w:szCs w:val="24"/>
          <w:highlight w:val="none"/>
          <w:u w:val="single"/>
        </w:rPr>
        <w:t>15</w:t>
      </w:r>
      <w:r>
        <w:rPr>
          <w:rFonts w:hint="eastAsia" w:ascii="宋体" w:hAnsi="宋体"/>
          <w:color w:val="auto"/>
          <w:sz w:val="24"/>
          <w:szCs w:val="24"/>
          <w:highlight w:val="none"/>
        </w:rPr>
        <w:t>天；</w:t>
      </w:r>
    </w:p>
    <w:p w14:paraId="3A1C2C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14:paraId="6CFDE8C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8在投标人所提供设备需要得到招标人建设项目所在地政府或行业主管部门的查验、试验、验收时，投标人应当免费协助招标人完成所需要的工作、材料和服务等。</w:t>
      </w:r>
    </w:p>
    <w:p w14:paraId="1B88AED8">
      <w:pPr>
        <w:pStyle w:val="238"/>
        <w:spacing w:line="360" w:lineRule="auto"/>
        <w:rPr>
          <w:rFonts w:ascii="宋体" w:hAnsi="宋体" w:cs="宋体"/>
          <w:color w:val="auto"/>
          <w:highlight w:val="none"/>
        </w:rPr>
      </w:pPr>
      <w:r>
        <w:rPr>
          <w:rFonts w:hint="eastAsia" w:ascii="宋体" w:hAnsi="宋体" w:cs="宋体"/>
          <w:color w:val="auto"/>
          <w:highlight w:val="none"/>
        </w:rPr>
        <w:t>四、售后服务</w:t>
      </w:r>
    </w:p>
    <w:p w14:paraId="36D7C40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1在质保期之内，如发现投标人所提供的设备（或材料）存在问题，需要投标人配合解决时，投标人须在接到通知后市内2小时、省内8小时、省外24小时内派有关人员到达现场，解决问题；</w:t>
      </w:r>
    </w:p>
    <w:p w14:paraId="1FAD46C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2在质保期之后，如发现投标人所提供的设备（或材料）存在问题，需要投标人配合解决时，投标人须在接到通知后市内2小时、省内8小时、省外24小时内派有关人员到达现场，协助招标人解决问题；</w:t>
      </w:r>
    </w:p>
    <w:p w14:paraId="690F997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3所有的售后服务均由投标人受理。如果发生问题并且收到报告，应当在2小时内予以答复；</w:t>
      </w:r>
    </w:p>
    <w:p w14:paraId="1DD168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4投标人应为招标人提供最佳的服务。</w:t>
      </w:r>
    </w:p>
    <w:p w14:paraId="61045F7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 在工具设备使用寿命内，投标人应向招标人提供充足的备品备件、易损件和专用耗材，自招标人提出采购需求至交货，周期不得长于15天，也可提供备用工具设备，提供周期不得长于3天。</w:t>
      </w:r>
    </w:p>
    <w:p w14:paraId="1F05114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 在工具设备使用寿命周期内，投标人每年至少开展1次工具及软件使用、工具设备维修保养等方面的培训工作。</w:t>
      </w:r>
    </w:p>
    <w:p w14:paraId="5F1CC85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w:t>
      </w:r>
      <w:r>
        <w:rPr>
          <w:rFonts w:ascii="宋体" w:hAnsi="宋体"/>
          <w:color w:val="auto"/>
          <w:sz w:val="24"/>
          <w:szCs w:val="24"/>
          <w:highlight w:val="none"/>
        </w:rPr>
        <w:t>.卖方派往买方使用现场的人员，应具有较高的业务素质；现场解决问题时，不得无故拖延或推迟，应为买方提供最佳的服务。</w:t>
      </w:r>
    </w:p>
    <w:p w14:paraId="3E2A52C5">
      <w:pPr>
        <w:pStyle w:val="238"/>
        <w:spacing w:line="360" w:lineRule="auto"/>
        <w:rPr>
          <w:rFonts w:ascii="宋体" w:hAnsi="宋体" w:cs="宋体"/>
          <w:color w:val="auto"/>
          <w:highlight w:val="none"/>
        </w:rPr>
      </w:pPr>
      <w:r>
        <w:rPr>
          <w:rFonts w:hint="eastAsia" w:ascii="宋体" w:hAnsi="宋体" w:cs="宋体"/>
          <w:color w:val="auto"/>
          <w:highlight w:val="none"/>
        </w:rPr>
        <w:t>五、其它服务</w:t>
      </w:r>
    </w:p>
    <w:p w14:paraId="34AEA49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1.若卖方所提供货物有需要进口的，卖方一般应自行、自费办理；必要时，买卖双方共同办理。</w:t>
      </w:r>
    </w:p>
    <w:p w14:paraId="24612D40">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2.除招标文件、投标文件、答疑文件、技术标书、合同等约定之外，卖方应免费负责必要的或强制性的货物的检验、试验、化验等直接费用。</w:t>
      </w:r>
    </w:p>
    <w:p w14:paraId="37C54BE4">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3.运输服务，投标方负责将设备按要求运至</w:t>
      </w:r>
      <w:r>
        <w:rPr>
          <w:rFonts w:hint="eastAsia"/>
          <w:color w:val="auto"/>
          <w:sz w:val="24"/>
          <w:szCs w:val="24"/>
          <w:highlight w:val="none"/>
        </w:rPr>
        <w:t>济南卡车制造公司</w:t>
      </w:r>
      <w:r>
        <w:rPr>
          <w:rFonts w:hint="eastAsia" w:ascii="宋体" w:hAnsi="宋体" w:cs="宋体"/>
          <w:color w:val="auto"/>
          <w:sz w:val="24"/>
          <w:szCs w:val="24"/>
          <w:highlight w:val="none"/>
        </w:rPr>
        <w:t>。</w:t>
      </w:r>
    </w:p>
    <w:p w14:paraId="39CDA3E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4.本章节条款所列“免费”，并非指定不可收费，而是指招标文件、投标文件、答疑文件、技术交流文件、技术标书和合同等范围之外，投标人不可另行收取的费用。</w:t>
      </w:r>
    </w:p>
    <w:p w14:paraId="4350F072">
      <w:pPr>
        <w:spacing w:line="360" w:lineRule="auto"/>
        <w:ind w:firstLine="480" w:firstLineChars="200"/>
        <w:rPr>
          <w:rFonts w:ascii="宋体" w:hAnsi="宋体" w:cs="宋体"/>
          <w:color w:val="auto"/>
          <w:sz w:val="24"/>
          <w:szCs w:val="24"/>
          <w:highlight w:val="none"/>
        </w:rPr>
      </w:pPr>
    </w:p>
    <w:p w14:paraId="78BEA8AA">
      <w:pPr>
        <w:pStyle w:val="25"/>
        <w:rPr>
          <w:rFonts w:hAnsi="宋体" w:eastAsia="宋体"/>
          <w:color w:val="auto"/>
          <w:highlight w:val="none"/>
        </w:rPr>
      </w:pPr>
      <w:r>
        <w:rPr>
          <w:rFonts w:hAnsi="宋体" w:eastAsia="宋体"/>
          <w:color w:val="auto"/>
          <w:highlight w:val="none"/>
        </w:rPr>
        <w:br w:type="page"/>
      </w:r>
    </w:p>
    <w:p w14:paraId="2D2AD0C8">
      <w:pPr>
        <w:keepNext/>
        <w:keepLines/>
        <w:spacing w:line="360" w:lineRule="auto"/>
        <w:jc w:val="center"/>
        <w:outlineLvl w:val="1"/>
        <w:rPr>
          <w:rFonts w:ascii="宋体" w:hAnsi="宋体"/>
          <w:b/>
          <w:bCs/>
          <w:color w:val="auto"/>
          <w:kern w:val="44"/>
          <w:sz w:val="28"/>
          <w:szCs w:val="28"/>
          <w:highlight w:val="none"/>
        </w:rPr>
      </w:pPr>
      <w:bookmarkStart w:id="24" w:name="_Toc465187646"/>
      <w:r>
        <w:rPr>
          <w:rFonts w:hint="eastAsia" w:ascii="宋体" w:hAnsi="宋体"/>
          <w:b/>
          <w:bCs/>
          <w:color w:val="auto"/>
          <w:kern w:val="44"/>
          <w:sz w:val="28"/>
          <w:szCs w:val="28"/>
          <w:highlight w:val="none"/>
        </w:rPr>
        <w:t>第五章  终验收</w:t>
      </w:r>
      <w:bookmarkEnd w:id="24"/>
    </w:p>
    <w:p w14:paraId="4C02EB42">
      <w:pPr>
        <w:spacing w:line="360" w:lineRule="auto"/>
        <w:ind w:firstLine="480" w:firstLineChars="200"/>
        <w:rPr>
          <w:rFonts w:ascii="宋体" w:hAnsi="宋体"/>
          <w:color w:val="auto"/>
          <w:sz w:val="24"/>
          <w:szCs w:val="24"/>
          <w:highlight w:val="none"/>
        </w:rPr>
      </w:pPr>
      <w:bookmarkStart w:id="25" w:name="_Toc465187647"/>
      <w:r>
        <w:rPr>
          <w:rFonts w:hint="eastAsia" w:ascii="宋体" w:hAnsi="宋体"/>
          <w:color w:val="auto"/>
          <w:sz w:val="24"/>
          <w:szCs w:val="24"/>
          <w:highlight w:val="none"/>
        </w:rPr>
        <w:t>按照参考招标文件、投标文件、答疑文件、技术交流文件等形成并达成一致的技术协议书和合同规定验收。</w:t>
      </w:r>
    </w:p>
    <w:p w14:paraId="3BBA84CB">
      <w:pPr>
        <w:pStyle w:val="238"/>
        <w:spacing w:line="360" w:lineRule="auto"/>
        <w:rPr>
          <w:rFonts w:ascii="宋体" w:hAnsi="宋体"/>
          <w:color w:val="auto"/>
          <w:highlight w:val="none"/>
        </w:rPr>
      </w:pPr>
      <w:r>
        <w:rPr>
          <w:rFonts w:hint="eastAsia" w:ascii="宋体" w:hAnsi="宋体"/>
          <w:color w:val="auto"/>
          <w:highlight w:val="none"/>
        </w:rPr>
        <w:t>一.检验</w:t>
      </w:r>
    </w:p>
    <w:p w14:paraId="6E454B6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国产部分的货物的检验由买卖双方按照合同要求或在制造现场进行。进口部分的货物的检验按照下述要求进行：</w:t>
      </w:r>
    </w:p>
    <w:p w14:paraId="707E4B0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1进口部分的货物发货前，投标人应对设备（或材料）的质量、型号、规格、性能和数量/重量作精密、全面的检验，并出具证明书，证明所供设备（或材料）符合合同规定。</w:t>
      </w:r>
    </w:p>
    <w:p w14:paraId="12EAEC4E">
      <w:pPr>
        <w:spacing w:line="360" w:lineRule="auto"/>
        <w:ind w:firstLine="480" w:firstLineChars="200"/>
        <w:rPr>
          <w:color w:val="auto"/>
          <w:highlight w:val="none"/>
        </w:rPr>
      </w:pPr>
      <w:r>
        <w:rPr>
          <w:rFonts w:hint="eastAsia" w:ascii="宋体" w:hAnsi="宋体"/>
          <w:color w:val="auto"/>
          <w:sz w:val="24"/>
          <w:szCs w:val="24"/>
          <w:highlight w:val="none"/>
        </w:rPr>
        <w:t>2投标人应依据合同规定的要求，提供设备（或材料）的验收标准和装箱单，作为招标人检验的依据。</w:t>
      </w:r>
    </w:p>
    <w:p w14:paraId="0F7DC3D3">
      <w:pPr>
        <w:pStyle w:val="238"/>
        <w:spacing w:line="360" w:lineRule="auto"/>
        <w:rPr>
          <w:rFonts w:ascii="宋体" w:hAnsi="宋体"/>
          <w:color w:val="auto"/>
          <w:highlight w:val="none"/>
        </w:rPr>
      </w:pPr>
      <w:r>
        <w:rPr>
          <w:rFonts w:hint="eastAsia" w:ascii="宋体" w:hAnsi="宋体"/>
          <w:color w:val="auto"/>
          <w:highlight w:val="none"/>
        </w:rPr>
        <w:t>二.验收标准</w:t>
      </w:r>
    </w:p>
    <w:p w14:paraId="06D770F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验收一般分预验收和终验收两部分。预验收在安装调试完成后现场进行。但是所有的项目，包括不能预验收的项目和预验收通过的项目都在终验收时重新检验，最终只以终验收为准。</w:t>
      </w:r>
    </w:p>
    <w:p w14:paraId="271FC4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1终验收规程：</w:t>
      </w:r>
    </w:p>
    <w:p w14:paraId="5347600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设备（或材料）允许情况下，一般连续运行一个月，每天连续 8 小时，除用户方面因素外，必须达到以下要求：</w:t>
      </w:r>
    </w:p>
    <w:p w14:paraId="718C844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a)在整个验收过程中没有维修、更换零部件或元件行为；</w:t>
      </w:r>
    </w:p>
    <w:p w14:paraId="0D10EE5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b)终验收原则上要求一次完成，若一次验收不成功，最多允许两次；</w:t>
      </w:r>
    </w:p>
    <w:p w14:paraId="41A6FA5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c）终验收通过后买卖双方共同签署终验收报告。</w:t>
      </w:r>
    </w:p>
    <w:p w14:paraId="6D5E78C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2设备（或材料）验收的一般标准与要求：</w:t>
      </w:r>
    </w:p>
    <w:p w14:paraId="3BA5AB2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① 预验收的一般标准与要求</w:t>
      </w:r>
    </w:p>
    <w:p w14:paraId="78F874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a.资料齐全性、完整性和有效性。按照“配套供货范围及要求”中“技术资料范围”的规定验收；</w:t>
      </w:r>
    </w:p>
    <w:p w14:paraId="16E428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b.设备（或材料）应运行灵活、稳定、可靠、安全，无异常声音和非正常振动。设备不允许出现漏水、漏液、漏气（汽）、漏电。</w:t>
      </w:r>
    </w:p>
    <w:p w14:paraId="509232D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c.设备（或材料）外观应无损伤，应该涂满同种明亮清晰的油漆（特殊标志除外）。设备应该完整且所有的零部件应该安装牢固，所有的焊缝饱满、无残渣等缺陷；</w:t>
      </w:r>
    </w:p>
    <w:p w14:paraId="09EE017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d.设备（或材料）应有完整的标牌，且清晰易见；</w:t>
      </w:r>
    </w:p>
    <w:p w14:paraId="7291D39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e.设备（或材料）的安全要求符合中国最新的相关法律、法规、标准和规范以及合同要求；</w:t>
      </w:r>
    </w:p>
    <w:p w14:paraId="61BCBC2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②终验收时的一般验收标准与要求：</w:t>
      </w:r>
    </w:p>
    <w:p w14:paraId="321BC1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a.资料齐全性、完整性和有效性。</w:t>
      </w:r>
    </w:p>
    <w:p w14:paraId="004FEFC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b.设备（或材料）应运行稳定、可靠、安全，无异常声音和非正常振动。设备不允许出现漏水、漏液、漏气（汽）、漏电。</w:t>
      </w:r>
    </w:p>
    <w:p w14:paraId="016D5E4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c.设备（或材料）应有完整的标牌，且清晰易见；</w:t>
      </w:r>
    </w:p>
    <w:p w14:paraId="658A73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③ 终验收条件</w:t>
      </w:r>
    </w:p>
    <w:p w14:paraId="0D7EECE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依据招标文件、投标文件、答疑文件、技术交流文件等形成并达成一致的技术协议书和合同规定的终验收条件验收。</w:t>
      </w:r>
    </w:p>
    <w:p w14:paraId="6AE1A12A">
      <w:pPr>
        <w:rPr>
          <w:rFonts w:ascii="宋体" w:hAnsi="宋体"/>
          <w:b/>
          <w:iCs/>
          <w:color w:val="auto"/>
          <w:sz w:val="28"/>
          <w:highlight w:val="none"/>
        </w:rPr>
      </w:pPr>
      <w:r>
        <w:rPr>
          <w:rFonts w:ascii="宋体" w:hAnsi="宋体"/>
          <w:b/>
          <w:iCs/>
          <w:color w:val="auto"/>
          <w:sz w:val="28"/>
          <w:highlight w:val="none"/>
        </w:rPr>
        <w:br w:type="page"/>
      </w:r>
    </w:p>
    <w:p w14:paraId="7A31A78B">
      <w:pPr>
        <w:pStyle w:val="239"/>
        <w:spacing w:line="360" w:lineRule="auto"/>
        <w:jc w:val="center"/>
        <w:outlineLvl w:val="1"/>
        <w:rPr>
          <w:rFonts w:ascii="宋体" w:hAnsi="宋体" w:eastAsia="宋体"/>
          <w:b/>
          <w:iCs/>
          <w:color w:val="auto"/>
          <w:sz w:val="28"/>
          <w:highlight w:val="none"/>
        </w:rPr>
      </w:pPr>
      <w:r>
        <w:rPr>
          <w:rFonts w:ascii="宋体" w:hAnsi="宋体" w:eastAsia="宋体"/>
          <w:b/>
          <w:iCs/>
          <w:color w:val="auto"/>
          <w:sz w:val="28"/>
          <w:highlight w:val="none"/>
        </w:rPr>
        <w:t>第六章  投标技术文件一般要求</w:t>
      </w:r>
      <w:bookmarkEnd w:id="25"/>
    </w:p>
    <w:p w14:paraId="3F59F389">
      <w:pPr>
        <w:pStyle w:val="238"/>
        <w:spacing w:line="360" w:lineRule="auto"/>
        <w:rPr>
          <w:rFonts w:ascii="宋体" w:hAnsi="宋体"/>
          <w:color w:val="auto"/>
          <w:highlight w:val="none"/>
        </w:rPr>
      </w:pPr>
      <w:r>
        <w:rPr>
          <w:rFonts w:ascii="宋体" w:hAnsi="宋体"/>
          <w:color w:val="auto"/>
          <w:highlight w:val="none"/>
        </w:rPr>
        <w:t>一、技术文件一般内容要求</w:t>
      </w:r>
    </w:p>
    <w:p w14:paraId="6956B85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1.投标人应认真阅读招标文件和本技术标书，并按要求编写投标技术文件。</w:t>
      </w:r>
    </w:p>
    <w:p w14:paraId="501A6A8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2.投标技术文件至少应对投标货物的功能用途、技术性能、质量标准、技术参数等作出详细说明。</w:t>
      </w:r>
    </w:p>
    <w:p w14:paraId="31E14F4D">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3.投标技术文件至少应根据投标货物的关键设备、总成、零部件或系统作出满足或优于招标文件要求的详细说明。</w:t>
      </w:r>
    </w:p>
    <w:p w14:paraId="1EF9EC2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4.投标技术文件至少应按照招标文件要求（或投标人建议）列明备品备件、易损件和专用耗材明细。</w:t>
      </w:r>
    </w:p>
    <w:p w14:paraId="5E8E813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5.投标人应当而且必须分别说明所列备品备件、易损件和专用耗材的使用寿命（以有效工作小时数说明）。</w:t>
      </w:r>
    </w:p>
    <w:p w14:paraId="4D82C8F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6.投标的货物，应当根据其配置和备品备件、易损件、专用耗材情况，尽可能详细且分类填入下表：</w:t>
      </w:r>
    </w:p>
    <w:p w14:paraId="3A93CDE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6.1备品备件、易损件和专用耗材明细表：</w:t>
      </w:r>
    </w:p>
    <w:p w14:paraId="74198E5A">
      <w:pPr>
        <w:adjustRightInd w:val="0"/>
        <w:snapToGrid w:val="0"/>
        <w:spacing w:line="360" w:lineRule="auto"/>
        <w:ind w:firstLine="2160" w:firstLineChars="900"/>
        <w:rPr>
          <w:rFonts w:ascii="宋体" w:hAnsi="宋体" w:cs="宋体"/>
          <w:color w:val="auto"/>
          <w:sz w:val="24"/>
          <w:szCs w:val="24"/>
          <w:highlight w:val="none"/>
        </w:rPr>
      </w:pPr>
      <w:r>
        <w:rPr>
          <w:rFonts w:hint="eastAsia" w:ascii="宋体" w:hAnsi="宋体" w:cs="宋体"/>
          <w:color w:val="auto"/>
          <w:sz w:val="24"/>
          <w:szCs w:val="24"/>
          <w:highlight w:val="none"/>
        </w:rPr>
        <w:t>备品备件、易损件和专用耗材明细表             单位：元</w:t>
      </w:r>
    </w:p>
    <w:tbl>
      <w:tblPr>
        <w:tblStyle w:val="49"/>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0D06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6CE09C60">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924" w:type="dxa"/>
            <w:noWrap/>
          </w:tcPr>
          <w:p w14:paraId="74ECEDA1">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名称</w:t>
            </w:r>
          </w:p>
        </w:tc>
        <w:tc>
          <w:tcPr>
            <w:tcW w:w="1236" w:type="dxa"/>
            <w:noWrap/>
          </w:tcPr>
          <w:p w14:paraId="04617C1A">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型号规格</w:t>
            </w:r>
          </w:p>
        </w:tc>
        <w:tc>
          <w:tcPr>
            <w:tcW w:w="720" w:type="dxa"/>
            <w:noWrap/>
          </w:tcPr>
          <w:p w14:paraId="557E90A8">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720" w:type="dxa"/>
            <w:noWrap/>
          </w:tcPr>
          <w:p w14:paraId="6EC78547">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720" w:type="dxa"/>
            <w:noWrap/>
          </w:tcPr>
          <w:p w14:paraId="78C5413F">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w:t>
            </w:r>
          </w:p>
        </w:tc>
        <w:tc>
          <w:tcPr>
            <w:tcW w:w="720" w:type="dxa"/>
            <w:noWrap/>
          </w:tcPr>
          <w:p w14:paraId="55339E08">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总价</w:t>
            </w:r>
          </w:p>
        </w:tc>
        <w:tc>
          <w:tcPr>
            <w:tcW w:w="2235" w:type="dxa"/>
            <w:noWrap/>
          </w:tcPr>
          <w:p w14:paraId="531C050F">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制造商</w:t>
            </w:r>
          </w:p>
        </w:tc>
      </w:tr>
      <w:tr w14:paraId="5F20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671485FE">
            <w:pPr>
              <w:adjustRightInd w:val="0"/>
              <w:snapToGrid w:val="0"/>
              <w:spacing w:line="360" w:lineRule="auto"/>
              <w:jc w:val="center"/>
              <w:rPr>
                <w:rFonts w:ascii="宋体" w:hAnsi="宋体" w:cs="宋体"/>
                <w:color w:val="auto"/>
                <w:sz w:val="24"/>
                <w:szCs w:val="24"/>
                <w:highlight w:val="none"/>
              </w:rPr>
            </w:pPr>
          </w:p>
        </w:tc>
        <w:tc>
          <w:tcPr>
            <w:tcW w:w="1924" w:type="dxa"/>
            <w:noWrap/>
          </w:tcPr>
          <w:p w14:paraId="3C442AA7">
            <w:pPr>
              <w:adjustRightInd w:val="0"/>
              <w:snapToGrid w:val="0"/>
              <w:spacing w:line="360" w:lineRule="auto"/>
              <w:rPr>
                <w:rFonts w:ascii="宋体" w:hAnsi="宋体" w:cs="宋体"/>
                <w:color w:val="auto"/>
                <w:sz w:val="24"/>
                <w:szCs w:val="24"/>
                <w:highlight w:val="none"/>
              </w:rPr>
            </w:pPr>
          </w:p>
        </w:tc>
        <w:tc>
          <w:tcPr>
            <w:tcW w:w="1236" w:type="dxa"/>
            <w:noWrap/>
          </w:tcPr>
          <w:p w14:paraId="1B3DF6D8">
            <w:pPr>
              <w:adjustRightInd w:val="0"/>
              <w:snapToGrid w:val="0"/>
              <w:spacing w:line="360" w:lineRule="auto"/>
              <w:rPr>
                <w:rFonts w:ascii="宋体" w:hAnsi="宋体" w:cs="宋体"/>
                <w:color w:val="auto"/>
                <w:sz w:val="24"/>
                <w:szCs w:val="24"/>
                <w:highlight w:val="none"/>
              </w:rPr>
            </w:pPr>
          </w:p>
        </w:tc>
        <w:tc>
          <w:tcPr>
            <w:tcW w:w="720" w:type="dxa"/>
            <w:noWrap/>
          </w:tcPr>
          <w:p w14:paraId="35795D4F">
            <w:pPr>
              <w:adjustRightInd w:val="0"/>
              <w:snapToGrid w:val="0"/>
              <w:spacing w:line="360" w:lineRule="auto"/>
              <w:jc w:val="center"/>
              <w:rPr>
                <w:rFonts w:ascii="宋体" w:hAnsi="宋体" w:cs="宋体"/>
                <w:color w:val="auto"/>
                <w:sz w:val="24"/>
                <w:szCs w:val="24"/>
                <w:highlight w:val="none"/>
              </w:rPr>
            </w:pPr>
          </w:p>
        </w:tc>
        <w:tc>
          <w:tcPr>
            <w:tcW w:w="720" w:type="dxa"/>
            <w:noWrap/>
          </w:tcPr>
          <w:p w14:paraId="46610B7B">
            <w:pPr>
              <w:adjustRightInd w:val="0"/>
              <w:snapToGrid w:val="0"/>
              <w:spacing w:line="360" w:lineRule="auto"/>
              <w:jc w:val="center"/>
              <w:rPr>
                <w:rFonts w:ascii="宋体" w:hAnsi="宋体" w:cs="宋体"/>
                <w:color w:val="auto"/>
                <w:sz w:val="24"/>
                <w:szCs w:val="24"/>
                <w:highlight w:val="none"/>
              </w:rPr>
            </w:pPr>
          </w:p>
        </w:tc>
        <w:tc>
          <w:tcPr>
            <w:tcW w:w="720" w:type="dxa"/>
            <w:noWrap/>
          </w:tcPr>
          <w:p w14:paraId="09D544F2">
            <w:pPr>
              <w:adjustRightInd w:val="0"/>
              <w:snapToGrid w:val="0"/>
              <w:spacing w:line="360" w:lineRule="auto"/>
              <w:jc w:val="center"/>
              <w:rPr>
                <w:rFonts w:ascii="宋体" w:hAnsi="宋体" w:cs="宋体"/>
                <w:color w:val="auto"/>
                <w:sz w:val="24"/>
                <w:szCs w:val="24"/>
                <w:highlight w:val="none"/>
              </w:rPr>
            </w:pPr>
          </w:p>
        </w:tc>
        <w:tc>
          <w:tcPr>
            <w:tcW w:w="720" w:type="dxa"/>
            <w:noWrap/>
          </w:tcPr>
          <w:p w14:paraId="7A239C8E">
            <w:pPr>
              <w:adjustRightInd w:val="0"/>
              <w:snapToGrid w:val="0"/>
              <w:spacing w:line="360" w:lineRule="auto"/>
              <w:jc w:val="center"/>
              <w:rPr>
                <w:rFonts w:ascii="宋体" w:hAnsi="宋体" w:cs="宋体"/>
                <w:color w:val="auto"/>
                <w:sz w:val="24"/>
                <w:szCs w:val="24"/>
                <w:highlight w:val="none"/>
              </w:rPr>
            </w:pPr>
          </w:p>
        </w:tc>
        <w:tc>
          <w:tcPr>
            <w:tcW w:w="2235" w:type="dxa"/>
            <w:noWrap/>
          </w:tcPr>
          <w:p w14:paraId="3C96A5F5">
            <w:pPr>
              <w:adjustRightInd w:val="0"/>
              <w:snapToGrid w:val="0"/>
              <w:spacing w:line="360" w:lineRule="auto"/>
              <w:rPr>
                <w:rFonts w:ascii="宋体" w:hAnsi="宋体" w:cs="宋体"/>
                <w:color w:val="auto"/>
                <w:sz w:val="24"/>
                <w:szCs w:val="24"/>
                <w:highlight w:val="none"/>
              </w:rPr>
            </w:pPr>
          </w:p>
        </w:tc>
      </w:tr>
      <w:tr w14:paraId="094A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27C5DCF0">
            <w:pPr>
              <w:adjustRightInd w:val="0"/>
              <w:snapToGrid w:val="0"/>
              <w:spacing w:line="360" w:lineRule="auto"/>
              <w:jc w:val="center"/>
              <w:rPr>
                <w:rFonts w:ascii="宋体" w:hAnsi="宋体" w:cs="宋体"/>
                <w:color w:val="auto"/>
                <w:sz w:val="24"/>
                <w:szCs w:val="24"/>
                <w:highlight w:val="none"/>
              </w:rPr>
            </w:pPr>
          </w:p>
        </w:tc>
        <w:tc>
          <w:tcPr>
            <w:tcW w:w="1924" w:type="dxa"/>
            <w:noWrap/>
          </w:tcPr>
          <w:p w14:paraId="3C971CA4">
            <w:pPr>
              <w:adjustRightInd w:val="0"/>
              <w:snapToGrid w:val="0"/>
              <w:spacing w:line="360" w:lineRule="auto"/>
              <w:rPr>
                <w:rFonts w:ascii="宋体" w:hAnsi="宋体" w:cs="宋体"/>
                <w:color w:val="auto"/>
                <w:sz w:val="24"/>
                <w:szCs w:val="24"/>
                <w:highlight w:val="none"/>
              </w:rPr>
            </w:pPr>
          </w:p>
        </w:tc>
        <w:tc>
          <w:tcPr>
            <w:tcW w:w="1236" w:type="dxa"/>
            <w:noWrap/>
          </w:tcPr>
          <w:p w14:paraId="535AE81B">
            <w:pPr>
              <w:adjustRightInd w:val="0"/>
              <w:snapToGrid w:val="0"/>
              <w:spacing w:line="360" w:lineRule="auto"/>
              <w:rPr>
                <w:rFonts w:ascii="宋体" w:hAnsi="宋体" w:cs="宋体"/>
                <w:color w:val="auto"/>
                <w:sz w:val="24"/>
                <w:szCs w:val="24"/>
                <w:highlight w:val="none"/>
              </w:rPr>
            </w:pPr>
          </w:p>
        </w:tc>
        <w:tc>
          <w:tcPr>
            <w:tcW w:w="720" w:type="dxa"/>
            <w:noWrap/>
          </w:tcPr>
          <w:p w14:paraId="008908BC">
            <w:pPr>
              <w:adjustRightInd w:val="0"/>
              <w:snapToGrid w:val="0"/>
              <w:spacing w:line="360" w:lineRule="auto"/>
              <w:jc w:val="center"/>
              <w:rPr>
                <w:rFonts w:ascii="宋体" w:hAnsi="宋体" w:cs="宋体"/>
                <w:color w:val="auto"/>
                <w:sz w:val="24"/>
                <w:szCs w:val="24"/>
                <w:highlight w:val="none"/>
              </w:rPr>
            </w:pPr>
          </w:p>
        </w:tc>
        <w:tc>
          <w:tcPr>
            <w:tcW w:w="720" w:type="dxa"/>
            <w:noWrap/>
          </w:tcPr>
          <w:p w14:paraId="3D93103A">
            <w:pPr>
              <w:adjustRightInd w:val="0"/>
              <w:snapToGrid w:val="0"/>
              <w:spacing w:line="360" w:lineRule="auto"/>
              <w:jc w:val="center"/>
              <w:rPr>
                <w:rFonts w:ascii="宋体" w:hAnsi="宋体" w:cs="宋体"/>
                <w:color w:val="auto"/>
                <w:sz w:val="24"/>
                <w:szCs w:val="24"/>
                <w:highlight w:val="none"/>
              </w:rPr>
            </w:pPr>
          </w:p>
        </w:tc>
        <w:tc>
          <w:tcPr>
            <w:tcW w:w="720" w:type="dxa"/>
            <w:noWrap/>
          </w:tcPr>
          <w:p w14:paraId="7D86210E">
            <w:pPr>
              <w:adjustRightInd w:val="0"/>
              <w:snapToGrid w:val="0"/>
              <w:spacing w:line="360" w:lineRule="auto"/>
              <w:jc w:val="center"/>
              <w:rPr>
                <w:rFonts w:ascii="宋体" w:hAnsi="宋体" w:cs="宋体"/>
                <w:color w:val="auto"/>
                <w:sz w:val="24"/>
                <w:szCs w:val="24"/>
                <w:highlight w:val="none"/>
              </w:rPr>
            </w:pPr>
          </w:p>
        </w:tc>
        <w:tc>
          <w:tcPr>
            <w:tcW w:w="720" w:type="dxa"/>
            <w:noWrap/>
          </w:tcPr>
          <w:p w14:paraId="4ECFB658">
            <w:pPr>
              <w:adjustRightInd w:val="0"/>
              <w:snapToGrid w:val="0"/>
              <w:spacing w:line="360" w:lineRule="auto"/>
              <w:jc w:val="center"/>
              <w:rPr>
                <w:rFonts w:ascii="宋体" w:hAnsi="宋体" w:cs="宋体"/>
                <w:color w:val="auto"/>
                <w:sz w:val="24"/>
                <w:szCs w:val="24"/>
                <w:highlight w:val="none"/>
              </w:rPr>
            </w:pPr>
          </w:p>
        </w:tc>
        <w:tc>
          <w:tcPr>
            <w:tcW w:w="2235" w:type="dxa"/>
            <w:noWrap/>
          </w:tcPr>
          <w:p w14:paraId="264545BA">
            <w:pPr>
              <w:adjustRightInd w:val="0"/>
              <w:snapToGrid w:val="0"/>
              <w:spacing w:line="360" w:lineRule="auto"/>
              <w:rPr>
                <w:rFonts w:ascii="宋体" w:hAnsi="宋体" w:cs="宋体"/>
                <w:color w:val="auto"/>
                <w:sz w:val="24"/>
                <w:szCs w:val="24"/>
                <w:highlight w:val="none"/>
              </w:rPr>
            </w:pPr>
          </w:p>
        </w:tc>
      </w:tr>
      <w:tr w14:paraId="4B64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06F98754">
            <w:pPr>
              <w:adjustRightInd w:val="0"/>
              <w:snapToGrid w:val="0"/>
              <w:spacing w:line="360" w:lineRule="auto"/>
              <w:jc w:val="center"/>
              <w:rPr>
                <w:rFonts w:ascii="宋体" w:hAnsi="宋体" w:cs="宋体"/>
                <w:color w:val="auto"/>
                <w:sz w:val="24"/>
                <w:szCs w:val="24"/>
                <w:highlight w:val="none"/>
              </w:rPr>
            </w:pPr>
          </w:p>
        </w:tc>
        <w:tc>
          <w:tcPr>
            <w:tcW w:w="1924" w:type="dxa"/>
            <w:noWrap/>
          </w:tcPr>
          <w:p w14:paraId="65816763">
            <w:pPr>
              <w:adjustRightInd w:val="0"/>
              <w:snapToGrid w:val="0"/>
              <w:spacing w:line="360" w:lineRule="auto"/>
              <w:rPr>
                <w:rFonts w:ascii="宋体" w:hAnsi="宋体" w:cs="宋体"/>
                <w:color w:val="auto"/>
                <w:sz w:val="24"/>
                <w:szCs w:val="24"/>
                <w:highlight w:val="none"/>
              </w:rPr>
            </w:pPr>
          </w:p>
        </w:tc>
        <w:tc>
          <w:tcPr>
            <w:tcW w:w="1236" w:type="dxa"/>
            <w:noWrap/>
          </w:tcPr>
          <w:p w14:paraId="540A31E0">
            <w:pPr>
              <w:adjustRightInd w:val="0"/>
              <w:snapToGrid w:val="0"/>
              <w:spacing w:line="360" w:lineRule="auto"/>
              <w:rPr>
                <w:rFonts w:ascii="宋体" w:hAnsi="宋体" w:cs="宋体"/>
                <w:color w:val="auto"/>
                <w:sz w:val="24"/>
                <w:szCs w:val="24"/>
                <w:highlight w:val="none"/>
              </w:rPr>
            </w:pPr>
          </w:p>
        </w:tc>
        <w:tc>
          <w:tcPr>
            <w:tcW w:w="720" w:type="dxa"/>
            <w:noWrap/>
          </w:tcPr>
          <w:p w14:paraId="6DA415BB">
            <w:pPr>
              <w:adjustRightInd w:val="0"/>
              <w:snapToGrid w:val="0"/>
              <w:spacing w:line="360" w:lineRule="auto"/>
              <w:jc w:val="center"/>
              <w:rPr>
                <w:rFonts w:ascii="宋体" w:hAnsi="宋体" w:cs="宋体"/>
                <w:color w:val="auto"/>
                <w:sz w:val="24"/>
                <w:szCs w:val="24"/>
                <w:highlight w:val="none"/>
              </w:rPr>
            </w:pPr>
          </w:p>
        </w:tc>
        <w:tc>
          <w:tcPr>
            <w:tcW w:w="720" w:type="dxa"/>
            <w:noWrap/>
          </w:tcPr>
          <w:p w14:paraId="5823C39B">
            <w:pPr>
              <w:adjustRightInd w:val="0"/>
              <w:snapToGrid w:val="0"/>
              <w:spacing w:line="360" w:lineRule="auto"/>
              <w:jc w:val="center"/>
              <w:rPr>
                <w:rFonts w:ascii="宋体" w:hAnsi="宋体" w:cs="宋体"/>
                <w:color w:val="auto"/>
                <w:sz w:val="24"/>
                <w:szCs w:val="24"/>
                <w:highlight w:val="none"/>
              </w:rPr>
            </w:pPr>
          </w:p>
        </w:tc>
        <w:tc>
          <w:tcPr>
            <w:tcW w:w="720" w:type="dxa"/>
            <w:noWrap/>
          </w:tcPr>
          <w:p w14:paraId="4FECD622">
            <w:pPr>
              <w:adjustRightInd w:val="0"/>
              <w:snapToGrid w:val="0"/>
              <w:spacing w:line="360" w:lineRule="auto"/>
              <w:jc w:val="center"/>
              <w:rPr>
                <w:rFonts w:ascii="宋体" w:hAnsi="宋体" w:cs="宋体"/>
                <w:color w:val="auto"/>
                <w:sz w:val="24"/>
                <w:szCs w:val="24"/>
                <w:highlight w:val="none"/>
              </w:rPr>
            </w:pPr>
          </w:p>
        </w:tc>
        <w:tc>
          <w:tcPr>
            <w:tcW w:w="720" w:type="dxa"/>
            <w:noWrap/>
          </w:tcPr>
          <w:p w14:paraId="1F7CFEF1">
            <w:pPr>
              <w:adjustRightInd w:val="0"/>
              <w:snapToGrid w:val="0"/>
              <w:spacing w:line="360" w:lineRule="auto"/>
              <w:jc w:val="center"/>
              <w:rPr>
                <w:rFonts w:ascii="宋体" w:hAnsi="宋体" w:cs="宋体"/>
                <w:color w:val="auto"/>
                <w:sz w:val="24"/>
                <w:szCs w:val="24"/>
                <w:highlight w:val="none"/>
              </w:rPr>
            </w:pPr>
          </w:p>
        </w:tc>
        <w:tc>
          <w:tcPr>
            <w:tcW w:w="2235" w:type="dxa"/>
            <w:noWrap/>
          </w:tcPr>
          <w:p w14:paraId="4DEDF97F">
            <w:pPr>
              <w:adjustRightInd w:val="0"/>
              <w:snapToGrid w:val="0"/>
              <w:spacing w:line="360" w:lineRule="auto"/>
              <w:rPr>
                <w:rFonts w:ascii="宋体" w:hAnsi="宋体" w:cs="宋体"/>
                <w:color w:val="auto"/>
                <w:sz w:val="24"/>
                <w:szCs w:val="24"/>
                <w:highlight w:val="none"/>
              </w:rPr>
            </w:pPr>
          </w:p>
        </w:tc>
      </w:tr>
      <w:tr w14:paraId="78B3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292A40F5">
            <w:pPr>
              <w:adjustRightInd w:val="0"/>
              <w:snapToGrid w:val="0"/>
              <w:spacing w:line="360" w:lineRule="auto"/>
              <w:jc w:val="center"/>
              <w:rPr>
                <w:rFonts w:ascii="宋体" w:hAnsi="宋体" w:cs="宋体"/>
                <w:color w:val="auto"/>
                <w:sz w:val="24"/>
                <w:szCs w:val="24"/>
                <w:highlight w:val="none"/>
              </w:rPr>
            </w:pPr>
          </w:p>
        </w:tc>
        <w:tc>
          <w:tcPr>
            <w:tcW w:w="1924" w:type="dxa"/>
            <w:noWrap/>
          </w:tcPr>
          <w:p w14:paraId="7AF7493C">
            <w:pPr>
              <w:adjustRightInd w:val="0"/>
              <w:snapToGrid w:val="0"/>
              <w:spacing w:line="360" w:lineRule="auto"/>
              <w:rPr>
                <w:rFonts w:ascii="宋体" w:hAnsi="宋体" w:cs="宋体"/>
                <w:color w:val="auto"/>
                <w:sz w:val="24"/>
                <w:szCs w:val="24"/>
                <w:highlight w:val="none"/>
              </w:rPr>
            </w:pPr>
          </w:p>
        </w:tc>
        <w:tc>
          <w:tcPr>
            <w:tcW w:w="1236" w:type="dxa"/>
            <w:noWrap/>
          </w:tcPr>
          <w:p w14:paraId="6597AA02">
            <w:pPr>
              <w:adjustRightInd w:val="0"/>
              <w:snapToGrid w:val="0"/>
              <w:spacing w:line="360" w:lineRule="auto"/>
              <w:rPr>
                <w:rFonts w:ascii="宋体" w:hAnsi="宋体" w:cs="宋体"/>
                <w:color w:val="auto"/>
                <w:sz w:val="24"/>
                <w:szCs w:val="24"/>
                <w:highlight w:val="none"/>
              </w:rPr>
            </w:pPr>
          </w:p>
        </w:tc>
        <w:tc>
          <w:tcPr>
            <w:tcW w:w="720" w:type="dxa"/>
            <w:noWrap/>
          </w:tcPr>
          <w:p w14:paraId="6CB25237">
            <w:pPr>
              <w:adjustRightInd w:val="0"/>
              <w:snapToGrid w:val="0"/>
              <w:spacing w:line="360" w:lineRule="auto"/>
              <w:jc w:val="center"/>
              <w:rPr>
                <w:rFonts w:ascii="宋体" w:hAnsi="宋体" w:cs="宋体"/>
                <w:color w:val="auto"/>
                <w:sz w:val="24"/>
                <w:szCs w:val="24"/>
                <w:highlight w:val="none"/>
              </w:rPr>
            </w:pPr>
          </w:p>
        </w:tc>
        <w:tc>
          <w:tcPr>
            <w:tcW w:w="720" w:type="dxa"/>
            <w:noWrap/>
          </w:tcPr>
          <w:p w14:paraId="58C0B9A1">
            <w:pPr>
              <w:adjustRightInd w:val="0"/>
              <w:snapToGrid w:val="0"/>
              <w:spacing w:line="360" w:lineRule="auto"/>
              <w:jc w:val="center"/>
              <w:rPr>
                <w:rFonts w:ascii="宋体" w:hAnsi="宋体" w:cs="宋体"/>
                <w:color w:val="auto"/>
                <w:sz w:val="24"/>
                <w:szCs w:val="24"/>
                <w:highlight w:val="none"/>
              </w:rPr>
            </w:pPr>
          </w:p>
        </w:tc>
        <w:tc>
          <w:tcPr>
            <w:tcW w:w="720" w:type="dxa"/>
            <w:noWrap/>
          </w:tcPr>
          <w:p w14:paraId="013D63E2">
            <w:pPr>
              <w:adjustRightInd w:val="0"/>
              <w:snapToGrid w:val="0"/>
              <w:spacing w:line="360" w:lineRule="auto"/>
              <w:jc w:val="center"/>
              <w:rPr>
                <w:rFonts w:ascii="宋体" w:hAnsi="宋体" w:cs="宋体"/>
                <w:color w:val="auto"/>
                <w:sz w:val="24"/>
                <w:szCs w:val="24"/>
                <w:highlight w:val="none"/>
              </w:rPr>
            </w:pPr>
          </w:p>
        </w:tc>
        <w:tc>
          <w:tcPr>
            <w:tcW w:w="720" w:type="dxa"/>
            <w:noWrap/>
          </w:tcPr>
          <w:p w14:paraId="2E364144">
            <w:pPr>
              <w:adjustRightInd w:val="0"/>
              <w:snapToGrid w:val="0"/>
              <w:spacing w:line="360" w:lineRule="auto"/>
              <w:jc w:val="center"/>
              <w:rPr>
                <w:rFonts w:ascii="宋体" w:hAnsi="宋体" w:cs="宋体"/>
                <w:color w:val="auto"/>
                <w:sz w:val="24"/>
                <w:szCs w:val="24"/>
                <w:highlight w:val="none"/>
              </w:rPr>
            </w:pPr>
          </w:p>
        </w:tc>
        <w:tc>
          <w:tcPr>
            <w:tcW w:w="2235" w:type="dxa"/>
            <w:noWrap/>
          </w:tcPr>
          <w:p w14:paraId="46830AB7">
            <w:pPr>
              <w:adjustRightInd w:val="0"/>
              <w:snapToGrid w:val="0"/>
              <w:spacing w:line="360" w:lineRule="auto"/>
              <w:rPr>
                <w:rFonts w:ascii="宋体" w:hAnsi="宋体" w:cs="宋体"/>
                <w:color w:val="auto"/>
                <w:sz w:val="24"/>
                <w:szCs w:val="24"/>
                <w:highlight w:val="none"/>
              </w:rPr>
            </w:pPr>
          </w:p>
        </w:tc>
      </w:tr>
      <w:tr w14:paraId="772D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59F1C17F">
            <w:pPr>
              <w:adjustRightInd w:val="0"/>
              <w:snapToGrid w:val="0"/>
              <w:spacing w:line="360" w:lineRule="auto"/>
              <w:jc w:val="center"/>
              <w:rPr>
                <w:rFonts w:ascii="宋体" w:hAnsi="宋体" w:cs="宋体"/>
                <w:color w:val="auto"/>
                <w:sz w:val="24"/>
                <w:szCs w:val="24"/>
                <w:highlight w:val="none"/>
              </w:rPr>
            </w:pPr>
          </w:p>
        </w:tc>
        <w:tc>
          <w:tcPr>
            <w:tcW w:w="1924" w:type="dxa"/>
            <w:noWrap/>
          </w:tcPr>
          <w:p w14:paraId="1706BB92">
            <w:pPr>
              <w:adjustRightInd w:val="0"/>
              <w:snapToGrid w:val="0"/>
              <w:spacing w:line="360" w:lineRule="auto"/>
              <w:rPr>
                <w:rFonts w:ascii="宋体" w:hAnsi="宋体" w:cs="宋体"/>
                <w:color w:val="auto"/>
                <w:sz w:val="24"/>
                <w:szCs w:val="24"/>
                <w:highlight w:val="none"/>
              </w:rPr>
            </w:pPr>
          </w:p>
        </w:tc>
        <w:tc>
          <w:tcPr>
            <w:tcW w:w="1236" w:type="dxa"/>
            <w:noWrap/>
          </w:tcPr>
          <w:p w14:paraId="177AE591">
            <w:pPr>
              <w:adjustRightInd w:val="0"/>
              <w:snapToGrid w:val="0"/>
              <w:spacing w:line="360" w:lineRule="auto"/>
              <w:rPr>
                <w:rFonts w:ascii="宋体" w:hAnsi="宋体" w:cs="宋体"/>
                <w:color w:val="auto"/>
                <w:sz w:val="24"/>
                <w:szCs w:val="24"/>
                <w:highlight w:val="none"/>
              </w:rPr>
            </w:pPr>
          </w:p>
        </w:tc>
        <w:tc>
          <w:tcPr>
            <w:tcW w:w="720" w:type="dxa"/>
            <w:noWrap/>
          </w:tcPr>
          <w:p w14:paraId="3433A9F4">
            <w:pPr>
              <w:adjustRightInd w:val="0"/>
              <w:snapToGrid w:val="0"/>
              <w:spacing w:line="360" w:lineRule="auto"/>
              <w:jc w:val="center"/>
              <w:rPr>
                <w:rFonts w:ascii="宋体" w:hAnsi="宋体" w:cs="宋体"/>
                <w:color w:val="auto"/>
                <w:sz w:val="24"/>
                <w:szCs w:val="24"/>
                <w:highlight w:val="none"/>
              </w:rPr>
            </w:pPr>
          </w:p>
        </w:tc>
        <w:tc>
          <w:tcPr>
            <w:tcW w:w="720" w:type="dxa"/>
            <w:noWrap/>
          </w:tcPr>
          <w:p w14:paraId="6B2CD508">
            <w:pPr>
              <w:adjustRightInd w:val="0"/>
              <w:snapToGrid w:val="0"/>
              <w:spacing w:line="360" w:lineRule="auto"/>
              <w:jc w:val="center"/>
              <w:rPr>
                <w:rFonts w:ascii="宋体" w:hAnsi="宋体" w:cs="宋体"/>
                <w:color w:val="auto"/>
                <w:sz w:val="24"/>
                <w:szCs w:val="24"/>
                <w:highlight w:val="none"/>
              </w:rPr>
            </w:pPr>
          </w:p>
        </w:tc>
        <w:tc>
          <w:tcPr>
            <w:tcW w:w="720" w:type="dxa"/>
            <w:noWrap/>
          </w:tcPr>
          <w:p w14:paraId="29AA0FD7">
            <w:pPr>
              <w:adjustRightInd w:val="0"/>
              <w:snapToGrid w:val="0"/>
              <w:spacing w:line="360" w:lineRule="auto"/>
              <w:jc w:val="center"/>
              <w:rPr>
                <w:rFonts w:ascii="宋体" w:hAnsi="宋体" w:cs="宋体"/>
                <w:color w:val="auto"/>
                <w:sz w:val="24"/>
                <w:szCs w:val="24"/>
                <w:highlight w:val="none"/>
              </w:rPr>
            </w:pPr>
          </w:p>
        </w:tc>
        <w:tc>
          <w:tcPr>
            <w:tcW w:w="720" w:type="dxa"/>
            <w:noWrap/>
          </w:tcPr>
          <w:p w14:paraId="67043B37">
            <w:pPr>
              <w:adjustRightInd w:val="0"/>
              <w:snapToGrid w:val="0"/>
              <w:spacing w:line="360" w:lineRule="auto"/>
              <w:jc w:val="center"/>
              <w:rPr>
                <w:rFonts w:ascii="宋体" w:hAnsi="宋体" w:cs="宋体"/>
                <w:color w:val="auto"/>
                <w:sz w:val="24"/>
                <w:szCs w:val="24"/>
                <w:highlight w:val="none"/>
              </w:rPr>
            </w:pPr>
          </w:p>
        </w:tc>
        <w:tc>
          <w:tcPr>
            <w:tcW w:w="2235" w:type="dxa"/>
            <w:noWrap/>
          </w:tcPr>
          <w:p w14:paraId="5E962C4B">
            <w:pPr>
              <w:adjustRightInd w:val="0"/>
              <w:snapToGrid w:val="0"/>
              <w:spacing w:line="360" w:lineRule="auto"/>
              <w:rPr>
                <w:rFonts w:ascii="宋体" w:hAnsi="宋体" w:cs="宋体"/>
                <w:color w:val="auto"/>
                <w:sz w:val="24"/>
                <w:szCs w:val="24"/>
                <w:highlight w:val="none"/>
              </w:rPr>
            </w:pPr>
          </w:p>
        </w:tc>
      </w:tr>
      <w:tr w14:paraId="424F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43E6E5F6">
            <w:pPr>
              <w:adjustRightInd w:val="0"/>
              <w:snapToGrid w:val="0"/>
              <w:spacing w:line="360" w:lineRule="auto"/>
              <w:jc w:val="center"/>
              <w:rPr>
                <w:rFonts w:ascii="宋体" w:hAnsi="宋体" w:cs="宋体"/>
                <w:color w:val="auto"/>
                <w:sz w:val="24"/>
                <w:szCs w:val="24"/>
                <w:highlight w:val="none"/>
              </w:rPr>
            </w:pPr>
          </w:p>
        </w:tc>
        <w:tc>
          <w:tcPr>
            <w:tcW w:w="1924" w:type="dxa"/>
            <w:noWrap/>
          </w:tcPr>
          <w:p w14:paraId="02039479">
            <w:pPr>
              <w:adjustRightInd w:val="0"/>
              <w:snapToGrid w:val="0"/>
              <w:spacing w:line="360" w:lineRule="auto"/>
              <w:rPr>
                <w:rFonts w:ascii="宋体" w:hAnsi="宋体" w:cs="宋体"/>
                <w:color w:val="auto"/>
                <w:sz w:val="24"/>
                <w:szCs w:val="24"/>
                <w:highlight w:val="none"/>
              </w:rPr>
            </w:pPr>
          </w:p>
        </w:tc>
        <w:tc>
          <w:tcPr>
            <w:tcW w:w="1236" w:type="dxa"/>
            <w:noWrap/>
          </w:tcPr>
          <w:p w14:paraId="17E0F50A">
            <w:pPr>
              <w:adjustRightInd w:val="0"/>
              <w:snapToGrid w:val="0"/>
              <w:spacing w:line="360" w:lineRule="auto"/>
              <w:rPr>
                <w:rFonts w:ascii="宋体" w:hAnsi="宋体" w:cs="宋体"/>
                <w:color w:val="auto"/>
                <w:sz w:val="24"/>
                <w:szCs w:val="24"/>
                <w:highlight w:val="none"/>
              </w:rPr>
            </w:pPr>
          </w:p>
        </w:tc>
        <w:tc>
          <w:tcPr>
            <w:tcW w:w="720" w:type="dxa"/>
            <w:noWrap/>
          </w:tcPr>
          <w:p w14:paraId="51A6D29C">
            <w:pPr>
              <w:adjustRightInd w:val="0"/>
              <w:snapToGrid w:val="0"/>
              <w:spacing w:line="360" w:lineRule="auto"/>
              <w:jc w:val="center"/>
              <w:rPr>
                <w:rFonts w:ascii="宋体" w:hAnsi="宋体" w:cs="宋体"/>
                <w:color w:val="auto"/>
                <w:sz w:val="24"/>
                <w:szCs w:val="24"/>
                <w:highlight w:val="none"/>
              </w:rPr>
            </w:pPr>
          </w:p>
        </w:tc>
        <w:tc>
          <w:tcPr>
            <w:tcW w:w="720" w:type="dxa"/>
            <w:noWrap/>
          </w:tcPr>
          <w:p w14:paraId="59620F66">
            <w:pPr>
              <w:adjustRightInd w:val="0"/>
              <w:snapToGrid w:val="0"/>
              <w:spacing w:line="360" w:lineRule="auto"/>
              <w:jc w:val="center"/>
              <w:rPr>
                <w:rFonts w:ascii="宋体" w:hAnsi="宋体" w:cs="宋体"/>
                <w:color w:val="auto"/>
                <w:sz w:val="24"/>
                <w:szCs w:val="24"/>
                <w:highlight w:val="none"/>
              </w:rPr>
            </w:pPr>
          </w:p>
        </w:tc>
        <w:tc>
          <w:tcPr>
            <w:tcW w:w="720" w:type="dxa"/>
            <w:noWrap/>
          </w:tcPr>
          <w:p w14:paraId="03B5526B">
            <w:pPr>
              <w:adjustRightInd w:val="0"/>
              <w:snapToGrid w:val="0"/>
              <w:spacing w:line="360" w:lineRule="auto"/>
              <w:jc w:val="center"/>
              <w:rPr>
                <w:rFonts w:ascii="宋体" w:hAnsi="宋体" w:cs="宋体"/>
                <w:color w:val="auto"/>
                <w:sz w:val="24"/>
                <w:szCs w:val="24"/>
                <w:highlight w:val="none"/>
              </w:rPr>
            </w:pPr>
          </w:p>
        </w:tc>
        <w:tc>
          <w:tcPr>
            <w:tcW w:w="720" w:type="dxa"/>
            <w:noWrap/>
          </w:tcPr>
          <w:p w14:paraId="223B761A">
            <w:pPr>
              <w:adjustRightInd w:val="0"/>
              <w:snapToGrid w:val="0"/>
              <w:spacing w:line="360" w:lineRule="auto"/>
              <w:jc w:val="center"/>
              <w:rPr>
                <w:rFonts w:ascii="宋体" w:hAnsi="宋体" w:cs="宋体"/>
                <w:color w:val="auto"/>
                <w:sz w:val="24"/>
                <w:szCs w:val="24"/>
                <w:highlight w:val="none"/>
              </w:rPr>
            </w:pPr>
          </w:p>
        </w:tc>
        <w:tc>
          <w:tcPr>
            <w:tcW w:w="2235" w:type="dxa"/>
            <w:noWrap/>
          </w:tcPr>
          <w:p w14:paraId="79DF1656">
            <w:pPr>
              <w:adjustRightInd w:val="0"/>
              <w:snapToGrid w:val="0"/>
              <w:spacing w:line="360" w:lineRule="auto"/>
              <w:rPr>
                <w:rFonts w:ascii="宋体" w:hAnsi="宋体" w:cs="宋体"/>
                <w:color w:val="auto"/>
                <w:sz w:val="24"/>
                <w:szCs w:val="24"/>
                <w:highlight w:val="none"/>
              </w:rPr>
            </w:pPr>
          </w:p>
        </w:tc>
      </w:tr>
    </w:tbl>
    <w:p w14:paraId="586E683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6.2“开标一览表”和“明细表”仅作为投标人编制投标技术文件的一般格式。其中序号编写应当便于招标人了解分类或分项货物之间的所属关系，如1、1.1、1.2；</w:t>
      </w:r>
    </w:p>
    <w:p w14:paraId="6E26567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6.3应当尽可能将货物的配置列全、列细，这将有助于投标人胜出；</w:t>
      </w:r>
    </w:p>
    <w:p w14:paraId="123E19C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6.4单价与总价之间、总价与分类小计价之间、分类小计价与合计价之间数据应当齐全而且准确；</w:t>
      </w:r>
    </w:p>
    <w:p w14:paraId="21936C0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6.5  本条款表格中的制造商，应当为全称或公认的简称。</w:t>
      </w:r>
    </w:p>
    <w:p w14:paraId="5C9A93AB">
      <w:pPr>
        <w:pStyle w:val="238"/>
        <w:spacing w:line="360" w:lineRule="auto"/>
        <w:rPr>
          <w:rFonts w:ascii="宋体" w:hAnsi="宋体" w:cs="宋体"/>
          <w:color w:val="auto"/>
          <w:highlight w:val="none"/>
        </w:rPr>
      </w:pPr>
      <w:r>
        <w:rPr>
          <w:rFonts w:hint="eastAsia" w:ascii="宋体" w:hAnsi="宋体" w:cs="宋体"/>
          <w:color w:val="auto"/>
          <w:highlight w:val="none"/>
        </w:rPr>
        <w:t>二、技术文件中货物报价格式要求</w:t>
      </w:r>
    </w:p>
    <w:p w14:paraId="0E512FF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62E3F44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2.如果投标总报价与其它价格出现错误或不一致，将有可能导致废标。</w:t>
      </w:r>
    </w:p>
    <w:p w14:paraId="1D92C56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3.投标总报价为自合同签定生效至合同无异议执行完毕涉及的买方需要支付的全部费用。如投标人认为本招标及投标货物涉及特需或专门的设计，应当单独列明设计费。</w:t>
      </w:r>
    </w:p>
    <w:p w14:paraId="0818CB1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4.备品备件、易损件和专用耗材，招标人将可能与投标人按照投标价格另行签署供货合同。</w:t>
      </w:r>
    </w:p>
    <w:p w14:paraId="2ACD4C5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5.要求投标总报价、分项报价、明细报价之间应当具有相互间对应关系以及填报分项和明细报价，仅为便于评标而不妨碍投标人以最合适的形式签署合同。</w:t>
      </w:r>
    </w:p>
    <w:p w14:paraId="26ECEA81">
      <w:pPr>
        <w:rPr>
          <w:rFonts w:ascii="Calibri" w:hAnsi="Calibri"/>
          <w:b/>
          <w:bCs/>
          <w:color w:val="auto"/>
          <w:kern w:val="44"/>
          <w:sz w:val="44"/>
          <w:szCs w:val="44"/>
          <w:highlight w:val="none"/>
        </w:rPr>
      </w:pPr>
    </w:p>
    <w:p w14:paraId="224D9DAC">
      <w:pPr>
        <w:rPr>
          <w:rFonts w:ascii="Calibri" w:hAnsi="Calibri"/>
          <w:b/>
          <w:bCs/>
          <w:color w:val="auto"/>
          <w:kern w:val="44"/>
          <w:sz w:val="44"/>
          <w:szCs w:val="44"/>
          <w:highlight w:val="none"/>
        </w:rPr>
      </w:pPr>
      <w:r>
        <w:rPr>
          <w:rFonts w:hint="eastAsia" w:ascii="Calibri" w:hAnsi="Calibri"/>
          <w:b/>
          <w:bCs/>
          <w:color w:val="auto"/>
          <w:kern w:val="44"/>
          <w:sz w:val="44"/>
          <w:szCs w:val="44"/>
          <w:highlight w:val="none"/>
        </w:rPr>
        <w:br w:type="page"/>
      </w:r>
    </w:p>
    <w:p w14:paraId="15B102E5">
      <w:pPr>
        <w:keepNext/>
        <w:keepLines/>
        <w:jc w:val="center"/>
        <w:outlineLvl w:val="0"/>
        <w:rPr>
          <w:rFonts w:ascii="Calibri" w:hAnsi="Calibri"/>
          <w:b/>
          <w:bCs/>
          <w:color w:val="auto"/>
          <w:kern w:val="44"/>
          <w:sz w:val="44"/>
          <w:szCs w:val="44"/>
          <w:highlight w:val="none"/>
        </w:rPr>
      </w:pPr>
      <w:r>
        <w:rPr>
          <w:rFonts w:hint="eastAsia" w:ascii="Calibri" w:hAnsi="Calibri"/>
          <w:b/>
          <w:bCs/>
          <w:color w:val="auto"/>
          <w:kern w:val="44"/>
          <w:sz w:val="44"/>
          <w:szCs w:val="44"/>
          <w:highlight w:val="none"/>
        </w:rPr>
        <w:t>第三部分 投标文件附件</w:t>
      </w:r>
    </w:p>
    <w:p w14:paraId="5BBAA2A1">
      <w:pPr>
        <w:keepNext/>
        <w:keepLines/>
        <w:rPr>
          <w:b/>
          <w:bCs/>
          <w:color w:val="auto"/>
          <w:sz w:val="24"/>
          <w:szCs w:val="24"/>
          <w:highlight w:val="none"/>
        </w:rPr>
      </w:pPr>
    </w:p>
    <w:p w14:paraId="770926DF">
      <w:pPr>
        <w:pStyle w:val="25"/>
        <w:rPr>
          <w:rFonts w:ascii="Times New Roman" w:hAnsi="Times New Roman" w:eastAsia="宋体"/>
          <w:b/>
          <w:bCs/>
          <w:color w:val="auto"/>
          <w:szCs w:val="24"/>
          <w:highlight w:val="none"/>
        </w:rPr>
      </w:pPr>
    </w:p>
    <w:p w14:paraId="51662AD2">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说明：</w:t>
      </w:r>
    </w:p>
    <w:p w14:paraId="5F5B2F78">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1.投标人须认真填写和提交本部分中的附件文件；</w:t>
      </w:r>
    </w:p>
    <w:p w14:paraId="1B9FECC3">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2.对附件文件中所要求的内容应给予明确的答复；</w:t>
      </w:r>
    </w:p>
    <w:p w14:paraId="692CBC2F">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3.附件文件的签字人应保证其对一切问题的答复、所做的声明及出具的资格资质文件、资料等具有真实性和准确性；</w:t>
      </w:r>
    </w:p>
    <w:p w14:paraId="679BC964">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4.招标人将对投标人提交的文件、资料等内容予以保密，但不退还；</w:t>
      </w:r>
    </w:p>
    <w:p w14:paraId="1F60569C">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5.所有附件文件应以中文书写，作为投标文件的组成部分。</w:t>
      </w:r>
    </w:p>
    <w:p w14:paraId="02471927">
      <w:pPr>
        <w:keepNext/>
        <w:keepLines/>
        <w:outlineLvl w:val="2"/>
        <w:rPr>
          <w:rFonts w:asciiTheme="minorEastAsia" w:hAnsiTheme="minorEastAsia" w:eastAsiaTheme="minorEastAsia" w:cstheme="minorEastAsia"/>
          <w:b/>
          <w:color w:val="auto"/>
          <w:sz w:val="24"/>
          <w:szCs w:val="24"/>
          <w:highlight w:val="none"/>
        </w:rPr>
      </w:pPr>
    </w:p>
    <w:p w14:paraId="41D6CD8A">
      <w:pPr>
        <w:keepNext/>
        <w:keepLines/>
        <w:outlineLvl w:val="2"/>
        <w:rPr>
          <w:rFonts w:asciiTheme="minorEastAsia" w:hAnsiTheme="minorEastAsia" w:eastAsiaTheme="minorEastAsia" w:cstheme="minorEastAsia"/>
          <w:b/>
          <w:color w:val="auto"/>
          <w:sz w:val="24"/>
          <w:szCs w:val="24"/>
          <w:highlight w:val="none"/>
        </w:rPr>
      </w:pPr>
    </w:p>
    <w:p w14:paraId="22DB6707">
      <w:pPr>
        <w:keepNext/>
        <w:keepLines/>
        <w:outlineLvl w:val="2"/>
        <w:rPr>
          <w:rFonts w:asciiTheme="minorEastAsia" w:hAnsiTheme="minorEastAsia" w:eastAsiaTheme="minorEastAsia" w:cstheme="minorEastAsia"/>
          <w:b/>
          <w:color w:val="auto"/>
          <w:sz w:val="24"/>
          <w:szCs w:val="24"/>
          <w:highlight w:val="none"/>
        </w:rPr>
      </w:pPr>
    </w:p>
    <w:p w14:paraId="5C8E68BA">
      <w:pPr>
        <w:keepNext/>
        <w:keepLines/>
        <w:outlineLvl w:val="2"/>
        <w:rPr>
          <w:rFonts w:asciiTheme="minorEastAsia" w:hAnsiTheme="minorEastAsia" w:eastAsiaTheme="minorEastAsia" w:cstheme="minorEastAsia"/>
          <w:b/>
          <w:color w:val="auto"/>
          <w:sz w:val="24"/>
          <w:szCs w:val="24"/>
          <w:highlight w:val="none"/>
        </w:rPr>
      </w:pPr>
    </w:p>
    <w:p w14:paraId="43DEF5F2">
      <w:pPr>
        <w:keepNext/>
        <w:keepLines/>
        <w:outlineLvl w:val="2"/>
        <w:rPr>
          <w:rFonts w:asciiTheme="minorEastAsia" w:hAnsiTheme="minorEastAsia" w:eastAsiaTheme="minorEastAsia" w:cstheme="minorEastAsia"/>
          <w:b/>
          <w:color w:val="auto"/>
          <w:sz w:val="24"/>
          <w:szCs w:val="24"/>
          <w:highlight w:val="none"/>
        </w:rPr>
      </w:pPr>
    </w:p>
    <w:p w14:paraId="0E02462C">
      <w:pPr>
        <w:keepNext/>
        <w:keepLines/>
        <w:outlineLvl w:val="2"/>
        <w:rPr>
          <w:rFonts w:asciiTheme="minorEastAsia" w:hAnsiTheme="minorEastAsia" w:eastAsiaTheme="minorEastAsia" w:cstheme="minorEastAsia"/>
          <w:b/>
          <w:color w:val="auto"/>
          <w:sz w:val="24"/>
          <w:szCs w:val="24"/>
          <w:highlight w:val="none"/>
        </w:rPr>
      </w:pPr>
    </w:p>
    <w:p w14:paraId="7CD5C753">
      <w:pPr>
        <w:keepNext/>
        <w:keepLines/>
        <w:outlineLvl w:val="2"/>
        <w:rPr>
          <w:rFonts w:asciiTheme="minorEastAsia" w:hAnsiTheme="minorEastAsia" w:eastAsiaTheme="minorEastAsia" w:cstheme="minorEastAsia"/>
          <w:b/>
          <w:color w:val="auto"/>
          <w:sz w:val="24"/>
          <w:szCs w:val="24"/>
          <w:highlight w:val="none"/>
        </w:rPr>
      </w:pPr>
    </w:p>
    <w:p w14:paraId="72CCA7F6">
      <w:pPr>
        <w:keepNext/>
        <w:keepLines/>
        <w:outlineLvl w:val="2"/>
        <w:rPr>
          <w:rFonts w:asciiTheme="minorEastAsia" w:hAnsiTheme="minorEastAsia" w:eastAsiaTheme="minorEastAsia" w:cstheme="minorEastAsia"/>
          <w:b/>
          <w:color w:val="auto"/>
          <w:sz w:val="24"/>
          <w:szCs w:val="24"/>
          <w:highlight w:val="none"/>
        </w:rPr>
      </w:pPr>
    </w:p>
    <w:p w14:paraId="52790A81">
      <w:pPr>
        <w:keepNext/>
        <w:keepLines/>
        <w:outlineLvl w:val="2"/>
        <w:rPr>
          <w:rFonts w:asciiTheme="minorEastAsia" w:hAnsiTheme="minorEastAsia" w:eastAsiaTheme="minorEastAsia" w:cstheme="minorEastAsia"/>
          <w:b/>
          <w:color w:val="auto"/>
          <w:sz w:val="24"/>
          <w:szCs w:val="24"/>
          <w:highlight w:val="none"/>
        </w:rPr>
      </w:pPr>
    </w:p>
    <w:p w14:paraId="1C806312">
      <w:pPr>
        <w:keepNext/>
        <w:keepLines/>
        <w:outlineLvl w:val="2"/>
        <w:rPr>
          <w:rFonts w:asciiTheme="minorEastAsia" w:hAnsiTheme="minorEastAsia" w:eastAsiaTheme="minorEastAsia" w:cstheme="minorEastAsia"/>
          <w:b/>
          <w:color w:val="auto"/>
          <w:sz w:val="24"/>
          <w:szCs w:val="24"/>
          <w:highlight w:val="none"/>
        </w:rPr>
      </w:pPr>
    </w:p>
    <w:p w14:paraId="39D128E2">
      <w:pPr>
        <w:keepNext/>
        <w:keepLines/>
        <w:outlineLvl w:val="2"/>
        <w:rPr>
          <w:rFonts w:asciiTheme="minorEastAsia" w:hAnsiTheme="minorEastAsia" w:eastAsiaTheme="minorEastAsia" w:cstheme="minorEastAsia"/>
          <w:b/>
          <w:color w:val="auto"/>
          <w:sz w:val="24"/>
          <w:szCs w:val="24"/>
          <w:highlight w:val="none"/>
        </w:rPr>
      </w:pPr>
    </w:p>
    <w:p w14:paraId="69775C52">
      <w:pPr>
        <w:keepNext/>
        <w:keepLines/>
        <w:outlineLvl w:val="2"/>
        <w:rPr>
          <w:rFonts w:asciiTheme="minorEastAsia" w:hAnsiTheme="minorEastAsia" w:eastAsiaTheme="minorEastAsia" w:cstheme="minorEastAsia"/>
          <w:b/>
          <w:color w:val="auto"/>
          <w:sz w:val="24"/>
          <w:szCs w:val="24"/>
          <w:highlight w:val="none"/>
        </w:rPr>
      </w:pPr>
    </w:p>
    <w:p w14:paraId="2DDFFD4D">
      <w:pPr>
        <w:keepNext/>
        <w:keepLines/>
        <w:outlineLvl w:val="2"/>
        <w:rPr>
          <w:rFonts w:asciiTheme="minorEastAsia" w:hAnsiTheme="minorEastAsia" w:eastAsiaTheme="minorEastAsia" w:cstheme="minorEastAsia"/>
          <w:b/>
          <w:color w:val="auto"/>
          <w:sz w:val="24"/>
          <w:szCs w:val="24"/>
          <w:highlight w:val="none"/>
        </w:rPr>
      </w:pPr>
    </w:p>
    <w:p w14:paraId="0C5DA459">
      <w:pPr>
        <w:keepNext/>
        <w:keepLines/>
        <w:outlineLvl w:val="2"/>
        <w:rPr>
          <w:rFonts w:asciiTheme="minorEastAsia" w:hAnsiTheme="minorEastAsia" w:eastAsiaTheme="minorEastAsia" w:cstheme="minorEastAsia"/>
          <w:b/>
          <w:color w:val="auto"/>
          <w:sz w:val="24"/>
          <w:szCs w:val="24"/>
          <w:highlight w:val="none"/>
        </w:rPr>
      </w:pPr>
    </w:p>
    <w:p w14:paraId="38BC0E96">
      <w:pPr>
        <w:keepNext/>
        <w:keepLines/>
        <w:outlineLvl w:val="2"/>
        <w:rPr>
          <w:rFonts w:asciiTheme="minorEastAsia" w:hAnsiTheme="minorEastAsia" w:eastAsiaTheme="minorEastAsia" w:cstheme="minorEastAsia"/>
          <w:b/>
          <w:color w:val="auto"/>
          <w:sz w:val="24"/>
          <w:szCs w:val="24"/>
          <w:highlight w:val="none"/>
        </w:rPr>
      </w:pPr>
    </w:p>
    <w:p w14:paraId="4510EC3A">
      <w:pPr>
        <w:keepNext/>
        <w:keepLines/>
        <w:outlineLvl w:val="2"/>
        <w:rPr>
          <w:rFonts w:asciiTheme="minorEastAsia" w:hAnsiTheme="minorEastAsia" w:eastAsiaTheme="minorEastAsia" w:cstheme="minorEastAsia"/>
          <w:b/>
          <w:color w:val="auto"/>
          <w:sz w:val="24"/>
          <w:szCs w:val="24"/>
          <w:highlight w:val="none"/>
        </w:rPr>
      </w:pPr>
    </w:p>
    <w:p w14:paraId="3CB77C00">
      <w:pPr>
        <w:keepNext/>
        <w:keepLines/>
        <w:outlineLvl w:val="2"/>
        <w:rPr>
          <w:rFonts w:asciiTheme="minorEastAsia" w:hAnsiTheme="minorEastAsia" w:eastAsiaTheme="minorEastAsia" w:cstheme="minorEastAsia"/>
          <w:b/>
          <w:color w:val="auto"/>
          <w:sz w:val="24"/>
          <w:szCs w:val="24"/>
          <w:highlight w:val="none"/>
        </w:rPr>
      </w:pPr>
    </w:p>
    <w:p w14:paraId="7A57DFB0">
      <w:pPr>
        <w:keepNext/>
        <w:keepLines/>
        <w:outlineLvl w:val="2"/>
        <w:rPr>
          <w:rFonts w:asciiTheme="minorEastAsia" w:hAnsiTheme="minorEastAsia" w:eastAsiaTheme="minorEastAsia" w:cstheme="minorEastAsia"/>
          <w:b/>
          <w:color w:val="auto"/>
          <w:sz w:val="24"/>
          <w:szCs w:val="24"/>
          <w:highlight w:val="none"/>
        </w:rPr>
      </w:pPr>
    </w:p>
    <w:p w14:paraId="133F43DA">
      <w:pPr>
        <w:keepNext/>
        <w:keepLines/>
        <w:outlineLvl w:val="2"/>
        <w:rPr>
          <w:rFonts w:asciiTheme="minorEastAsia" w:hAnsiTheme="minorEastAsia" w:eastAsiaTheme="minorEastAsia" w:cstheme="minorEastAsia"/>
          <w:b/>
          <w:color w:val="auto"/>
          <w:sz w:val="24"/>
          <w:szCs w:val="24"/>
          <w:highlight w:val="none"/>
        </w:rPr>
      </w:pPr>
    </w:p>
    <w:p w14:paraId="75938DC9">
      <w:pPr>
        <w:keepNext/>
        <w:keepLines/>
        <w:outlineLvl w:val="2"/>
        <w:rPr>
          <w:rFonts w:asciiTheme="minorEastAsia" w:hAnsiTheme="minorEastAsia" w:eastAsiaTheme="minorEastAsia" w:cstheme="minorEastAsia"/>
          <w:b/>
          <w:color w:val="auto"/>
          <w:sz w:val="24"/>
          <w:szCs w:val="24"/>
          <w:highlight w:val="none"/>
        </w:rPr>
      </w:pPr>
    </w:p>
    <w:p w14:paraId="40DBCF8F">
      <w:pPr>
        <w:keepNext/>
        <w:keepLines/>
        <w:outlineLvl w:val="2"/>
        <w:rPr>
          <w:rFonts w:asciiTheme="minorEastAsia" w:hAnsiTheme="minorEastAsia" w:eastAsiaTheme="minorEastAsia" w:cstheme="minorEastAsia"/>
          <w:b/>
          <w:color w:val="auto"/>
          <w:sz w:val="24"/>
          <w:szCs w:val="24"/>
          <w:highlight w:val="none"/>
        </w:rPr>
      </w:pPr>
    </w:p>
    <w:p w14:paraId="0281C4BE">
      <w:pPr>
        <w:keepNext/>
        <w:keepLines/>
        <w:outlineLvl w:val="2"/>
        <w:rPr>
          <w:rFonts w:asciiTheme="minorEastAsia" w:hAnsiTheme="minorEastAsia" w:eastAsiaTheme="minorEastAsia" w:cstheme="minorEastAsia"/>
          <w:b/>
          <w:color w:val="auto"/>
          <w:sz w:val="24"/>
          <w:szCs w:val="24"/>
          <w:highlight w:val="none"/>
        </w:rPr>
      </w:pPr>
    </w:p>
    <w:p w14:paraId="6A730576">
      <w:pPr>
        <w:keepNext/>
        <w:keepLines/>
        <w:outlineLvl w:val="2"/>
        <w:rPr>
          <w:rFonts w:asciiTheme="minorEastAsia" w:hAnsiTheme="minorEastAsia" w:eastAsiaTheme="minorEastAsia" w:cstheme="minorEastAsia"/>
          <w:b/>
          <w:color w:val="auto"/>
          <w:sz w:val="24"/>
          <w:szCs w:val="24"/>
          <w:highlight w:val="none"/>
        </w:rPr>
      </w:pPr>
    </w:p>
    <w:p w14:paraId="255146BA">
      <w:pPr>
        <w:keepNext/>
        <w:keepLines/>
        <w:outlineLvl w:val="2"/>
        <w:rPr>
          <w:rFonts w:asciiTheme="minorEastAsia" w:hAnsiTheme="minorEastAsia" w:eastAsiaTheme="minorEastAsia" w:cstheme="minorEastAsia"/>
          <w:b/>
          <w:color w:val="auto"/>
          <w:sz w:val="24"/>
          <w:szCs w:val="24"/>
          <w:highlight w:val="none"/>
        </w:rPr>
      </w:pPr>
    </w:p>
    <w:p w14:paraId="2488EB0E">
      <w:pPr>
        <w:keepNext/>
        <w:keepLines/>
        <w:outlineLvl w:val="2"/>
        <w:rPr>
          <w:rFonts w:asciiTheme="minorEastAsia" w:hAnsiTheme="minorEastAsia" w:eastAsiaTheme="minorEastAsia" w:cstheme="minorEastAsia"/>
          <w:b/>
          <w:color w:val="auto"/>
          <w:sz w:val="24"/>
          <w:szCs w:val="24"/>
          <w:highlight w:val="none"/>
        </w:rPr>
      </w:pPr>
    </w:p>
    <w:p w14:paraId="4A57C382">
      <w:pPr>
        <w:keepNext/>
        <w:keepLines/>
        <w:outlineLvl w:val="2"/>
        <w:rPr>
          <w:rFonts w:asciiTheme="minorEastAsia" w:hAnsiTheme="minorEastAsia" w:eastAsiaTheme="minorEastAsia" w:cstheme="minorEastAsia"/>
          <w:b/>
          <w:color w:val="auto"/>
          <w:sz w:val="24"/>
          <w:szCs w:val="24"/>
          <w:highlight w:val="none"/>
        </w:rPr>
      </w:pPr>
    </w:p>
    <w:p w14:paraId="696BEF70">
      <w:pPr>
        <w:keepNext/>
        <w:keepLines/>
        <w:outlineLvl w:val="2"/>
        <w:rPr>
          <w:rFonts w:asciiTheme="minorEastAsia" w:hAnsiTheme="minorEastAsia" w:eastAsiaTheme="minorEastAsia" w:cstheme="minorEastAsia"/>
          <w:b/>
          <w:color w:val="auto"/>
          <w:sz w:val="24"/>
          <w:szCs w:val="24"/>
          <w:highlight w:val="none"/>
        </w:rPr>
      </w:pPr>
    </w:p>
    <w:p w14:paraId="1BB8B959">
      <w:pPr>
        <w:spacing w:line="360" w:lineRule="auto"/>
        <w:rPr>
          <w:rFonts w:ascii="仿宋" w:hAnsi="仿宋" w:eastAsia="仿宋"/>
          <w:b/>
          <w:bCs/>
          <w:color w:val="auto"/>
          <w:sz w:val="28"/>
          <w:highlight w:val="none"/>
        </w:rPr>
      </w:pPr>
    </w:p>
    <w:p w14:paraId="07DB7DDA">
      <w:pPr>
        <w:rPr>
          <w:rFonts w:ascii="仿宋" w:hAnsi="仿宋" w:eastAsia="仿宋"/>
          <w:b/>
          <w:bCs/>
          <w:color w:val="auto"/>
          <w:sz w:val="28"/>
          <w:highlight w:val="none"/>
        </w:rPr>
      </w:pPr>
      <w:r>
        <w:rPr>
          <w:rFonts w:hint="eastAsia" w:ascii="仿宋" w:hAnsi="仿宋" w:eastAsia="仿宋"/>
          <w:b/>
          <w:bCs/>
          <w:color w:val="auto"/>
          <w:sz w:val="28"/>
          <w:highlight w:val="none"/>
        </w:rPr>
        <w:br w:type="page"/>
      </w:r>
    </w:p>
    <w:p w14:paraId="2D1F93EA">
      <w:pPr>
        <w:keepNext/>
        <w:keepLines/>
        <w:outlineLvl w:val="1"/>
        <w:rPr>
          <w:b/>
          <w:bCs/>
          <w:color w:val="auto"/>
          <w:sz w:val="24"/>
          <w:szCs w:val="24"/>
          <w:highlight w:val="none"/>
        </w:rPr>
      </w:pPr>
      <w:r>
        <w:rPr>
          <w:b/>
          <w:bCs/>
          <w:color w:val="auto"/>
          <w:sz w:val="24"/>
          <w:szCs w:val="24"/>
          <w:highlight w:val="none"/>
        </w:rPr>
        <w:t>附件1</w:t>
      </w:r>
      <w:bookmarkStart w:id="26" w:name="_Toc639004"/>
      <w:bookmarkStart w:id="27" w:name="_Toc353881012"/>
      <w:bookmarkStart w:id="28" w:name="_Toc212369550"/>
      <w:r>
        <w:rPr>
          <w:b/>
          <w:bCs/>
          <w:color w:val="auto"/>
          <w:sz w:val="24"/>
          <w:szCs w:val="24"/>
          <w:highlight w:val="none"/>
        </w:rPr>
        <w:t xml:space="preserve"> 投标函</w:t>
      </w:r>
      <w:bookmarkEnd w:id="26"/>
      <w:bookmarkEnd w:id="27"/>
      <w:bookmarkEnd w:id="28"/>
    </w:p>
    <w:p w14:paraId="58CE793D">
      <w:pPr>
        <w:spacing w:line="360" w:lineRule="auto"/>
        <w:ind w:firstLine="480" w:firstLineChars="200"/>
        <w:rPr>
          <w:color w:val="auto"/>
          <w:sz w:val="24"/>
          <w:szCs w:val="24"/>
          <w:highlight w:val="none"/>
        </w:rPr>
      </w:pPr>
      <w:r>
        <w:rPr>
          <w:color w:val="auto"/>
          <w:sz w:val="24"/>
          <w:szCs w:val="24"/>
          <w:highlight w:val="none"/>
        </w:rPr>
        <w:t>致：</w:t>
      </w:r>
      <w:r>
        <w:rPr>
          <w:rFonts w:hint="eastAsia"/>
          <w:color w:val="auto"/>
          <w:sz w:val="24"/>
          <w:szCs w:val="24"/>
          <w:highlight w:val="none"/>
        </w:rPr>
        <w:t>中国重汽集团济南卡车股份有限公司</w:t>
      </w:r>
      <w:r>
        <w:rPr>
          <w:color w:val="auto"/>
          <w:sz w:val="24"/>
          <w:szCs w:val="24"/>
          <w:highlight w:val="none"/>
        </w:rPr>
        <w:t>：</w:t>
      </w:r>
    </w:p>
    <w:p w14:paraId="4026A4C0">
      <w:pPr>
        <w:pStyle w:val="20"/>
        <w:spacing w:after="156" w:line="360" w:lineRule="auto"/>
        <w:ind w:firstLine="480" w:firstLineChars="200"/>
        <w:rPr>
          <w:color w:val="auto"/>
          <w:szCs w:val="24"/>
          <w:highlight w:val="none"/>
        </w:rPr>
      </w:pPr>
      <w:r>
        <w:rPr>
          <w:color w:val="auto"/>
          <w:szCs w:val="24"/>
          <w:highlight w:val="none"/>
        </w:rPr>
        <w:t>根据贵方</w:t>
      </w:r>
      <w:r>
        <w:rPr>
          <w:bCs/>
          <w:snapToGrid w:val="0"/>
          <w:color w:val="auto"/>
          <w:kern w:val="0"/>
          <w:szCs w:val="24"/>
          <w:highlight w:val="none"/>
        </w:rPr>
        <w:t>招标公告</w:t>
      </w:r>
      <w:r>
        <w:rPr>
          <w:color w:val="auto"/>
          <w:szCs w:val="24"/>
          <w:highlight w:val="none"/>
        </w:rPr>
        <w:t>，投标公司， 法人代表人为，正式授权 提交纸质投标文件：资质证明文件、商务文件和技术文件</w:t>
      </w:r>
      <w:r>
        <w:rPr>
          <w:rFonts w:hint="eastAsia"/>
          <w:color w:val="auto"/>
          <w:szCs w:val="24"/>
          <w:highlight w:val="none"/>
        </w:rPr>
        <w:t>的</w:t>
      </w:r>
      <w:r>
        <w:rPr>
          <w:color w:val="auto"/>
          <w:szCs w:val="24"/>
          <w:highlight w:val="none"/>
        </w:rPr>
        <w:t>电子版投标文件一份（</w:t>
      </w:r>
      <w:r>
        <w:rPr>
          <w:bCs/>
          <w:color w:val="auto"/>
          <w:szCs w:val="24"/>
          <w:highlight w:val="none"/>
        </w:rPr>
        <w:t>电子版投标文件为纸质盖章版的扫描件或加盖电子章；不盖章无效。</w:t>
      </w:r>
      <w:r>
        <w:rPr>
          <w:color w:val="auto"/>
          <w:szCs w:val="24"/>
          <w:highlight w:val="none"/>
        </w:rPr>
        <w:t>）。</w:t>
      </w:r>
    </w:p>
    <w:p w14:paraId="7596CCF6">
      <w:pPr>
        <w:spacing w:line="360" w:lineRule="auto"/>
        <w:ind w:firstLine="480" w:firstLineChars="200"/>
        <w:rPr>
          <w:color w:val="auto"/>
          <w:sz w:val="24"/>
          <w:szCs w:val="24"/>
          <w:highlight w:val="none"/>
        </w:rPr>
      </w:pPr>
      <w:r>
        <w:rPr>
          <w:color w:val="auto"/>
          <w:sz w:val="24"/>
          <w:szCs w:val="24"/>
          <w:highlight w:val="none"/>
        </w:rPr>
        <w:t>据此函，签字代表宣布同意如下：</w:t>
      </w:r>
    </w:p>
    <w:p w14:paraId="6E2BB549">
      <w:pPr>
        <w:spacing w:line="360" w:lineRule="auto"/>
        <w:ind w:firstLine="480" w:firstLineChars="200"/>
        <w:rPr>
          <w:color w:val="auto"/>
          <w:sz w:val="24"/>
          <w:szCs w:val="24"/>
          <w:highlight w:val="none"/>
        </w:rPr>
      </w:pPr>
      <w:r>
        <w:rPr>
          <w:color w:val="auto"/>
          <w:sz w:val="24"/>
          <w:szCs w:val="24"/>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78C255EC">
      <w:pPr>
        <w:spacing w:line="360" w:lineRule="auto"/>
        <w:ind w:firstLine="480" w:firstLineChars="200"/>
        <w:rPr>
          <w:color w:val="auto"/>
          <w:sz w:val="24"/>
          <w:szCs w:val="24"/>
          <w:highlight w:val="none"/>
        </w:rPr>
      </w:pPr>
      <w:r>
        <w:rPr>
          <w:color w:val="auto"/>
          <w:sz w:val="24"/>
          <w:szCs w:val="24"/>
          <w:highlight w:val="none"/>
        </w:rPr>
        <w:t>2.投标人在投标之前已经与贵方进行了充分的沟通，完全理解并接受招标文件的各项规定和要求，对招标文件的合理性、合法性不再有异议。</w:t>
      </w:r>
    </w:p>
    <w:p w14:paraId="6C492BAE">
      <w:pPr>
        <w:spacing w:line="360" w:lineRule="auto"/>
        <w:ind w:firstLine="480" w:firstLineChars="200"/>
        <w:rPr>
          <w:color w:val="auto"/>
          <w:sz w:val="24"/>
          <w:szCs w:val="24"/>
          <w:highlight w:val="none"/>
        </w:rPr>
      </w:pPr>
      <w:r>
        <w:rPr>
          <w:color w:val="auto"/>
          <w:sz w:val="24"/>
          <w:szCs w:val="24"/>
          <w:highlight w:val="none"/>
        </w:rPr>
        <w:t>3.本投标有效期自开标日起</w:t>
      </w:r>
      <w:r>
        <w:rPr>
          <w:bCs/>
          <w:color w:val="auto"/>
          <w:sz w:val="24"/>
          <w:szCs w:val="24"/>
          <w:highlight w:val="none"/>
          <w:u w:val="single"/>
        </w:rPr>
        <w:t xml:space="preserve"> 90</w:t>
      </w:r>
      <w:r>
        <w:rPr>
          <w:color w:val="auto"/>
          <w:sz w:val="24"/>
          <w:szCs w:val="24"/>
          <w:highlight w:val="none"/>
        </w:rPr>
        <w:t>个日历日。</w:t>
      </w:r>
    </w:p>
    <w:p w14:paraId="64D9398C">
      <w:pPr>
        <w:spacing w:line="360" w:lineRule="auto"/>
        <w:ind w:firstLine="480" w:firstLineChars="200"/>
        <w:rPr>
          <w:color w:val="auto"/>
          <w:sz w:val="24"/>
          <w:szCs w:val="24"/>
          <w:highlight w:val="none"/>
        </w:rPr>
      </w:pPr>
      <w:r>
        <w:rPr>
          <w:color w:val="auto"/>
          <w:sz w:val="24"/>
          <w:szCs w:val="24"/>
          <w:highlight w:val="none"/>
        </w:rPr>
        <w:t>4.如中标，本投标文件至本项目合同履行完毕止均保持有效，本投标人将按“招标文件”及政府采购法律、法规的规定履行合同责任和义务。</w:t>
      </w:r>
    </w:p>
    <w:p w14:paraId="4225BE64">
      <w:pPr>
        <w:spacing w:line="360" w:lineRule="auto"/>
        <w:ind w:firstLine="480" w:firstLineChars="200"/>
        <w:rPr>
          <w:color w:val="auto"/>
          <w:sz w:val="24"/>
          <w:szCs w:val="24"/>
          <w:highlight w:val="none"/>
        </w:rPr>
      </w:pPr>
      <w:r>
        <w:rPr>
          <w:color w:val="auto"/>
          <w:sz w:val="24"/>
          <w:szCs w:val="24"/>
          <w:highlight w:val="none"/>
        </w:rPr>
        <w:t>5.投标人同意按照贵方要求提供与投标有关的一切数据或资料。</w:t>
      </w:r>
    </w:p>
    <w:p w14:paraId="30B32E1D">
      <w:pPr>
        <w:spacing w:line="360" w:lineRule="auto"/>
        <w:ind w:firstLine="480" w:firstLineChars="200"/>
        <w:rPr>
          <w:color w:val="auto"/>
          <w:sz w:val="24"/>
          <w:szCs w:val="24"/>
          <w:highlight w:val="none"/>
        </w:rPr>
      </w:pPr>
      <w:r>
        <w:rPr>
          <w:color w:val="auto"/>
          <w:sz w:val="24"/>
          <w:szCs w:val="24"/>
          <w:highlight w:val="none"/>
        </w:rPr>
        <w:t>6.与本投标有关的一切正式往来信函请寄：</w:t>
      </w:r>
    </w:p>
    <w:p w14:paraId="60E4F8D3">
      <w:pPr>
        <w:spacing w:line="360" w:lineRule="auto"/>
        <w:ind w:firstLine="480" w:firstLineChars="200"/>
        <w:rPr>
          <w:color w:val="auto"/>
          <w:sz w:val="24"/>
          <w:szCs w:val="24"/>
          <w:highlight w:val="none"/>
        </w:rPr>
      </w:pPr>
      <w:r>
        <w:rPr>
          <w:color w:val="auto"/>
          <w:sz w:val="24"/>
          <w:szCs w:val="24"/>
          <w:highlight w:val="none"/>
        </w:rPr>
        <w:t xml:space="preserve">地址：                             </w:t>
      </w:r>
    </w:p>
    <w:p w14:paraId="6460ADA3">
      <w:pPr>
        <w:spacing w:line="360" w:lineRule="auto"/>
        <w:ind w:firstLine="480" w:firstLineChars="200"/>
        <w:rPr>
          <w:color w:val="auto"/>
          <w:sz w:val="24"/>
          <w:szCs w:val="24"/>
          <w:highlight w:val="none"/>
        </w:rPr>
      </w:pPr>
      <w:r>
        <w:rPr>
          <w:color w:val="auto"/>
          <w:sz w:val="24"/>
          <w:szCs w:val="24"/>
          <w:highlight w:val="none"/>
        </w:rPr>
        <w:t xml:space="preserve">邮编：        </w:t>
      </w:r>
    </w:p>
    <w:p w14:paraId="6352B3D5">
      <w:pPr>
        <w:spacing w:line="360" w:lineRule="auto"/>
        <w:ind w:firstLine="480" w:firstLineChars="200"/>
        <w:rPr>
          <w:color w:val="auto"/>
          <w:sz w:val="24"/>
          <w:szCs w:val="24"/>
          <w:highlight w:val="none"/>
        </w:rPr>
      </w:pPr>
      <w:r>
        <w:rPr>
          <w:color w:val="auto"/>
          <w:sz w:val="24"/>
          <w:szCs w:val="24"/>
          <w:highlight w:val="none"/>
        </w:rPr>
        <w:t xml:space="preserve">电话：        传真：                   </w:t>
      </w:r>
    </w:p>
    <w:p w14:paraId="10FA56FD">
      <w:pPr>
        <w:spacing w:line="360" w:lineRule="auto"/>
        <w:ind w:firstLine="480" w:firstLineChars="200"/>
        <w:rPr>
          <w:color w:val="auto"/>
          <w:sz w:val="24"/>
          <w:szCs w:val="24"/>
          <w:highlight w:val="none"/>
        </w:rPr>
      </w:pPr>
      <w:r>
        <w:rPr>
          <w:color w:val="auto"/>
          <w:sz w:val="24"/>
          <w:szCs w:val="24"/>
          <w:highlight w:val="none"/>
        </w:rPr>
        <w:t xml:space="preserve">投标人代表姓名：职务：          </w:t>
      </w:r>
    </w:p>
    <w:p w14:paraId="0B699A98">
      <w:pPr>
        <w:spacing w:line="360" w:lineRule="auto"/>
        <w:ind w:firstLine="480" w:firstLineChars="200"/>
        <w:rPr>
          <w:color w:val="auto"/>
          <w:sz w:val="24"/>
          <w:szCs w:val="24"/>
          <w:highlight w:val="none"/>
        </w:rPr>
      </w:pPr>
      <w:r>
        <w:rPr>
          <w:color w:val="auto"/>
          <w:sz w:val="24"/>
          <w:szCs w:val="24"/>
          <w:highlight w:val="none"/>
        </w:rPr>
        <w:t xml:space="preserve">开户银行：                   </w:t>
      </w:r>
    </w:p>
    <w:p w14:paraId="01A22DF3">
      <w:pPr>
        <w:spacing w:line="360" w:lineRule="auto"/>
        <w:ind w:firstLine="480" w:firstLineChars="200"/>
        <w:rPr>
          <w:color w:val="auto"/>
          <w:sz w:val="24"/>
          <w:szCs w:val="24"/>
          <w:highlight w:val="none"/>
        </w:rPr>
      </w:pPr>
      <w:r>
        <w:rPr>
          <w:color w:val="auto"/>
          <w:sz w:val="24"/>
          <w:szCs w:val="24"/>
          <w:highlight w:val="none"/>
        </w:rPr>
        <w:t xml:space="preserve">银行帐号：                   </w:t>
      </w:r>
    </w:p>
    <w:p w14:paraId="0324713E">
      <w:pPr>
        <w:spacing w:line="360" w:lineRule="auto"/>
        <w:ind w:firstLine="480" w:firstLineChars="200"/>
        <w:rPr>
          <w:color w:val="auto"/>
          <w:sz w:val="24"/>
          <w:szCs w:val="24"/>
          <w:highlight w:val="none"/>
        </w:rPr>
      </w:pPr>
      <w:r>
        <w:rPr>
          <w:color w:val="auto"/>
          <w:sz w:val="24"/>
          <w:szCs w:val="24"/>
          <w:highlight w:val="none"/>
        </w:rPr>
        <w:t>投标人名称（</w:t>
      </w:r>
      <w:r>
        <w:rPr>
          <w:bCs/>
          <w:color w:val="auto"/>
          <w:sz w:val="24"/>
          <w:szCs w:val="24"/>
          <w:highlight w:val="none"/>
        </w:rPr>
        <w:t>盖章）</w:t>
      </w:r>
      <w:r>
        <w:rPr>
          <w:color w:val="auto"/>
          <w:sz w:val="24"/>
          <w:szCs w:val="24"/>
          <w:highlight w:val="none"/>
        </w:rPr>
        <w:t xml:space="preserve">: </w:t>
      </w:r>
    </w:p>
    <w:p w14:paraId="7B192551">
      <w:pPr>
        <w:spacing w:line="360" w:lineRule="auto"/>
        <w:ind w:firstLine="480" w:firstLineChars="200"/>
        <w:rPr>
          <w:color w:val="auto"/>
          <w:sz w:val="24"/>
          <w:szCs w:val="24"/>
          <w:highlight w:val="none"/>
        </w:rPr>
      </w:pPr>
      <w:r>
        <w:rPr>
          <w:color w:val="auto"/>
          <w:sz w:val="24"/>
          <w:szCs w:val="24"/>
          <w:highlight w:val="none"/>
        </w:rPr>
        <w:t>授权代表签字</w:t>
      </w:r>
      <w:r>
        <w:rPr>
          <w:bCs/>
          <w:color w:val="auto"/>
          <w:sz w:val="24"/>
          <w:szCs w:val="24"/>
          <w:highlight w:val="none"/>
        </w:rPr>
        <w:t>：</w:t>
      </w:r>
    </w:p>
    <w:p w14:paraId="2980700D">
      <w:pPr>
        <w:spacing w:line="360" w:lineRule="auto"/>
        <w:ind w:firstLine="480" w:firstLineChars="200"/>
        <w:rPr>
          <w:rFonts w:eastAsia="黑体"/>
          <w:color w:val="auto"/>
          <w:sz w:val="24"/>
          <w:szCs w:val="24"/>
          <w:highlight w:val="none"/>
        </w:rPr>
      </w:pPr>
      <w:r>
        <w:rPr>
          <w:color w:val="auto"/>
          <w:sz w:val="24"/>
          <w:szCs w:val="24"/>
          <w:highlight w:val="none"/>
        </w:rPr>
        <w:t>日期：     年      月      日</w:t>
      </w:r>
      <w:r>
        <w:rPr>
          <w:rFonts w:eastAsia="黑体"/>
          <w:color w:val="auto"/>
          <w:sz w:val="24"/>
          <w:szCs w:val="24"/>
          <w:highlight w:val="none"/>
        </w:rPr>
        <w:br w:type="page"/>
      </w:r>
    </w:p>
    <w:p w14:paraId="09275F4A">
      <w:pPr>
        <w:keepNext/>
        <w:keepLines/>
        <w:outlineLvl w:val="1"/>
        <w:rPr>
          <w:b/>
          <w:bCs/>
          <w:color w:val="auto"/>
          <w:sz w:val="24"/>
          <w:szCs w:val="24"/>
          <w:highlight w:val="none"/>
        </w:rPr>
      </w:pPr>
      <w:r>
        <w:rPr>
          <w:b/>
          <w:bCs/>
          <w:color w:val="auto"/>
          <w:sz w:val="24"/>
          <w:szCs w:val="24"/>
          <w:highlight w:val="none"/>
        </w:rPr>
        <w:t>附件2 法定代表人授权委托书</w:t>
      </w:r>
    </w:p>
    <w:p w14:paraId="570207F0">
      <w:pPr>
        <w:adjustRightInd w:val="0"/>
        <w:snapToGrid w:val="0"/>
        <w:spacing w:beforeLines="30" w:line="240" w:lineRule="exact"/>
        <w:jc w:val="center"/>
        <w:rPr>
          <w:color w:val="auto"/>
          <w:sz w:val="24"/>
          <w:highlight w:val="none"/>
        </w:rPr>
      </w:pPr>
    </w:p>
    <w:p w14:paraId="3C59B63C">
      <w:pPr>
        <w:spacing w:line="360" w:lineRule="auto"/>
        <w:ind w:firstLine="480" w:firstLineChars="200"/>
        <w:rPr>
          <w:color w:val="auto"/>
          <w:sz w:val="24"/>
          <w:szCs w:val="24"/>
          <w:highlight w:val="none"/>
        </w:rPr>
      </w:pPr>
      <w:r>
        <w:rPr>
          <w:color w:val="auto"/>
          <w:sz w:val="24"/>
          <w:szCs w:val="24"/>
          <w:highlight w:val="none"/>
        </w:rPr>
        <w:t>本授权委托书声明：我＿＿＿＿＿＿＿（姓名）系＿＿＿＿＿＿＿＿＿＿＿＿＿＿＿＿＿＿＿＿＿＿＿＿＿＿＿＿（投标人全称）的法定代表人，就</w:t>
      </w:r>
      <w:r>
        <w:rPr>
          <w:rFonts w:hint="eastAsia"/>
          <w:b/>
          <w:bCs/>
          <w:color w:val="auto"/>
          <w:sz w:val="24"/>
          <w:szCs w:val="24"/>
          <w:highlight w:val="none"/>
          <w:u w:val="single"/>
        </w:rPr>
        <w:t>莱芜工厂辊压线废料再利用-新增</w:t>
      </w:r>
      <w:r>
        <w:rPr>
          <w:rFonts w:hint="eastAsia"/>
          <w:b/>
          <w:bCs/>
          <w:color w:val="auto"/>
          <w:sz w:val="24"/>
          <w:szCs w:val="24"/>
          <w:highlight w:val="none"/>
          <w:u w:val="single"/>
          <w:lang w:val="en-US" w:eastAsia="zh-CN"/>
        </w:rPr>
        <w:t>行</w:t>
      </w:r>
      <w:r>
        <w:rPr>
          <w:rFonts w:hint="eastAsia"/>
          <w:b/>
          <w:bCs/>
          <w:color w:val="auto"/>
          <w:sz w:val="24"/>
          <w:szCs w:val="24"/>
          <w:highlight w:val="none"/>
          <w:u w:val="single"/>
        </w:rPr>
        <w:t>车项目</w:t>
      </w:r>
      <w:r>
        <w:rPr>
          <w:color w:val="auto"/>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1A9B1A04">
      <w:pPr>
        <w:spacing w:line="360" w:lineRule="auto"/>
        <w:ind w:firstLine="480" w:firstLineChars="200"/>
        <w:rPr>
          <w:color w:val="auto"/>
          <w:sz w:val="24"/>
          <w:szCs w:val="24"/>
          <w:highlight w:val="none"/>
        </w:rPr>
      </w:pPr>
      <w:r>
        <w:rPr>
          <w:color w:val="auto"/>
          <w:sz w:val="24"/>
          <w:szCs w:val="24"/>
          <w:highlight w:val="none"/>
        </w:rPr>
        <w:t>全权代表无转委权。特此委托。</w:t>
      </w:r>
    </w:p>
    <w:tbl>
      <w:tblPr>
        <w:tblStyle w:val="49"/>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0573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36AF66F">
            <w:pPr>
              <w:adjustRightInd w:val="0"/>
              <w:snapToGrid w:val="0"/>
              <w:spacing w:beforeLines="30" w:line="312" w:lineRule="auto"/>
              <w:jc w:val="center"/>
              <w:rPr>
                <w:color w:val="auto"/>
                <w:sz w:val="24"/>
                <w:highlight w:val="none"/>
              </w:rPr>
            </w:pPr>
            <w:r>
              <w:rPr>
                <w:color w:val="auto"/>
                <w:sz w:val="24"/>
                <w:highlight w:val="none"/>
              </w:rPr>
              <w:t>附法人身份证明复印件（正反面）</w:t>
            </w:r>
          </w:p>
          <w:p w14:paraId="20A6058A">
            <w:pPr>
              <w:adjustRightInd w:val="0"/>
              <w:snapToGrid w:val="0"/>
              <w:spacing w:beforeLines="30" w:line="312" w:lineRule="auto"/>
              <w:jc w:val="center"/>
              <w:rPr>
                <w:color w:val="auto"/>
                <w:sz w:val="24"/>
                <w:highlight w:val="none"/>
              </w:rPr>
            </w:pPr>
            <w:r>
              <w:rPr>
                <w:color w:val="auto"/>
                <w:sz w:val="24"/>
                <w:highlight w:val="none"/>
              </w:rPr>
              <w:t>附授权代理人身份证明复印件（正反面）</w:t>
            </w:r>
          </w:p>
        </w:tc>
      </w:tr>
    </w:tbl>
    <w:p w14:paraId="2D1C2E82">
      <w:pPr>
        <w:spacing w:line="360" w:lineRule="auto"/>
        <w:ind w:firstLine="480" w:firstLineChars="200"/>
        <w:rPr>
          <w:color w:val="auto"/>
          <w:sz w:val="24"/>
          <w:szCs w:val="24"/>
          <w:highlight w:val="none"/>
        </w:rPr>
      </w:pPr>
      <w:r>
        <w:rPr>
          <w:color w:val="auto"/>
          <w:sz w:val="24"/>
          <w:szCs w:val="24"/>
          <w:highlight w:val="none"/>
        </w:rPr>
        <w:t>全权代表姓名：            性别：          年龄：</w:t>
      </w:r>
    </w:p>
    <w:p w14:paraId="4886F031">
      <w:pPr>
        <w:spacing w:line="360" w:lineRule="auto"/>
        <w:ind w:firstLine="480" w:firstLineChars="200"/>
        <w:rPr>
          <w:color w:val="auto"/>
          <w:sz w:val="24"/>
          <w:szCs w:val="24"/>
          <w:highlight w:val="none"/>
        </w:rPr>
      </w:pPr>
      <w:r>
        <w:rPr>
          <w:color w:val="auto"/>
          <w:sz w:val="24"/>
          <w:szCs w:val="24"/>
          <w:highlight w:val="none"/>
        </w:rPr>
        <w:t>单位：                    部门：          职务：</w:t>
      </w:r>
    </w:p>
    <w:p w14:paraId="3F63C293">
      <w:pPr>
        <w:spacing w:line="360" w:lineRule="auto"/>
        <w:ind w:firstLine="480" w:firstLineChars="200"/>
        <w:rPr>
          <w:color w:val="auto"/>
          <w:sz w:val="24"/>
          <w:szCs w:val="24"/>
          <w:highlight w:val="none"/>
        </w:rPr>
      </w:pPr>
      <w:r>
        <w:rPr>
          <w:color w:val="auto"/>
          <w:sz w:val="24"/>
          <w:szCs w:val="24"/>
          <w:highlight w:val="none"/>
        </w:rPr>
        <w:t xml:space="preserve">法定代表人签字或盖章                          </w:t>
      </w:r>
    </w:p>
    <w:p w14:paraId="52D7E96E">
      <w:pPr>
        <w:spacing w:line="360" w:lineRule="auto"/>
        <w:ind w:firstLine="480" w:firstLineChars="200"/>
        <w:rPr>
          <w:color w:val="auto"/>
          <w:sz w:val="24"/>
          <w:szCs w:val="24"/>
          <w:highlight w:val="none"/>
        </w:rPr>
      </w:pPr>
      <w:r>
        <w:rPr>
          <w:color w:val="auto"/>
          <w:sz w:val="24"/>
          <w:szCs w:val="24"/>
          <w:highlight w:val="none"/>
        </w:rPr>
        <w:t xml:space="preserve">被授权人签字  </w:t>
      </w:r>
    </w:p>
    <w:p w14:paraId="09034BFB">
      <w:pPr>
        <w:spacing w:line="360" w:lineRule="auto"/>
        <w:ind w:firstLine="480" w:firstLineChars="200"/>
        <w:rPr>
          <w:color w:val="auto"/>
          <w:sz w:val="24"/>
          <w:szCs w:val="24"/>
          <w:highlight w:val="none"/>
        </w:rPr>
      </w:pPr>
      <w:r>
        <w:rPr>
          <w:color w:val="auto"/>
          <w:sz w:val="24"/>
          <w:szCs w:val="24"/>
          <w:highlight w:val="none"/>
        </w:rPr>
        <w:t xml:space="preserve">被授权人电话：                          </w:t>
      </w:r>
    </w:p>
    <w:p w14:paraId="43D2A11A">
      <w:pPr>
        <w:spacing w:line="360" w:lineRule="auto"/>
        <w:ind w:firstLine="480" w:firstLineChars="200"/>
        <w:rPr>
          <w:color w:val="auto"/>
          <w:sz w:val="24"/>
          <w:szCs w:val="24"/>
          <w:highlight w:val="none"/>
        </w:rPr>
      </w:pPr>
      <w:r>
        <w:rPr>
          <w:color w:val="auto"/>
          <w:sz w:val="24"/>
          <w:szCs w:val="24"/>
          <w:highlight w:val="none"/>
        </w:rPr>
        <w:t xml:space="preserve">投标人名称（公章）                       </w:t>
      </w:r>
    </w:p>
    <w:p w14:paraId="0D316C62">
      <w:pPr>
        <w:spacing w:line="460" w:lineRule="exact"/>
        <w:ind w:firstLine="5520" w:firstLineChars="2300"/>
        <w:rPr>
          <w:color w:val="auto"/>
          <w:sz w:val="24"/>
          <w:highlight w:val="none"/>
          <w:u w:val="single"/>
        </w:rPr>
      </w:pPr>
      <w:r>
        <w:rPr>
          <w:color w:val="auto"/>
          <w:sz w:val="24"/>
          <w:highlight w:val="none"/>
        </w:rPr>
        <w:t>年月日</w:t>
      </w:r>
    </w:p>
    <w:p w14:paraId="5D4CCC3C">
      <w:pPr>
        <w:rPr>
          <w:rFonts w:eastAsia="黑体"/>
          <w:b/>
          <w:bCs/>
          <w:color w:val="auto"/>
          <w:sz w:val="28"/>
          <w:highlight w:val="none"/>
        </w:rPr>
      </w:pPr>
    </w:p>
    <w:p w14:paraId="4B9EF1BE">
      <w:pPr>
        <w:pStyle w:val="25"/>
        <w:rPr>
          <w:rFonts w:ascii="Times New Roman" w:hAnsi="Times New Roman" w:eastAsia="黑体"/>
          <w:b/>
          <w:bCs/>
          <w:color w:val="auto"/>
          <w:sz w:val="28"/>
          <w:highlight w:val="none"/>
        </w:rPr>
      </w:pPr>
    </w:p>
    <w:p w14:paraId="3C156BEA">
      <w:pPr>
        <w:rPr>
          <w:color w:val="auto"/>
          <w:highlight w:val="none"/>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E4D1CA1">
      <w:pPr>
        <w:keepNext/>
        <w:keepLines/>
        <w:outlineLvl w:val="1"/>
        <w:rPr>
          <w:color w:val="auto"/>
          <w:spacing w:val="-9"/>
          <w:sz w:val="24"/>
          <w:szCs w:val="24"/>
          <w:highlight w:val="none"/>
        </w:rPr>
      </w:pPr>
      <w:r>
        <w:rPr>
          <w:color w:val="auto"/>
          <w:spacing w:val="-17"/>
          <w:sz w:val="24"/>
          <w:szCs w:val="24"/>
          <w:highlight w:val="none"/>
        </w:rPr>
        <w:t>附</w:t>
      </w:r>
      <w:r>
        <w:rPr>
          <w:color w:val="auto"/>
          <w:spacing w:val="-14"/>
          <w:sz w:val="24"/>
          <w:szCs w:val="24"/>
          <w:highlight w:val="none"/>
        </w:rPr>
        <w:t>件</w:t>
      </w:r>
      <w:r>
        <w:rPr>
          <w:color w:val="auto"/>
          <w:spacing w:val="-17"/>
          <w:sz w:val="24"/>
          <w:szCs w:val="24"/>
          <w:highlight w:val="none"/>
        </w:rPr>
        <w:t xml:space="preserve">3 </w:t>
      </w:r>
      <w:r>
        <w:rPr>
          <w:color w:val="auto"/>
          <w:spacing w:val="15"/>
          <w:position w:val="3"/>
          <w:sz w:val="24"/>
          <w:szCs w:val="24"/>
          <w:highlight w:val="none"/>
        </w:rPr>
        <w:t>投</w:t>
      </w:r>
      <w:r>
        <w:rPr>
          <w:color w:val="auto"/>
          <w:spacing w:val="8"/>
          <w:position w:val="3"/>
          <w:sz w:val="24"/>
          <w:szCs w:val="24"/>
          <w:highlight w:val="none"/>
        </w:rPr>
        <w:t>标人基本情况及</w:t>
      </w:r>
      <w:r>
        <w:rPr>
          <w:color w:val="auto"/>
          <w:spacing w:val="8"/>
          <w:sz w:val="24"/>
          <w:szCs w:val="24"/>
          <w:highlight w:val="none"/>
        </w:rPr>
        <w:t>资产情况汇总</w:t>
      </w:r>
      <w:r>
        <w:rPr>
          <w:color w:val="auto"/>
          <w:spacing w:val="7"/>
          <w:sz w:val="24"/>
          <w:szCs w:val="24"/>
          <w:highlight w:val="none"/>
        </w:rPr>
        <w:t>表</w:t>
      </w:r>
    </w:p>
    <w:p w14:paraId="4440F839">
      <w:pPr>
        <w:keepNext/>
        <w:keepLines/>
        <w:outlineLvl w:val="2"/>
        <w:rPr>
          <w:b/>
          <w:bCs/>
          <w:color w:val="auto"/>
          <w:sz w:val="24"/>
          <w:szCs w:val="24"/>
          <w:highlight w:val="none"/>
        </w:rPr>
      </w:pPr>
      <w:r>
        <w:rPr>
          <w:color w:val="auto"/>
          <w:spacing w:val="-9"/>
          <w:sz w:val="24"/>
          <w:szCs w:val="24"/>
          <w:highlight w:val="none"/>
        </w:rPr>
        <w:t>表</w:t>
      </w:r>
      <w:r>
        <w:rPr>
          <w:b/>
          <w:bCs/>
          <w:color w:val="auto"/>
          <w:spacing w:val="-7"/>
          <w:sz w:val="24"/>
          <w:szCs w:val="24"/>
          <w:highlight w:val="none"/>
        </w:rPr>
        <w:t>3-</w:t>
      </w:r>
      <w:r>
        <w:rPr>
          <w:color w:val="auto"/>
          <w:spacing w:val="-7"/>
          <w:sz w:val="24"/>
          <w:szCs w:val="24"/>
          <w:highlight w:val="none"/>
        </w:rPr>
        <w:t xml:space="preserve">1 </w:t>
      </w:r>
      <w:r>
        <w:rPr>
          <w:b/>
          <w:bCs/>
          <w:color w:val="auto"/>
          <w:sz w:val="24"/>
          <w:szCs w:val="24"/>
          <w:highlight w:val="none"/>
        </w:rPr>
        <w:t>投标人基本情况表</w:t>
      </w:r>
    </w:p>
    <w:tbl>
      <w:tblPr>
        <w:tblStyle w:val="2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43D3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5D0DDB5D">
            <w:pPr>
              <w:pStyle w:val="232"/>
              <w:spacing w:before="114"/>
              <w:ind w:left="720"/>
              <w:rPr>
                <w:rFonts w:ascii="Times New Roman" w:hAnsi="Times New Roman" w:cs="Times New Roman"/>
                <w:color w:val="auto"/>
                <w:highlight w:val="none"/>
              </w:rPr>
            </w:pPr>
            <w:r>
              <w:rPr>
                <w:rFonts w:ascii="Times New Roman" w:hAnsi="Times New Roman" w:cs="Times New Roman"/>
                <w:color w:val="auto"/>
                <w:highlight w:val="none"/>
              </w:rPr>
              <w:t xml:space="preserve">企业名称 </w:t>
            </w:r>
          </w:p>
        </w:tc>
        <w:tc>
          <w:tcPr>
            <w:tcW w:w="4680" w:type="dxa"/>
            <w:gridSpan w:val="4"/>
            <w:vAlign w:val="center"/>
          </w:tcPr>
          <w:p w14:paraId="57ED78C6">
            <w:pPr>
              <w:widowControl/>
              <w:jc w:val="center"/>
              <w:textAlignment w:val="center"/>
              <w:rPr>
                <w:color w:val="auto"/>
                <w:highlight w:val="none"/>
              </w:rPr>
            </w:pPr>
          </w:p>
        </w:tc>
        <w:tc>
          <w:tcPr>
            <w:tcW w:w="1310" w:type="dxa"/>
          </w:tcPr>
          <w:p w14:paraId="47DD438D">
            <w:pPr>
              <w:pStyle w:val="232"/>
              <w:spacing w:before="106"/>
              <w:ind w:left="154" w:right="26"/>
              <w:jc w:val="center"/>
              <w:rPr>
                <w:rFonts w:ascii="Times New Roman" w:hAnsi="Times New Roman" w:cs="Times New Roman"/>
                <w:color w:val="auto"/>
                <w:highlight w:val="none"/>
              </w:rPr>
            </w:pPr>
            <w:r>
              <w:rPr>
                <w:rFonts w:ascii="Times New Roman" w:hAnsi="Times New Roman" w:cs="Times New Roman"/>
                <w:color w:val="auto"/>
                <w:highlight w:val="none"/>
              </w:rPr>
              <w:t xml:space="preserve">联系人 </w:t>
            </w:r>
          </w:p>
        </w:tc>
        <w:tc>
          <w:tcPr>
            <w:tcW w:w="1510" w:type="dxa"/>
            <w:vAlign w:val="center"/>
          </w:tcPr>
          <w:p w14:paraId="0E1ADF8C">
            <w:pPr>
              <w:widowControl/>
              <w:jc w:val="center"/>
              <w:textAlignment w:val="center"/>
              <w:rPr>
                <w:color w:val="auto"/>
                <w:szCs w:val="21"/>
                <w:highlight w:val="none"/>
              </w:rPr>
            </w:pPr>
          </w:p>
        </w:tc>
      </w:tr>
      <w:tr w14:paraId="24020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4B12D66">
            <w:pPr>
              <w:pStyle w:val="232"/>
              <w:spacing w:before="114"/>
              <w:ind w:left="720"/>
              <w:rPr>
                <w:rFonts w:ascii="Times New Roman" w:hAnsi="Times New Roman" w:cs="Times New Roman"/>
                <w:color w:val="auto"/>
                <w:highlight w:val="none"/>
              </w:rPr>
            </w:pPr>
            <w:r>
              <w:rPr>
                <w:rFonts w:ascii="Times New Roman" w:hAnsi="Times New Roman" w:cs="Times New Roman"/>
                <w:color w:val="auto"/>
                <w:highlight w:val="none"/>
              </w:rPr>
              <w:t xml:space="preserve">企业地址 </w:t>
            </w:r>
          </w:p>
        </w:tc>
        <w:tc>
          <w:tcPr>
            <w:tcW w:w="4680" w:type="dxa"/>
            <w:gridSpan w:val="4"/>
            <w:vAlign w:val="center"/>
          </w:tcPr>
          <w:p w14:paraId="6B2FAD5D">
            <w:pPr>
              <w:widowControl/>
              <w:jc w:val="center"/>
              <w:textAlignment w:val="center"/>
              <w:rPr>
                <w:color w:val="auto"/>
                <w:highlight w:val="none"/>
              </w:rPr>
            </w:pPr>
          </w:p>
        </w:tc>
        <w:tc>
          <w:tcPr>
            <w:tcW w:w="1310" w:type="dxa"/>
          </w:tcPr>
          <w:p w14:paraId="36601A2A">
            <w:pPr>
              <w:pStyle w:val="232"/>
              <w:spacing w:before="106"/>
              <w:ind w:left="154" w:right="26"/>
              <w:jc w:val="center"/>
              <w:rPr>
                <w:rFonts w:ascii="Times New Roman" w:hAnsi="Times New Roman" w:cs="Times New Roman"/>
                <w:color w:val="auto"/>
                <w:highlight w:val="none"/>
              </w:rPr>
            </w:pPr>
            <w:r>
              <w:rPr>
                <w:rFonts w:ascii="Times New Roman" w:hAnsi="Times New Roman" w:cs="Times New Roman"/>
                <w:color w:val="auto"/>
                <w:highlight w:val="none"/>
              </w:rPr>
              <w:t xml:space="preserve">联系人电话 </w:t>
            </w:r>
          </w:p>
        </w:tc>
        <w:tc>
          <w:tcPr>
            <w:tcW w:w="1510" w:type="dxa"/>
            <w:vAlign w:val="center"/>
          </w:tcPr>
          <w:p w14:paraId="5ED3BE00">
            <w:pPr>
              <w:widowControl/>
              <w:jc w:val="center"/>
              <w:textAlignment w:val="center"/>
              <w:rPr>
                <w:color w:val="auto"/>
                <w:szCs w:val="21"/>
                <w:highlight w:val="none"/>
              </w:rPr>
            </w:pPr>
          </w:p>
        </w:tc>
      </w:tr>
      <w:tr w14:paraId="55D94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455B9934">
            <w:pPr>
              <w:pStyle w:val="232"/>
              <w:spacing w:before="111"/>
              <w:ind w:left="720"/>
              <w:rPr>
                <w:rFonts w:ascii="Times New Roman" w:hAnsi="Times New Roman" w:cs="Times New Roman"/>
                <w:color w:val="auto"/>
                <w:highlight w:val="none"/>
              </w:rPr>
            </w:pPr>
            <w:r>
              <w:rPr>
                <w:rFonts w:ascii="Times New Roman" w:hAnsi="Times New Roman" w:cs="Times New Roman"/>
                <w:color w:val="auto"/>
                <w:highlight w:val="none"/>
              </w:rPr>
              <w:t xml:space="preserve">企业性质 </w:t>
            </w:r>
          </w:p>
        </w:tc>
        <w:tc>
          <w:tcPr>
            <w:tcW w:w="4680" w:type="dxa"/>
            <w:gridSpan w:val="4"/>
            <w:vAlign w:val="center"/>
          </w:tcPr>
          <w:p w14:paraId="3DAADE30">
            <w:pPr>
              <w:widowControl/>
              <w:jc w:val="center"/>
              <w:textAlignment w:val="center"/>
              <w:rPr>
                <w:color w:val="auto"/>
                <w:highlight w:val="none"/>
              </w:rPr>
            </w:pPr>
          </w:p>
        </w:tc>
        <w:tc>
          <w:tcPr>
            <w:tcW w:w="1310" w:type="dxa"/>
          </w:tcPr>
          <w:p w14:paraId="117D9CA3">
            <w:pPr>
              <w:pStyle w:val="232"/>
              <w:spacing w:before="103"/>
              <w:ind w:left="154" w:right="26"/>
              <w:jc w:val="center"/>
              <w:rPr>
                <w:rFonts w:ascii="Times New Roman" w:hAnsi="Times New Roman" w:cs="Times New Roman"/>
                <w:color w:val="auto"/>
                <w:highlight w:val="none"/>
              </w:rPr>
            </w:pPr>
            <w:r>
              <w:rPr>
                <w:rFonts w:ascii="Times New Roman" w:hAnsi="Times New Roman" w:cs="Times New Roman"/>
                <w:color w:val="auto"/>
                <w:highlight w:val="none"/>
              </w:rPr>
              <w:t xml:space="preserve">注册时间 </w:t>
            </w:r>
          </w:p>
        </w:tc>
        <w:tc>
          <w:tcPr>
            <w:tcW w:w="1510" w:type="dxa"/>
            <w:vAlign w:val="center"/>
          </w:tcPr>
          <w:p w14:paraId="69ED6533">
            <w:pPr>
              <w:widowControl/>
              <w:jc w:val="center"/>
              <w:textAlignment w:val="center"/>
              <w:rPr>
                <w:color w:val="auto"/>
                <w:szCs w:val="21"/>
                <w:highlight w:val="none"/>
              </w:rPr>
            </w:pPr>
          </w:p>
        </w:tc>
      </w:tr>
      <w:tr w14:paraId="41E0B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7E2F545">
            <w:pPr>
              <w:pStyle w:val="232"/>
              <w:spacing w:before="111"/>
              <w:ind w:left="509"/>
              <w:rPr>
                <w:rFonts w:ascii="Times New Roman" w:hAnsi="Times New Roman" w:cs="Times New Roman"/>
                <w:color w:val="auto"/>
                <w:highlight w:val="none"/>
              </w:rPr>
            </w:pPr>
            <w:r>
              <w:rPr>
                <w:rFonts w:ascii="Times New Roman" w:hAnsi="Times New Roman" w:cs="Times New Roman"/>
                <w:color w:val="auto"/>
                <w:highlight w:val="none"/>
              </w:rPr>
              <w:t xml:space="preserve">企业法人代表  </w:t>
            </w:r>
          </w:p>
        </w:tc>
        <w:tc>
          <w:tcPr>
            <w:tcW w:w="4680" w:type="dxa"/>
            <w:gridSpan w:val="4"/>
          </w:tcPr>
          <w:p w14:paraId="327FCB63">
            <w:pPr>
              <w:pStyle w:val="4"/>
              <w:keepNext w:val="0"/>
              <w:keepLines w:val="0"/>
              <w:widowControl/>
              <w:shd w:val="clear" w:color="auto" w:fill="FFFFFF"/>
              <w:spacing w:before="0" w:after="0" w:line="450" w:lineRule="atLeast"/>
              <w:rPr>
                <w:color w:val="auto"/>
                <w:highlight w:val="none"/>
              </w:rPr>
            </w:pPr>
          </w:p>
        </w:tc>
        <w:tc>
          <w:tcPr>
            <w:tcW w:w="1310" w:type="dxa"/>
          </w:tcPr>
          <w:p w14:paraId="0C74F3F5">
            <w:pPr>
              <w:pStyle w:val="232"/>
              <w:spacing w:before="103"/>
              <w:ind w:right="26"/>
              <w:jc w:val="center"/>
              <w:rPr>
                <w:rFonts w:ascii="Times New Roman" w:hAnsi="Times New Roman" w:cs="Times New Roman"/>
                <w:color w:val="auto"/>
                <w:highlight w:val="none"/>
              </w:rPr>
            </w:pPr>
            <w:r>
              <w:rPr>
                <w:rFonts w:ascii="Times New Roman" w:hAnsi="Times New Roman" w:cs="Times New Roman"/>
                <w:color w:val="auto"/>
                <w:highlight w:val="none"/>
              </w:rPr>
              <w:t>企业资质</w:t>
            </w:r>
          </w:p>
        </w:tc>
        <w:tc>
          <w:tcPr>
            <w:tcW w:w="1510" w:type="dxa"/>
            <w:vAlign w:val="center"/>
          </w:tcPr>
          <w:p w14:paraId="6A4714C3">
            <w:pPr>
              <w:widowControl/>
              <w:jc w:val="center"/>
              <w:textAlignment w:val="center"/>
              <w:rPr>
                <w:color w:val="auto"/>
                <w:szCs w:val="21"/>
                <w:highlight w:val="none"/>
              </w:rPr>
            </w:pPr>
          </w:p>
        </w:tc>
      </w:tr>
      <w:tr w14:paraId="7023A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EC63394">
            <w:pPr>
              <w:pStyle w:val="232"/>
              <w:spacing w:before="114"/>
              <w:ind w:left="720"/>
              <w:rPr>
                <w:rFonts w:ascii="Times New Roman" w:hAnsi="Times New Roman" w:cs="Times New Roman"/>
                <w:color w:val="auto"/>
                <w:highlight w:val="none"/>
              </w:rPr>
            </w:pPr>
            <w:r>
              <w:rPr>
                <w:rFonts w:ascii="Times New Roman" w:hAnsi="Times New Roman" w:cs="Times New Roman"/>
                <w:color w:val="auto"/>
                <w:highlight w:val="none"/>
              </w:rPr>
              <w:t xml:space="preserve">品牌区分 </w:t>
            </w:r>
          </w:p>
        </w:tc>
        <w:tc>
          <w:tcPr>
            <w:tcW w:w="7500" w:type="dxa"/>
            <w:gridSpan w:val="6"/>
          </w:tcPr>
          <w:p w14:paraId="62D51324">
            <w:pPr>
              <w:pStyle w:val="232"/>
              <w:spacing w:before="106"/>
              <w:ind w:left="401"/>
              <w:rPr>
                <w:rFonts w:ascii="Times New Roman" w:hAnsi="Times New Roman" w:cs="Times New Roman"/>
                <w:color w:val="auto"/>
                <w:highlight w:val="none"/>
              </w:rPr>
            </w:pPr>
            <w:r>
              <w:rPr>
                <w:rFonts w:ascii="Times New Roman" w:hAnsi="Times New Roman" w:cs="Times New Roman"/>
                <w:color w:val="auto"/>
                <w:highlight w:val="none"/>
              </w:rPr>
              <w:t xml:space="preserve"> 自产 总代理 代理  经销 </w:t>
            </w:r>
          </w:p>
        </w:tc>
      </w:tr>
      <w:tr w14:paraId="3B5A1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E5202BC">
            <w:pPr>
              <w:pStyle w:val="232"/>
              <w:spacing w:before="178"/>
              <w:ind w:left="720"/>
              <w:rPr>
                <w:rFonts w:ascii="Times New Roman" w:hAnsi="Times New Roman" w:cs="Times New Roman"/>
                <w:color w:val="auto"/>
                <w:highlight w:val="none"/>
              </w:rPr>
            </w:pPr>
            <w:r>
              <w:rPr>
                <w:rFonts w:ascii="Times New Roman" w:hAnsi="Times New Roman" w:cs="Times New Roman"/>
                <w:color w:val="auto"/>
                <w:highlight w:val="none"/>
              </w:rPr>
              <w:t xml:space="preserve">品牌名称 </w:t>
            </w:r>
          </w:p>
        </w:tc>
        <w:tc>
          <w:tcPr>
            <w:tcW w:w="3583" w:type="dxa"/>
            <w:gridSpan w:val="3"/>
            <w:vAlign w:val="center"/>
          </w:tcPr>
          <w:p w14:paraId="27F9986A">
            <w:pPr>
              <w:widowControl/>
              <w:rPr>
                <w:rFonts w:eastAsia="仿宋_GB2312"/>
                <w:color w:val="auto"/>
                <w:kern w:val="0"/>
                <w:szCs w:val="21"/>
                <w:highlight w:val="none"/>
              </w:rPr>
            </w:pPr>
          </w:p>
        </w:tc>
        <w:tc>
          <w:tcPr>
            <w:tcW w:w="1097" w:type="dxa"/>
          </w:tcPr>
          <w:p w14:paraId="0CD6B9A9">
            <w:pPr>
              <w:pStyle w:val="232"/>
              <w:spacing w:before="15"/>
              <w:ind w:left="279"/>
              <w:rPr>
                <w:rFonts w:ascii="Times New Roman" w:hAnsi="Times New Roman" w:cs="Times New Roman"/>
                <w:color w:val="auto"/>
                <w:highlight w:val="none"/>
              </w:rPr>
            </w:pPr>
            <w:r>
              <w:rPr>
                <w:rFonts w:ascii="Times New Roman" w:hAnsi="Times New Roman" w:cs="Times New Roman"/>
                <w:color w:val="auto"/>
                <w:spacing w:val="-2"/>
                <w:highlight w:val="none"/>
              </w:rPr>
              <w:t>质量</w:t>
            </w:r>
          </w:p>
          <w:p w14:paraId="4FC6AD6B">
            <w:pPr>
              <w:pStyle w:val="232"/>
              <w:spacing w:before="30" w:line="277" w:lineRule="exact"/>
              <w:ind w:left="279"/>
              <w:rPr>
                <w:rFonts w:ascii="Times New Roman" w:hAnsi="Times New Roman" w:cs="Times New Roman"/>
                <w:color w:val="auto"/>
                <w:highlight w:val="none"/>
              </w:rPr>
            </w:pPr>
            <w:r>
              <w:rPr>
                <w:rFonts w:ascii="Times New Roman" w:hAnsi="Times New Roman" w:cs="Times New Roman"/>
                <w:color w:val="auto"/>
                <w:highlight w:val="none"/>
              </w:rPr>
              <w:t>体系</w:t>
            </w:r>
          </w:p>
        </w:tc>
        <w:tc>
          <w:tcPr>
            <w:tcW w:w="2820" w:type="dxa"/>
            <w:gridSpan w:val="2"/>
          </w:tcPr>
          <w:p w14:paraId="003224EC">
            <w:pPr>
              <w:pStyle w:val="232"/>
              <w:spacing w:before="158"/>
              <w:jc w:val="center"/>
              <w:rPr>
                <w:rFonts w:ascii="Times New Roman" w:hAnsi="Times New Roman" w:cs="Times New Roman"/>
                <w:color w:val="auto"/>
                <w:sz w:val="24"/>
                <w:highlight w:val="none"/>
              </w:rPr>
            </w:pPr>
          </w:p>
        </w:tc>
      </w:tr>
      <w:tr w14:paraId="7A40B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4BD7497">
            <w:pPr>
              <w:pStyle w:val="232"/>
              <w:spacing w:before="149"/>
              <w:ind w:left="3345" w:right="3223"/>
              <w:jc w:val="center"/>
              <w:rPr>
                <w:rFonts w:ascii="Times New Roman" w:hAnsi="Times New Roman" w:cs="Times New Roman"/>
                <w:color w:val="auto"/>
                <w:highlight w:val="none"/>
              </w:rPr>
            </w:pPr>
            <w:r>
              <w:rPr>
                <w:rFonts w:ascii="Times New Roman" w:hAnsi="Times New Roman" w:cs="Times New Roman"/>
                <w:color w:val="auto"/>
                <w:szCs w:val="21"/>
                <w:highlight w:val="none"/>
              </w:rPr>
              <w:t>单位概况</w:t>
            </w:r>
          </w:p>
        </w:tc>
      </w:tr>
      <w:tr w14:paraId="265FB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776A281">
            <w:pPr>
              <w:widowControl/>
              <w:jc w:val="center"/>
              <w:textAlignment w:val="center"/>
              <w:rPr>
                <w:color w:val="auto"/>
                <w:szCs w:val="21"/>
                <w:highlight w:val="none"/>
              </w:rPr>
            </w:pPr>
            <w:r>
              <w:rPr>
                <w:color w:val="auto"/>
                <w:spacing w:val="-2"/>
                <w:szCs w:val="21"/>
                <w:highlight w:val="none"/>
              </w:rPr>
              <w:t>参保职工总人</w:t>
            </w:r>
            <w:r>
              <w:rPr>
                <w:color w:val="auto"/>
                <w:spacing w:val="-1"/>
                <w:szCs w:val="21"/>
                <w:highlight w:val="none"/>
              </w:rPr>
              <w:t>数</w:t>
            </w:r>
          </w:p>
        </w:tc>
        <w:tc>
          <w:tcPr>
            <w:tcW w:w="990" w:type="dxa"/>
            <w:vAlign w:val="center"/>
          </w:tcPr>
          <w:p w14:paraId="723099B7">
            <w:pPr>
              <w:widowControl/>
              <w:textAlignment w:val="center"/>
              <w:rPr>
                <w:color w:val="auto"/>
                <w:szCs w:val="21"/>
                <w:highlight w:val="none"/>
              </w:rPr>
            </w:pPr>
          </w:p>
        </w:tc>
        <w:tc>
          <w:tcPr>
            <w:tcW w:w="1530" w:type="dxa"/>
            <w:vAlign w:val="center"/>
          </w:tcPr>
          <w:p w14:paraId="4143968D">
            <w:pPr>
              <w:widowControl/>
              <w:jc w:val="center"/>
              <w:textAlignment w:val="center"/>
              <w:rPr>
                <w:color w:val="auto"/>
                <w:szCs w:val="21"/>
                <w:highlight w:val="none"/>
              </w:rPr>
            </w:pPr>
            <w:r>
              <w:rPr>
                <w:color w:val="auto"/>
                <w:spacing w:val="-2"/>
                <w:szCs w:val="21"/>
                <w:highlight w:val="none"/>
              </w:rPr>
              <w:t>工程技术人</w:t>
            </w:r>
            <w:r>
              <w:rPr>
                <w:color w:val="auto"/>
                <w:spacing w:val="-1"/>
                <w:szCs w:val="21"/>
                <w:highlight w:val="none"/>
              </w:rPr>
              <w:t>员</w:t>
            </w:r>
          </w:p>
        </w:tc>
        <w:tc>
          <w:tcPr>
            <w:tcW w:w="1063" w:type="dxa"/>
            <w:vAlign w:val="center"/>
          </w:tcPr>
          <w:p w14:paraId="01CE82C5">
            <w:pPr>
              <w:widowControl/>
              <w:jc w:val="center"/>
              <w:textAlignment w:val="center"/>
              <w:rPr>
                <w:color w:val="auto"/>
                <w:szCs w:val="21"/>
                <w:highlight w:val="none"/>
              </w:rPr>
            </w:pPr>
          </w:p>
        </w:tc>
        <w:tc>
          <w:tcPr>
            <w:tcW w:w="1097" w:type="dxa"/>
            <w:vAlign w:val="center"/>
          </w:tcPr>
          <w:p w14:paraId="1660D41E">
            <w:pPr>
              <w:widowControl/>
              <w:textAlignment w:val="center"/>
              <w:rPr>
                <w:color w:val="auto"/>
                <w:szCs w:val="21"/>
                <w:highlight w:val="none"/>
              </w:rPr>
            </w:pPr>
            <w:r>
              <w:rPr>
                <w:color w:val="auto"/>
                <w:spacing w:val="-3"/>
                <w:szCs w:val="21"/>
                <w:highlight w:val="none"/>
              </w:rPr>
              <w:t>生</w:t>
            </w:r>
            <w:r>
              <w:rPr>
                <w:color w:val="auto"/>
                <w:spacing w:val="-2"/>
                <w:szCs w:val="21"/>
                <w:highlight w:val="none"/>
              </w:rPr>
              <w:t>产、销售人员</w:t>
            </w:r>
          </w:p>
        </w:tc>
        <w:tc>
          <w:tcPr>
            <w:tcW w:w="2820" w:type="dxa"/>
            <w:gridSpan w:val="2"/>
            <w:vAlign w:val="center"/>
          </w:tcPr>
          <w:p w14:paraId="213E07E3">
            <w:pPr>
              <w:widowControl/>
              <w:jc w:val="center"/>
              <w:textAlignment w:val="center"/>
              <w:rPr>
                <w:color w:val="auto"/>
                <w:szCs w:val="21"/>
                <w:highlight w:val="none"/>
              </w:rPr>
            </w:pPr>
          </w:p>
        </w:tc>
      </w:tr>
      <w:tr w14:paraId="5F881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E22E02F">
            <w:pPr>
              <w:widowControl/>
              <w:jc w:val="center"/>
              <w:textAlignment w:val="center"/>
              <w:rPr>
                <w:color w:val="auto"/>
                <w:szCs w:val="21"/>
                <w:highlight w:val="none"/>
              </w:rPr>
            </w:pPr>
            <w:r>
              <w:rPr>
                <w:color w:val="auto"/>
                <w:kern w:val="0"/>
                <w:szCs w:val="21"/>
                <w:highlight w:val="none"/>
              </w:rPr>
              <w:t>企业优势、关键产品特点</w:t>
            </w:r>
          </w:p>
        </w:tc>
        <w:tc>
          <w:tcPr>
            <w:tcW w:w="7500" w:type="dxa"/>
            <w:gridSpan w:val="6"/>
            <w:vAlign w:val="center"/>
          </w:tcPr>
          <w:p w14:paraId="5F49BB48">
            <w:pPr>
              <w:widowControl/>
              <w:jc w:val="left"/>
              <w:rPr>
                <w:color w:val="auto"/>
                <w:szCs w:val="21"/>
                <w:highlight w:val="none"/>
              </w:rPr>
            </w:pPr>
            <w:r>
              <w:rPr>
                <w:color w:val="auto"/>
                <w:kern w:val="0"/>
                <w:szCs w:val="21"/>
                <w:highlight w:val="none"/>
              </w:rPr>
              <w:t>　</w:t>
            </w:r>
          </w:p>
        </w:tc>
      </w:tr>
      <w:tr w14:paraId="50FA8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19D40605">
            <w:pPr>
              <w:widowControl/>
              <w:jc w:val="center"/>
              <w:textAlignment w:val="center"/>
              <w:rPr>
                <w:color w:val="auto"/>
                <w:szCs w:val="21"/>
                <w:highlight w:val="none"/>
              </w:rPr>
            </w:pPr>
            <w:r>
              <w:rPr>
                <w:color w:val="auto"/>
                <w:kern w:val="0"/>
                <w:szCs w:val="21"/>
                <w:highlight w:val="none"/>
              </w:rPr>
              <w:t>企业行业水平及行业口碑</w:t>
            </w:r>
          </w:p>
        </w:tc>
        <w:tc>
          <w:tcPr>
            <w:tcW w:w="7500" w:type="dxa"/>
            <w:gridSpan w:val="6"/>
            <w:vAlign w:val="center"/>
          </w:tcPr>
          <w:p w14:paraId="48CFD365">
            <w:pPr>
              <w:widowControl/>
              <w:jc w:val="left"/>
              <w:rPr>
                <w:color w:val="auto"/>
                <w:szCs w:val="21"/>
                <w:highlight w:val="none"/>
              </w:rPr>
            </w:pPr>
            <w:r>
              <w:rPr>
                <w:color w:val="auto"/>
                <w:kern w:val="0"/>
                <w:szCs w:val="21"/>
                <w:highlight w:val="none"/>
              </w:rPr>
              <w:t>　</w:t>
            </w:r>
          </w:p>
        </w:tc>
      </w:tr>
      <w:tr w14:paraId="7700B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7950318">
            <w:pPr>
              <w:widowControl/>
              <w:jc w:val="center"/>
              <w:textAlignment w:val="center"/>
              <w:rPr>
                <w:color w:val="auto"/>
                <w:szCs w:val="21"/>
                <w:highlight w:val="none"/>
              </w:rPr>
            </w:pPr>
            <w:r>
              <w:rPr>
                <w:color w:val="auto"/>
                <w:spacing w:val="-10"/>
                <w:szCs w:val="21"/>
                <w:highlight w:val="none"/>
              </w:rPr>
              <w:t>公</w:t>
            </w:r>
            <w:r>
              <w:rPr>
                <w:color w:val="auto"/>
                <w:spacing w:val="-7"/>
                <w:szCs w:val="21"/>
                <w:highlight w:val="none"/>
              </w:rPr>
              <w:t>司</w:t>
            </w:r>
            <w:r>
              <w:rPr>
                <w:color w:val="auto"/>
                <w:spacing w:val="-5"/>
                <w:szCs w:val="21"/>
                <w:highlight w:val="none"/>
              </w:rPr>
              <w:t>现有主要研发、</w:t>
            </w:r>
            <w:r>
              <w:rPr>
                <w:color w:val="auto"/>
                <w:spacing w:val="-4"/>
                <w:szCs w:val="21"/>
                <w:highlight w:val="none"/>
              </w:rPr>
              <w:t>实</w:t>
            </w:r>
            <w:r>
              <w:rPr>
                <w:color w:val="auto"/>
                <w:spacing w:val="-2"/>
                <w:szCs w:val="21"/>
                <w:highlight w:val="none"/>
              </w:rPr>
              <w:t>验、生产设备</w:t>
            </w:r>
          </w:p>
        </w:tc>
        <w:tc>
          <w:tcPr>
            <w:tcW w:w="7500" w:type="dxa"/>
            <w:gridSpan w:val="6"/>
            <w:vAlign w:val="center"/>
          </w:tcPr>
          <w:p w14:paraId="2EF198A7">
            <w:pPr>
              <w:widowControl/>
              <w:jc w:val="left"/>
              <w:rPr>
                <w:color w:val="auto"/>
                <w:szCs w:val="21"/>
                <w:highlight w:val="none"/>
              </w:rPr>
            </w:pPr>
            <w:r>
              <w:rPr>
                <w:color w:val="auto"/>
                <w:kern w:val="0"/>
                <w:szCs w:val="21"/>
                <w:highlight w:val="none"/>
              </w:rPr>
              <w:t>　</w:t>
            </w:r>
          </w:p>
        </w:tc>
      </w:tr>
      <w:tr w14:paraId="7409F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2F1E925">
            <w:pPr>
              <w:widowControl/>
              <w:jc w:val="center"/>
              <w:textAlignment w:val="center"/>
              <w:rPr>
                <w:color w:val="auto"/>
                <w:szCs w:val="21"/>
                <w:highlight w:val="none"/>
              </w:rPr>
            </w:pPr>
            <w:r>
              <w:rPr>
                <w:color w:val="auto"/>
                <w:kern w:val="0"/>
                <w:szCs w:val="21"/>
                <w:highlight w:val="none"/>
              </w:rPr>
              <w:t>近三或五年企业类似业绩及履约情况</w:t>
            </w:r>
          </w:p>
        </w:tc>
        <w:tc>
          <w:tcPr>
            <w:tcW w:w="7500" w:type="dxa"/>
            <w:gridSpan w:val="6"/>
            <w:vAlign w:val="center"/>
          </w:tcPr>
          <w:p w14:paraId="07ADCDF0">
            <w:pPr>
              <w:widowControl/>
              <w:jc w:val="left"/>
              <w:rPr>
                <w:color w:val="auto"/>
                <w:szCs w:val="21"/>
                <w:highlight w:val="none"/>
              </w:rPr>
            </w:pPr>
            <w:r>
              <w:rPr>
                <w:color w:val="auto"/>
                <w:kern w:val="0"/>
                <w:szCs w:val="21"/>
                <w:highlight w:val="none"/>
              </w:rPr>
              <w:t>　</w:t>
            </w:r>
          </w:p>
        </w:tc>
      </w:tr>
      <w:tr w14:paraId="29A73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F8E5451">
            <w:pPr>
              <w:widowControl/>
              <w:jc w:val="center"/>
              <w:textAlignment w:val="center"/>
              <w:rPr>
                <w:color w:val="auto"/>
                <w:szCs w:val="21"/>
                <w:highlight w:val="none"/>
              </w:rPr>
            </w:pPr>
            <w:r>
              <w:rPr>
                <w:color w:val="auto"/>
                <w:kern w:val="0"/>
                <w:szCs w:val="21"/>
                <w:highlight w:val="none"/>
              </w:rPr>
              <w:t>售后服务及质量</w:t>
            </w:r>
          </w:p>
        </w:tc>
        <w:tc>
          <w:tcPr>
            <w:tcW w:w="7500" w:type="dxa"/>
            <w:gridSpan w:val="6"/>
            <w:vAlign w:val="center"/>
          </w:tcPr>
          <w:p w14:paraId="0058554A">
            <w:pPr>
              <w:widowControl/>
              <w:jc w:val="left"/>
              <w:rPr>
                <w:color w:val="auto"/>
                <w:szCs w:val="21"/>
                <w:highlight w:val="none"/>
              </w:rPr>
            </w:pPr>
            <w:r>
              <w:rPr>
                <w:color w:val="auto"/>
                <w:kern w:val="0"/>
                <w:szCs w:val="21"/>
                <w:highlight w:val="none"/>
              </w:rPr>
              <w:t>　</w:t>
            </w:r>
          </w:p>
        </w:tc>
      </w:tr>
      <w:tr w14:paraId="6AB5A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8BE046C">
            <w:pPr>
              <w:widowControl/>
              <w:textAlignment w:val="center"/>
              <w:rPr>
                <w:color w:val="auto"/>
                <w:kern w:val="0"/>
                <w:szCs w:val="21"/>
                <w:highlight w:val="none"/>
              </w:rPr>
            </w:pPr>
            <w:r>
              <w:rPr>
                <w:color w:val="auto"/>
                <w:spacing w:val="-4"/>
                <w:szCs w:val="21"/>
                <w:highlight w:val="none"/>
              </w:rPr>
              <w:t>对本项目在设计、制造、进度、财务等方面采取的组织措施和相</w:t>
            </w:r>
            <w:r>
              <w:rPr>
                <w:color w:val="auto"/>
                <w:spacing w:val="-2"/>
                <w:szCs w:val="21"/>
                <w:highlight w:val="none"/>
              </w:rPr>
              <w:t>关</w:t>
            </w:r>
            <w:r>
              <w:rPr>
                <w:color w:val="auto"/>
                <w:spacing w:val="-3"/>
                <w:szCs w:val="21"/>
                <w:highlight w:val="none"/>
              </w:rPr>
              <w:t>人</w:t>
            </w:r>
            <w:r>
              <w:rPr>
                <w:color w:val="auto"/>
                <w:spacing w:val="-2"/>
                <w:szCs w:val="21"/>
                <w:highlight w:val="none"/>
              </w:rPr>
              <w:t>员简介</w:t>
            </w:r>
          </w:p>
        </w:tc>
        <w:tc>
          <w:tcPr>
            <w:tcW w:w="7500" w:type="dxa"/>
            <w:gridSpan w:val="6"/>
            <w:vAlign w:val="center"/>
          </w:tcPr>
          <w:p w14:paraId="12CD5B4A">
            <w:pPr>
              <w:widowControl/>
              <w:jc w:val="left"/>
              <w:rPr>
                <w:color w:val="auto"/>
                <w:kern w:val="0"/>
                <w:szCs w:val="21"/>
                <w:highlight w:val="none"/>
              </w:rPr>
            </w:pPr>
          </w:p>
        </w:tc>
      </w:tr>
    </w:tbl>
    <w:p w14:paraId="20DFCEF0">
      <w:pPr>
        <w:pStyle w:val="25"/>
        <w:rPr>
          <w:rFonts w:ascii="Times New Roman" w:hAnsi="Times New Roman" w:eastAsia="宋体"/>
          <w:b/>
          <w:bCs/>
          <w:color w:val="auto"/>
          <w:szCs w:val="24"/>
          <w:highlight w:val="none"/>
        </w:rPr>
      </w:pPr>
    </w:p>
    <w:p w14:paraId="064CE0B0">
      <w:pPr>
        <w:pStyle w:val="25"/>
        <w:rPr>
          <w:rFonts w:ascii="Times New Roman" w:hAnsi="Times New Roman" w:eastAsia="宋体"/>
          <w:b/>
          <w:bCs/>
          <w:color w:val="auto"/>
          <w:szCs w:val="24"/>
          <w:highlight w:val="none"/>
        </w:rPr>
      </w:pPr>
    </w:p>
    <w:p w14:paraId="5DC8160B">
      <w:pPr>
        <w:pStyle w:val="25"/>
        <w:rPr>
          <w:rFonts w:ascii="Times New Roman" w:hAnsi="Times New Roman" w:eastAsia="宋体"/>
          <w:b/>
          <w:bCs/>
          <w:color w:val="auto"/>
          <w:szCs w:val="24"/>
          <w:highlight w:val="none"/>
        </w:rPr>
      </w:pPr>
    </w:p>
    <w:p w14:paraId="407C367B">
      <w:pPr>
        <w:pStyle w:val="25"/>
        <w:rPr>
          <w:rFonts w:ascii="Times New Roman" w:hAnsi="Times New Roman" w:eastAsia="宋体"/>
          <w:b/>
          <w:bCs/>
          <w:color w:val="auto"/>
          <w:szCs w:val="24"/>
          <w:highlight w:val="none"/>
        </w:rPr>
      </w:pPr>
    </w:p>
    <w:p w14:paraId="1F35AD50">
      <w:pPr>
        <w:pStyle w:val="25"/>
        <w:rPr>
          <w:rFonts w:ascii="Times New Roman" w:hAnsi="Times New Roman" w:eastAsia="宋体"/>
          <w:b/>
          <w:bCs/>
          <w:color w:val="auto"/>
          <w:szCs w:val="24"/>
          <w:highlight w:val="none"/>
        </w:rPr>
      </w:pPr>
    </w:p>
    <w:p w14:paraId="65080CFC">
      <w:pPr>
        <w:pStyle w:val="25"/>
        <w:rPr>
          <w:rFonts w:ascii="Times New Roman" w:hAnsi="Times New Roman" w:eastAsia="宋体"/>
          <w:b/>
          <w:bCs/>
          <w:color w:val="auto"/>
          <w:szCs w:val="24"/>
          <w:highlight w:val="none"/>
        </w:rPr>
      </w:pPr>
    </w:p>
    <w:p w14:paraId="198E9834">
      <w:pPr>
        <w:pStyle w:val="25"/>
        <w:outlineLvl w:val="2"/>
        <w:rPr>
          <w:rFonts w:ascii="Times New Roman" w:hAnsi="Times New Roman" w:eastAsia="宋体"/>
          <w:b/>
          <w:bCs/>
          <w:color w:val="auto"/>
          <w:szCs w:val="24"/>
          <w:highlight w:val="none"/>
        </w:rPr>
      </w:pPr>
      <w:r>
        <w:rPr>
          <w:rFonts w:ascii="Times New Roman" w:hAnsi="Times New Roman" w:eastAsia="宋体"/>
          <w:color w:val="auto"/>
          <w:spacing w:val="-9"/>
          <w:szCs w:val="24"/>
          <w:highlight w:val="none"/>
        </w:rPr>
        <w:t>表</w:t>
      </w:r>
      <w:r>
        <w:rPr>
          <w:rFonts w:ascii="Times New Roman" w:hAnsi="Times New Roman" w:eastAsia="宋体"/>
          <w:b/>
          <w:bCs/>
          <w:color w:val="auto"/>
          <w:spacing w:val="-7"/>
          <w:szCs w:val="24"/>
          <w:highlight w:val="none"/>
        </w:rPr>
        <w:t xml:space="preserve"> 3-</w:t>
      </w:r>
      <w:r>
        <w:rPr>
          <w:rFonts w:ascii="Times New Roman" w:hAnsi="Times New Roman" w:eastAsia="宋体"/>
          <w:color w:val="auto"/>
          <w:spacing w:val="-7"/>
          <w:szCs w:val="24"/>
          <w:highlight w:val="none"/>
        </w:rPr>
        <w:t xml:space="preserve">2 </w:t>
      </w:r>
      <w:r>
        <w:rPr>
          <w:rFonts w:ascii="Times New Roman" w:hAnsi="Times New Roman" w:eastAsia="宋体"/>
          <w:b/>
          <w:bCs/>
          <w:color w:val="auto"/>
          <w:szCs w:val="24"/>
          <w:highlight w:val="none"/>
        </w:rPr>
        <w:t>资产情况汇总表</w:t>
      </w:r>
    </w:p>
    <w:tbl>
      <w:tblPr>
        <w:tblStyle w:val="4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18FC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18840692">
            <w:pPr>
              <w:spacing w:line="440" w:lineRule="exact"/>
              <w:jc w:val="center"/>
              <w:rPr>
                <w:color w:val="auto"/>
                <w:sz w:val="24"/>
                <w:szCs w:val="24"/>
                <w:highlight w:val="none"/>
                <w:u w:val="single"/>
              </w:rPr>
            </w:pPr>
            <w:r>
              <w:rPr>
                <w:color w:val="auto"/>
                <w:sz w:val="24"/>
                <w:szCs w:val="24"/>
                <w:highlight w:val="none"/>
              </w:rPr>
              <w:t>公司资产情况汇总表</w:t>
            </w:r>
          </w:p>
        </w:tc>
      </w:tr>
      <w:tr w14:paraId="6857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3661824">
            <w:pPr>
              <w:spacing w:line="440" w:lineRule="exact"/>
              <w:jc w:val="center"/>
              <w:rPr>
                <w:color w:val="auto"/>
                <w:sz w:val="24"/>
                <w:szCs w:val="24"/>
                <w:highlight w:val="none"/>
              </w:rPr>
            </w:pPr>
            <w:r>
              <w:rPr>
                <w:color w:val="auto"/>
                <w:sz w:val="24"/>
                <w:szCs w:val="24"/>
                <w:highlight w:val="none"/>
              </w:rPr>
              <w:t>注册资金（万元）</w:t>
            </w:r>
          </w:p>
        </w:tc>
        <w:tc>
          <w:tcPr>
            <w:tcW w:w="6767" w:type="dxa"/>
            <w:gridSpan w:val="3"/>
          </w:tcPr>
          <w:p w14:paraId="285E728D">
            <w:pPr>
              <w:spacing w:line="440" w:lineRule="exact"/>
              <w:jc w:val="center"/>
              <w:rPr>
                <w:color w:val="auto"/>
                <w:sz w:val="24"/>
                <w:szCs w:val="24"/>
                <w:highlight w:val="none"/>
              </w:rPr>
            </w:pPr>
          </w:p>
        </w:tc>
      </w:tr>
      <w:tr w14:paraId="546D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EFA32FD">
            <w:pPr>
              <w:spacing w:line="440" w:lineRule="exact"/>
              <w:jc w:val="center"/>
              <w:rPr>
                <w:color w:val="auto"/>
                <w:sz w:val="24"/>
                <w:szCs w:val="24"/>
                <w:highlight w:val="none"/>
              </w:rPr>
            </w:pPr>
            <w:r>
              <w:rPr>
                <w:color w:val="auto"/>
                <w:sz w:val="24"/>
                <w:szCs w:val="24"/>
                <w:highlight w:val="none"/>
              </w:rPr>
              <w:t>实收资金（万元）</w:t>
            </w:r>
          </w:p>
        </w:tc>
        <w:tc>
          <w:tcPr>
            <w:tcW w:w="6767" w:type="dxa"/>
            <w:gridSpan w:val="3"/>
          </w:tcPr>
          <w:p w14:paraId="66693B89">
            <w:pPr>
              <w:spacing w:line="440" w:lineRule="exact"/>
              <w:jc w:val="center"/>
              <w:rPr>
                <w:color w:val="auto"/>
                <w:sz w:val="24"/>
                <w:szCs w:val="24"/>
                <w:highlight w:val="none"/>
              </w:rPr>
            </w:pPr>
          </w:p>
        </w:tc>
      </w:tr>
      <w:tr w14:paraId="29DE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344BA878">
            <w:pPr>
              <w:spacing w:line="440" w:lineRule="exact"/>
              <w:jc w:val="center"/>
              <w:rPr>
                <w:color w:val="auto"/>
                <w:sz w:val="24"/>
                <w:szCs w:val="24"/>
                <w:highlight w:val="none"/>
              </w:rPr>
            </w:pPr>
            <w:r>
              <w:rPr>
                <w:color w:val="auto"/>
                <w:sz w:val="24"/>
                <w:szCs w:val="24"/>
                <w:highlight w:val="none"/>
              </w:rPr>
              <w:t>年度资产情况</w:t>
            </w:r>
          </w:p>
        </w:tc>
        <w:tc>
          <w:tcPr>
            <w:tcW w:w="2406" w:type="dxa"/>
            <w:vAlign w:val="center"/>
          </w:tcPr>
          <w:p w14:paraId="738E00DF">
            <w:pPr>
              <w:spacing w:line="440" w:lineRule="exact"/>
              <w:jc w:val="center"/>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3</w:t>
            </w:r>
            <w:r>
              <w:rPr>
                <w:color w:val="auto"/>
                <w:sz w:val="24"/>
                <w:szCs w:val="24"/>
                <w:highlight w:val="none"/>
              </w:rPr>
              <w:t>年</w:t>
            </w:r>
          </w:p>
        </w:tc>
        <w:tc>
          <w:tcPr>
            <w:tcW w:w="2291" w:type="dxa"/>
            <w:vAlign w:val="center"/>
          </w:tcPr>
          <w:p w14:paraId="7C02F625">
            <w:pPr>
              <w:spacing w:line="440" w:lineRule="exact"/>
              <w:jc w:val="center"/>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4</w:t>
            </w:r>
            <w:r>
              <w:rPr>
                <w:color w:val="auto"/>
                <w:sz w:val="24"/>
                <w:szCs w:val="24"/>
                <w:highlight w:val="none"/>
              </w:rPr>
              <w:t>年</w:t>
            </w:r>
          </w:p>
        </w:tc>
        <w:tc>
          <w:tcPr>
            <w:tcW w:w="2070" w:type="dxa"/>
            <w:vAlign w:val="center"/>
          </w:tcPr>
          <w:p w14:paraId="779EBE68">
            <w:pPr>
              <w:spacing w:line="440" w:lineRule="exact"/>
              <w:jc w:val="center"/>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5</w:t>
            </w:r>
            <w:r>
              <w:rPr>
                <w:color w:val="auto"/>
                <w:sz w:val="24"/>
                <w:szCs w:val="24"/>
                <w:highlight w:val="none"/>
              </w:rPr>
              <w:t>年</w:t>
            </w:r>
          </w:p>
        </w:tc>
      </w:tr>
      <w:tr w14:paraId="4DA8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303ECA05">
            <w:pPr>
              <w:spacing w:line="440" w:lineRule="exact"/>
              <w:jc w:val="center"/>
              <w:rPr>
                <w:color w:val="auto"/>
                <w:sz w:val="24"/>
                <w:szCs w:val="24"/>
                <w:highlight w:val="none"/>
              </w:rPr>
            </w:pPr>
            <w:r>
              <w:rPr>
                <w:color w:val="auto"/>
                <w:sz w:val="24"/>
                <w:szCs w:val="24"/>
                <w:highlight w:val="none"/>
              </w:rPr>
              <w:t>流动资产（万元）</w:t>
            </w:r>
          </w:p>
        </w:tc>
        <w:tc>
          <w:tcPr>
            <w:tcW w:w="2406" w:type="dxa"/>
          </w:tcPr>
          <w:p w14:paraId="0F17120E">
            <w:pPr>
              <w:spacing w:line="440" w:lineRule="exact"/>
              <w:jc w:val="center"/>
              <w:rPr>
                <w:color w:val="auto"/>
                <w:sz w:val="24"/>
                <w:szCs w:val="24"/>
                <w:highlight w:val="none"/>
              </w:rPr>
            </w:pPr>
          </w:p>
        </w:tc>
        <w:tc>
          <w:tcPr>
            <w:tcW w:w="2291" w:type="dxa"/>
          </w:tcPr>
          <w:p w14:paraId="5FFC45BD">
            <w:pPr>
              <w:spacing w:line="440" w:lineRule="exact"/>
              <w:jc w:val="center"/>
              <w:rPr>
                <w:color w:val="auto"/>
                <w:sz w:val="24"/>
                <w:szCs w:val="24"/>
                <w:highlight w:val="none"/>
              </w:rPr>
            </w:pPr>
          </w:p>
        </w:tc>
        <w:tc>
          <w:tcPr>
            <w:tcW w:w="2070" w:type="dxa"/>
          </w:tcPr>
          <w:p w14:paraId="3DBD6EFD">
            <w:pPr>
              <w:spacing w:line="440" w:lineRule="exact"/>
              <w:jc w:val="center"/>
              <w:rPr>
                <w:color w:val="auto"/>
                <w:sz w:val="24"/>
                <w:szCs w:val="24"/>
                <w:highlight w:val="none"/>
              </w:rPr>
            </w:pPr>
          </w:p>
        </w:tc>
      </w:tr>
      <w:tr w14:paraId="5761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166580F">
            <w:pPr>
              <w:spacing w:line="440" w:lineRule="exact"/>
              <w:jc w:val="center"/>
              <w:rPr>
                <w:color w:val="auto"/>
                <w:sz w:val="24"/>
                <w:szCs w:val="24"/>
                <w:highlight w:val="none"/>
              </w:rPr>
            </w:pPr>
            <w:r>
              <w:rPr>
                <w:color w:val="auto"/>
                <w:sz w:val="24"/>
                <w:szCs w:val="24"/>
                <w:highlight w:val="none"/>
              </w:rPr>
              <w:t>非流动资产（万元）</w:t>
            </w:r>
          </w:p>
        </w:tc>
        <w:tc>
          <w:tcPr>
            <w:tcW w:w="2406" w:type="dxa"/>
          </w:tcPr>
          <w:p w14:paraId="7833F8A3">
            <w:pPr>
              <w:spacing w:line="440" w:lineRule="exact"/>
              <w:jc w:val="center"/>
              <w:rPr>
                <w:color w:val="auto"/>
                <w:sz w:val="24"/>
                <w:szCs w:val="24"/>
                <w:highlight w:val="none"/>
              </w:rPr>
            </w:pPr>
          </w:p>
        </w:tc>
        <w:tc>
          <w:tcPr>
            <w:tcW w:w="2291" w:type="dxa"/>
          </w:tcPr>
          <w:p w14:paraId="7F8874CF">
            <w:pPr>
              <w:spacing w:line="440" w:lineRule="exact"/>
              <w:jc w:val="center"/>
              <w:rPr>
                <w:color w:val="auto"/>
                <w:sz w:val="24"/>
                <w:szCs w:val="24"/>
                <w:highlight w:val="none"/>
              </w:rPr>
            </w:pPr>
          </w:p>
        </w:tc>
        <w:tc>
          <w:tcPr>
            <w:tcW w:w="2070" w:type="dxa"/>
          </w:tcPr>
          <w:p w14:paraId="2C155949">
            <w:pPr>
              <w:spacing w:line="440" w:lineRule="exact"/>
              <w:jc w:val="center"/>
              <w:rPr>
                <w:color w:val="auto"/>
                <w:sz w:val="24"/>
                <w:szCs w:val="24"/>
                <w:highlight w:val="none"/>
              </w:rPr>
            </w:pPr>
          </w:p>
        </w:tc>
      </w:tr>
      <w:tr w14:paraId="250F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196C0E6">
            <w:pPr>
              <w:spacing w:line="440" w:lineRule="exact"/>
              <w:jc w:val="center"/>
              <w:rPr>
                <w:color w:val="auto"/>
                <w:sz w:val="24"/>
                <w:szCs w:val="24"/>
                <w:highlight w:val="none"/>
              </w:rPr>
            </w:pPr>
            <w:r>
              <w:rPr>
                <w:color w:val="auto"/>
                <w:sz w:val="24"/>
                <w:szCs w:val="24"/>
                <w:highlight w:val="none"/>
              </w:rPr>
              <w:t>营业收入（万元）</w:t>
            </w:r>
          </w:p>
        </w:tc>
        <w:tc>
          <w:tcPr>
            <w:tcW w:w="2406" w:type="dxa"/>
          </w:tcPr>
          <w:p w14:paraId="3476A3C9">
            <w:pPr>
              <w:spacing w:line="440" w:lineRule="exact"/>
              <w:jc w:val="center"/>
              <w:rPr>
                <w:color w:val="auto"/>
                <w:sz w:val="24"/>
                <w:szCs w:val="24"/>
                <w:highlight w:val="none"/>
              </w:rPr>
            </w:pPr>
          </w:p>
        </w:tc>
        <w:tc>
          <w:tcPr>
            <w:tcW w:w="2291" w:type="dxa"/>
          </w:tcPr>
          <w:p w14:paraId="65EDE998">
            <w:pPr>
              <w:spacing w:line="440" w:lineRule="exact"/>
              <w:jc w:val="center"/>
              <w:rPr>
                <w:color w:val="auto"/>
                <w:sz w:val="24"/>
                <w:szCs w:val="24"/>
                <w:highlight w:val="none"/>
              </w:rPr>
            </w:pPr>
          </w:p>
        </w:tc>
        <w:tc>
          <w:tcPr>
            <w:tcW w:w="2070" w:type="dxa"/>
          </w:tcPr>
          <w:p w14:paraId="0C77B7DD">
            <w:pPr>
              <w:spacing w:line="440" w:lineRule="exact"/>
              <w:jc w:val="center"/>
              <w:rPr>
                <w:color w:val="auto"/>
                <w:sz w:val="24"/>
                <w:szCs w:val="24"/>
                <w:highlight w:val="none"/>
              </w:rPr>
            </w:pPr>
          </w:p>
        </w:tc>
      </w:tr>
      <w:tr w14:paraId="6EAE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B69E528">
            <w:pPr>
              <w:spacing w:line="440" w:lineRule="exact"/>
              <w:jc w:val="center"/>
              <w:rPr>
                <w:color w:val="auto"/>
                <w:sz w:val="24"/>
                <w:szCs w:val="24"/>
                <w:highlight w:val="none"/>
              </w:rPr>
            </w:pPr>
            <w:r>
              <w:rPr>
                <w:color w:val="auto"/>
                <w:sz w:val="24"/>
                <w:szCs w:val="24"/>
                <w:highlight w:val="none"/>
              </w:rPr>
              <w:t>年底资产总值（万元）</w:t>
            </w:r>
          </w:p>
        </w:tc>
        <w:tc>
          <w:tcPr>
            <w:tcW w:w="2406" w:type="dxa"/>
          </w:tcPr>
          <w:p w14:paraId="1D37FC42">
            <w:pPr>
              <w:spacing w:line="440" w:lineRule="exact"/>
              <w:jc w:val="center"/>
              <w:rPr>
                <w:color w:val="auto"/>
                <w:sz w:val="24"/>
                <w:szCs w:val="24"/>
                <w:highlight w:val="none"/>
              </w:rPr>
            </w:pPr>
          </w:p>
        </w:tc>
        <w:tc>
          <w:tcPr>
            <w:tcW w:w="2291" w:type="dxa"/>
          </w:tcPr>
          <w:p w14:paraId="4EB7ABC2">
            <w:pPr>
              <w:spacing w:line="440" w:lineRule="exact"/>
              <w:jc w:val="center"/>
              <w:rPr>
                <w:color w:val="auto"/>
                <w:sz w:val="24"/>
                <w:szCs w:val="24"/>
                <w:highlight w:val="none"/>
              </w:rPr>
            </w:pPr>
          </w:p>
        </w:tc>
        <w:tc>
          <w:tcPr>
            <w:tcW w:w="2070" w:type="dxa"/>
          </w:tcPr>
          <w:p w14:paraId="721591E8">
            <w:pPr>
              <w:spacing w:line="440" w:lineRule="exact"/>
              <w:jc w:val="center"/>
              <w:rPr>
                <w:color w:val="auto"/>
                <w:sz w:val="24"/>
                <w:szCs w:val="24"/>
                <w:highlight w:val="none"/>
              </w:rPr>
            </w:pPr>
          </w:p>
        </w:tc>
      </w:tr>
      <w:tr w14:paraId="27F5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DBDD3D7">
            <w:pPr>
              <w:spacing w:line="440" w:lineRule="exact"/>
              <w:jc w:val="center"/>
              <w:rPr>
                <w:color w:val="auto"/>
                <w:sz w:val="24"/>
                <w:szCs w:val="24"/>
                <w:highlight w:val="none"/>
              </w:rPr>
            </w:pPr>
            <w:r>
              <w:rPr>
                <w:color w:val="auto"/>
                <w:sz w:val="24"/>
                <w:szCs w:val="24"/>
                <w:highlight w:val="none"/>
              </w:rPr>
              <w:t>年底负债总值（万元）</w:t>
            </w:r>
          </w:p>
        </w:tc>
        <w:tc>
          <w:tcPr>
            <w:tcW w:w="2406" w:type="dxa"/>
          </w:tcPr>
          <w:p w14:paraId="0C612130">
            <w:pPr>
              <w:spacing w:line="440" w:lineRule="exact"/>
              <w:jc w:val="center"/>
              <w:rPr>
                <w:color w:val="auto"/>
                <w:sz w:val="24"/>
                <w:szCs w:val="24"/>
                <w:highlight w:val="none"/>
              </w:rPr>
            </w:pPr>
          </w:p>
        </w:tc>
        <w:tc>
          <w:tcPr>
            <w:tcW w:w="2291" w:type="dxa"/>
          </w:tcPr>
          <w:p w14:paraId="09AE1F35">
            <w:pPr>
              <w:spacing w:line="440" w:lineRule="exact"/>
              <w:jc w:val="center"/>
              <w:rPr>
                <w:color w:val="auto"/>
                <w:sz w:val="24"/>
                <w:szCs w:val="24"/>
                <w:highlight w:val="none"/>
              </w:rPr>
            </w:pPr>
          </w:p>
        </w:tc>
        <w:tc>
          <w:tcPr>
            <w:tcW w:w="2070" w:type="dxa"/>
          </w:tcPr>
          <w:p w14:paraId="6697E948">
            <w:pPr>
              <w:spacing w:line="440" w:lineRule="exact"/>
              <w:jc w:val="center"/>
              <w:rPr>
                <w:color w:val="auto"/>
                <w:sz w:val="24"/>
                <w:szCs w:val="24"/>
                <w:highlight w:val="none"/>
              </w:rPr>
            </w:pPr>
          </w:p>
        </w:tc>
      </w:tr>
      <w:tr w14:paraId="0709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E4533C9">
            <w:pPr>
              <w:spacing w:line="440" w:lineRule="exact"/>
              <w:jc w:val="center"/>
              <w:rPr>
                <w:color w:val="auto"/>
                <w:sz w:val="24"/>
                <w:szCs w:val="24"/>
                <w:highlight w:val="none"/>
              </w:rPr>
            </w:pPr>
            <w:r>
              <w:rPr>
                <w:color w:val="auto"/>
                <w:sz w:val="24"/>
                <w:szCs w:val="24"/>
                <w:highlight w:val="none"/>
              </w:rPr>
              <w:t>资产负债率（  %）</w:t>
            </w:r>
          </w:p>
        </w:tc>
        <w:tc>
          <w:tcPr>
            <w:tcW w:w="2406" w:type="dxa"/>
          </w:tcPr>
          <w:p w14:paraId="219D2C55">
            <w:pPr>
              <w:spacing w:line="440" w:lineRule="exact"/>
              <w:jc w:val="center"/>
              <w:rPr>
                <w:color w:val="auto"/>
                <w:sz w:val="24"/>
                <w:szCs w:val="24"/>
                <w:highlight w:val="none"/>
              </w:rPr>
            </w:pPr>
          </w:p>
        </w:tc>
        <w:tc>
          <w:tcPr>
            <w:tcW w:w="2291" w:type="dxa"/>
          </w:tcPr>
          <w:p w14:paraId="4B95883F">
            <w:pPr>
              <w:spacing w:line="440" w:lineRule="exact"/>
              <w:jc w:val="center"/>
              <w:rPr>
                <w:color w:val="auto"/>
                <w:sz w:val="24"/>
                <w:szCs w:val="24"/>
                <w:highlight w:val="none"/>
              </w:rPr>
            </w:pPr>
          </w:p>
        </w:tc>
        <w:tc>
          <w:tcPr>
            <w:tcW w:w="2070" w:type="dxa"/>
          </w:tcPr>
          <w:p w14:paraId="1BF05508">
            <w:pPr>
              <w:spacing w:line="440" w:lineRule="exact"/>
              <w:jc w:val="center"/>
              <w:rPr>
                <w:color w:val="auto"/>
                <w:sz w:val="24"/>
                <w:szCs w:val="24"/>
                <w:highlight w:val="none"/>
              </w:rPr>
            </w:pPr>
          </w:p>
        </w:tc>
      </w:tr>
      <w:tr w14:paraId="2D55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C2934A8">
            <w:pPr>
              <w:spacing w:line="440" w:lineRule="exact"/>
              <w:jc w:val="center"/>
              <w:rPr>
                <w:color w:val="auto"/>
                <w:sz w:val="24"/>
                <w:szCs w:val="24"/>
                <w:highlight w:val="none"/>
              </w:rPr>
            </w:pPr>
            <w:r>
              <w:rPr>
                <w:color w:val="auto"/>
                <w:sz w:val="24"/>
                <w:szCs w:val="24"/>
                <w:highlight w:val="none"/>
              </w:rPr>
              <w:t>净利润（万元）</w:t>
            </w:r>
          </w:p>
        </w:tc>
        <w:tc>
          <w:tcPr>
            <w:tcW w:w="2406" w:type="dxa"/>
          </w:tcPr>
          <w:p w14:paraId="1A2F961C">
            <w:pPr>
              <w:spacing w:line="440" w:lineRule="exact"/>
              <w:jc w:val="center"/>
              <w:rPr>
                <w:color w:val="auto"/>
                <w:sz w:val="24"/>
                <w:szCs w:val="24"/>
                <w:highlight w:val="none"/>
              </w:rPr>
            </w:pPr>
          </w:p>
        </w:tc>
        <w:tc>
          <w:tcPr>
            <w:tcW w:w="2291" w:type="dxa"/>
          </w:tcPr>
          <w:p w14:paraId="58B63DBA">
            <w:pPr>
              <w:spacing w:line="440" w:lineRule="exact"/>
              <w:jc w:val="center"/>
              <w:rPr>
                <w:color w:val="auto"/>
                <w:sz w:val="24"/>
                <w:szCs w:val="24"/>
                <w:highlight w:val="none"/>
              </w:rPr>
            </w:pPr>
          </w:p>
        </w:tc>
        <w:tc>
          <w:tcPr>
            <w:tcW w:w="2070" w:type="dxa"/>
          </w:tcPr>
          <w:p w14:paraId="7837CAF4">
            <w:pPr>
              <w:spacing w:line="440" w:lineRule="exact"/>
              <w:jc w:val="center"/>
              <w:rPr>
                <w:color w:val="auto"/>
                <w:sz w:val="24"/>
                <w:szCs w:val="24"/>
                <w:highlight w:val="none"/>
              </w:rPr>
            </w:pPr>
          </w:p>
        </w:tc>
      </w:tr>
      <w:tr w14:paraId="0298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A948D13">
            <w:pPr>
              <w:spacing w:line="440" w:lineRule="exact"/>
              <w:jc w:val="center"/>
              <w:rPr>
                <w:color w:val="auto"/>
                <w:sz w:val="24"/>
                <w:szCs w:val="24"/>
                <w:highlight w:val="none"/>
              </w:rPr>
            </w:pPr>
            <w:r>
              <w:rPr>
                <w:color w:val="auto"/>
                <w:sz w:val="24"/>
                <w:szCs w:val="24"/>
                <w:highlight w:val="none"/>
              </w:rPr>
              <w:t>未分配利润（万元）</w:t>
            </w:r>
          </w:p>
        </w:tc>
        <w:tc>
          <w:tcPr>
            <w:tcW w:w="2406" w:type="dxa"/>
          </w:tcPr>
          <w:p w14:paraId="25E4B4A6">
            <w:pPr>
              <w:spacing w:line="440" w:lineRule="exact"/>
              <w:jc w:val="center"/>
              <w:rPr>
                <w:color w:val="auto"/>
                <w:sz w:val="24"/>
                <w:szCs w:val="24"/>
                <w:highlight w:val="none"/>
              </w:rPr>
            </w:pPr>
          </w:p>
        </w:tc>
        <w:tc>
          <w:tcPr>
            <w:tcW w:w="2291" w:type="dxa"/>
          </w:tcPr>
          <w:p w14:paraId="405DFD40">
            <w:pPr>
              <w:spacing w:line="440" w:lineRule="exact"/>
              <w:jc w:val="center"/>
              <w:rPr>
                <w:color w:val="auto"/>
                <w:sz w:val="24"/>
                <w:szCs w:val="24"/>
                <w:highlight w:val="none"/>
              </w:rPr>
            </w:pPr>
          </w:p>
        </w:tc>
        <w:tc>
          <w:tcPr>
            <w:tcW w:w="2070" w:type="dxa"/>
          </w:tcPr>
          <w:p w14:paraId="74866A87">
            <w:pPr>
              <w:spacing w:line="440" w:lineRule="exact"/>
              <w:jc w:val="center"/>
              <w:rPr>
                <w:color w:val="auto"/>
                <w:sz w:val="24"/>
                <w:szCs w:val="24"/>
                <w:highlight w:val="none"/>
              </w:rPr>
            </w:pPr>
          </w:p>
        </w:tc>
      </w:tr>
      <w:tr w14:paraId="4A22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56D76C1">
            <w:pPr>
              <w:spacing w:line="440" w:lineRule="exact"/>
              <w:jc w:val="center"/>
              <w:rPr>
                <w:color w:val="auto"/>
                <w:sz w:val="24"/>
                <w:szCs w:val="24"/>
                <w:highlight w:val="none"/>
              </w:rPr>
            </w:pPr>
            <w:r>
              <w:rPr>
                <w:color w:val="auto"/>
                <w:sz w:val="24"/>
                <w:szCs w:val="24"/>
                <w:highlight w:val="none"/>
              </w:rPr>
              <w:t>营运资金</w:t>
            </w:r>
          </w:p>
        </w:tc>
        <w:tc>
          <w:tcPr>
            <w:tcW w:w="2406" w:type="dxa"/>
          </w:tcPr>
          <w:p w14:paraId="36A7EBFD">
            <w:pPr>
              <w:spacing w:line="440" w:lineRule="exact"/>
              <w:jc w:val="center"/>
              <w:rPr>
                <w:color w:val="auto"/>
                <w:sz w:val="24"/>
                <w:szCs w:val="24"/>
                <w:highlight w:val="none"/>
              </w:rPr>
            </w:pPr>
          </w:p>
        </w:tc>
        <w:tc>
          <w:tcPr>
            <w:tcW w:w="2291" w:type="dxa"/>
          </w:tcPr>
          <w:p w14:paraId="2F205F50">
            <w:pPr>
              <w:spacing w:line="440" w:lineRule="exact"/>
              <w:jc w:val="center"/>
              <w:rPr>
                <w:color w:val="auto"/>
                <w:sz w:val="24"/>
                <w:szCs w:val="24"/>
                <w:highlight w:val="none"/>
              </w:rPr>
            </w:pPr>
          </w:p>
        </w:tc>
        <w:tc>
          <w:tcPr>
            <w:tcW w:w="2070" w:type="dxa"/>
          </w:tcPr>
          <w:p w14:paraId="5E006B84">
            <w:pPr>
              <w:spacing w:line="440" w:lineRule="exact"/>
              <w:jc w:val="center"/>
              <w:rPr>
                <w:color w:val="auto"/>
                <w:sz w:val="24"/>
                <w:szCs w:val="24"/>
                <w:highlight w:val="none"/>
              </w:rPr>
            </w:pPr>
          </w:p>
        </w:tc>
      </w:tr>
      <w:tr w14:paraId="755E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B0EAD9F">
            <w:pPr>
              <w:spacing w:line="440" w:lineRule="exact"/>
              <w:jc w:val="center"/>
              <w:rPr>
                <w:color w:val="auto"/>
                <w:sz w:val="24"/>
                <w:szCs w:val="24"/>
                <w:highlight w:val="none"/>
              </w:rPr>
            </w:pPr>
            <w:r>
              <w:rPr>
                <w:color w:val="auto"/>
                <w:sz w:val="24"/>
                <w:szCs w:val="24"/>
                <w:highlight w:val="none"/>
              </w:rPr>
              <w:t>（本年营业收入-上年营业收入）÷上年营业收入</w:t>
            </w:r>
          </w:p>
        </w:tc>
        <w:tc>
          <w:tcPr>
            <w:tcW w:w="2406" w:type="dxa"/>
          </w:tcPr>
          <w:p w14:paraId="7FD9C61F">
            <w:pPr>
              <w:spacing w:line="440" w:lineRule="exact"/>
              <w:jc w:val="center"/>
              <w:rPr>
                <w:color w:val="auto"/>
                <w:sz w:val="24"/>
                <w:szCs w:val="24"/>
                <w:highlight w:val="none"/>
              </w:rPr>
            </w:pPr>
          </w:p>
        </w:tc>
        <w:tc>
          <w:tcPr>
            <w:tcW w:w="2291" w:type="dxa"/>
          </w:tcPr>
          <w:p w14:paraId="470BB217">
            <w:pPr>
              <w:spacing w:line="440" w:lineRule="exact"/>
              <w:jc w:val="center"/>
              <w:rPr>
                <w:color w:val="auto"/>
                <w:sz w:val="24"/>
                <w:szCs w:val="24"/>
                <w:highlight w:val="none"/>
              </w:rPr>
            </w:pPr>
          </w:p>
        </w:tc>
        <w:tc>
          <w:tcPr>
            <w:tcW w:w="2070" w:type="dxa"/>
          </w:tcPr>
          <w:p w14:paraId="4F65C87B">
            <w:pPr>
              <w:spacing w:line="440" w:lineRule="exact"/>
              <w:jc w:val="center"/>
              <w:rPr>
                <w:color w:val="auto"/>
                <w:sz w:val="24"/>
                <w:szCs w:val="24"/>
                <w:highlight w:val="none"/>
              </w:rPr>
            </w:pPr>
          </w:p>
        </w:tc>
      </w:tr>
    </w:tbl>
    <w:p w14:paraId="118B10DC">
      <w:pPr>
        <w:spacing w:line="660" w:lineRule="exact"/>
        <w:ind w:firstLine="240" w:firstLineChars="100"/>
        <w:rPr>
          <w:color w:val="auto"/>
          <w:sz w:val="24"/>
          <w:highlight w:val="none"/>
        </w:rPr>
      </w:pPr>
      <w:r>
        <w:rPr>
          <w:color w:val="auto"/>
          <w:sz w:val="24"/>
          <w:highlight w:val="none"/>
        </w:rPr>
        <w:t>投标人：（盖章）</w:t>
      </w:r>
    </w:p>
    <w:p w14:paraId="63763D9F">
      <w:pPr>
        <w:spacing w:line="660" w:lineRule="exact"/>
        <w:ind w:firstLine="240" w:firstLineChars="100"/>
        <w:rPr>
          <w:color w:val="auto"/>
          <w:sz w:val="24"/>
          <w:highlight w:val="none"/>
        </w:rPr>
      </w:pPr>
      <w:r>
        <w:rPr>
          <w:color w:val="auto"/>
          <w:sz w:val="24"/>
          <w:highlight w:val="none"/>
        </w:rPr>
        <w:t>法定代表人（委托代理人）：（签字）</w:t>
      </w:r>
    </w:p>
    <w:p w14:paraId="63DD5E0F">
      <w:pPr>
        <w:spacing w:line="660" w:lineRule="exact"/>
        <w:ind w:firstLine="240" w:firstLineChars="100"/>
        <w:rPr>
          <w:b/>
          <w:bCs/>
          <w:color w:val="auto"/>
          <w:sz w:val="28"/>
          <w:highlight w:val="none"/>
        </w:rPr>
      </w:pPr>
      <w:r>
        <w:rPr>
          <w:color w:val="auto"/>
          <w:sz w:val="24"/>
          <w:highlight w:val="none"/>
        </w:rPr>
        <w:t>日  期：年月日</w:t>
      </w:r>
    </w:p>
    <w:p w14:paraId="5619A8CA">
      <w:pPr>
        <w:rPr>
          <w:color w:val="auto"/>
          <w:highlight w:val="none"/>
        </w:rPr>
        <w:sectPr>
          <w:footerReference r:id="rId7" w:type="first"/>
          <w:footerReference r:id="rId6" w:type="default"/>
          <w:pgSz w:w="11906" w:h="16838"/>
          <w:pgMar w:top="1588" w:right="1418" w:bottom="1134" w:left="1418" w:header="851" w:footer="992" w:gutter="0"/>
          <w:cols w:space="720" w:num="1"/>
          <w:titlePg/>
          <w:docGrid w:type="lines" w:linePitch="312" w:charSpace="0"/>
        </w:sectPr>
      </w:pPr>
    </w:p>
    <w:p w14:paraId="61F990D8">
      <w:pPr>
        <w:keepNext/>
        <w:keepLines/>
        <w:outlineLvl w:val="1"/>
        <w:rPr>
          <w:b/>
          <w:bCs/>
          <w:color w:val="auto"/>
          <w:sz w:val="24"/>
          <w:szCs w:val="24"/>
          <w:highlight w:val="none"/>
        </w:rPr>
      </w:pPr>
      <w:r>
        <w:rPr>
          <w:b/>
          <w:bCs/>
          <w:color w:val="auto"/>
          <w:sz w:val="24"/>
          <w:szCs w:val="24"/>
          <w:highlight w:val="none"/>
        </w:rPr>
        <w:t>附件4 保密承诺函</w:t>
      </w:r>
    </w:p>
    <w:p w14:paraId="7DAB7C63">
      <w:pPr>
        <w:spacing w:line="240" w:lineRule="exact"/>
        <w:jc w:val="center"/>
        <w:rPr>
          <w:b/>
          <w:bCs/>
          <w:color w:val="auto"/>
          <w:sz w:val="36"/>
          <w:highlight w:val="none"/>
        </w:rPr>
      </w:pPr>
    </w:p>
    <w:p w14:paraId="538D3757">
      <w:pPr>
        <w:spacing w:line="360" w:lineRule="auto"/>
        <w:rPr>
          <w:color w:val="auto"/>
          <w:sz w:val="24"/>
          <w:highlight w:val="none"/>
          <w:u w:val="single"/>
        </w:rPr>
      </w:pPr>
      <w:r>
        <w:rPr>
          <w:color w:val="auto"/>
          <w:sz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564D34C0">
      <w:pPr>
        <w:spacing w:line="360" w:lineRule="auto"/>
        <w:rPr>
          <w:b/>
          <w:bCs/>
          <w:color w:val="auto"/>
          <w:sz w:val="24"/>
          <w:highlight w:val="none"/>
        </w:rPr>
      </w:pPr>
      <w:r>
        <w:rPr>
          <w:rFonts w:hint="eastAsia"/>
          <w:b/>
          <w:bCs/>
          <w:color w:val="auto"/>
          <w:sz w:val="24"/>
          <w:highlight w:val="none"/>
        </w:rPr>
        <w:t>中国重汽集团济南卡车股份有限公司</w:t>
      </w:r>
      <w:r>
        <w:rPr>
          <w:b/>
          <w:bCs/>
          <w:color w:val="auto"/>
          <w:sz w:val="24"/>
          <w:highlight w:val="none"/>
        </w:rPr>
        <w:t>：</w:t>
      </w:r>
    </w:p>
    <w:p w14:paraId="74F988E5">
      <w:pPr>
        <w:spacing w:line="360" w:lineRule="auto"/>
        <w:ind w:firstLine="480"/>
        <w:rPr>
          <w:color w:val="auto"/>
          <w:sz w:val="24"/>
          <w:highlight w:val="none"/>
        </w:rPr>
      </w:pPr>
      <w:r>
        <w:rPr>
          <w:color w:val="auto"/>
          <w:sz w:val="24"/>
          <w:highlight w:val="none"/>
        </w:rPr>
        <w:t>我代表（</w:t>
      </w:r>
      <w:r>
        <w:rPr>
          <w:color w:val="auto"/>
          <w:sz w:val="24"/>
          <w:highlight w:val="none"/>
          <w:u w:val="single"/>
        </w:rPr>
        <w:t>投标单位名称</w:t>
      </w:r>
      <w:r>
        <w:rPr>
          <w:color w:val="auto"/>
          <w:sz w:val="24"/>
          <w:highlight w:val="none"/>
        </w:rPr>
        <w:t>）对招标人的商业秘密作如下承诺：</w:t>
      </w:r>
    </w:p>
    <w:p w14:paraId="3019D4F3">
      <w:pPr>
        <w:spacing w:line="360" w:lineRule="auto"/>
        <w:ind w:left="479" w:leftChars="228"/>
        <w:rPr>
          <w:color w:val="auto"/>
          <w:sz w:val="24"/>
          <w:highlight w:val="none"/>
          <w:u w:val="single"/>
        </w:rPr>
      </w:pPr>
      <w:r>
        <w:rPr>
          <w:color w:val="auto"/>
          <w:sz w:val="24"/>
          <w:highlight w:val="none"/>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6CDD87F2">
      <w:pPr>
        <w:spacing w:line="360" w:lineRule="auto"/>
        <w:ind w:firstLine="480" w:firstLineChars="200"/>
        <w:rPr>
          <w:color w:val="auto"/>
          <w:sz w:val="24"/>
          <w:highlight w:val="none"/>
          <w:u w:val="single"/>
        </w:rPr>
      </w:pPr>
    </w:p>
    <w:p w14:paraId="24BDE356">
      <w:pPr>
        <w:spacing w:line="360" w:lineRule="auto"/>
        <w:ind w:firstLine="480" w:firstLineChars="200"/>
        <w:rPr>
          <w:color w:val="auto"/>
          <w:sz w:val="24"/>
          <w:highlight w:val="none"/>
          <w:u w:val="single"/>
        </w:rPr>
      </w:pPr>
    </w:p>
    <w:p w14:paraId="0F18C8C0">
      <w:pPr>
        <w:spacing w:line="360" w:lineRule="auto"/>
        <w:ind w:firstLine="480" w:firstLineChars="200"/>
        <w:rPr>
          <w:color w:val="auto"/>
          <w:sz w:val="24"/>
          <w:szCs w:val="24"/>
          <w:highlight w:val="none"/>
        </w:rPr>
      </w:pPr>
      <w:r>
        <w:rPr>
          <w:color w:val="auto"/>
          <w:sz w:val="24"/>
          <w:szCs w:val="24"/>
          <w:highlight w:val="none"/>
        </w:rPr>
        <w:t>投标人：（盖章）</w:t>
      </w:r>
    </w:p>
    <w:p w14:paraId="5738496E">
      <w:pPr>
        <w:spacing w:line="360" w:lineRule="auto"/>
        <w:ind w:firstLine="480" w:firstLineChars="200"/>
        <w:rPr>
          <w:color w:val="auto"/>
          <w:sz w:val="24"/>
          <w:szCs w:val="24"/>
          <w:highlight w:val="none"/>
        </w:rPr>
      </w:pPr>
      <w:r>
        <w:rPr>
          <w:color w:val="auto"/>
          <w:sz w:val="24"/>
          <w:szCs w:val="24"/>
          <w:highlight w:val="none"/>
        </w:rPr>
        <w:t>法定代表人（委托代理人）：（签字）</w:t>
      </w:r>
    </w:p>
    <w:p w14:paraId="6F906C3C">
      <w:pPr>
        <w:spacing w:line="360" w:lineRule="auto"/>
        <w:ind w:firstLine="480" w:firstLineChars="200"/>
        <w:rPr>
          <w:color w:val="auto"/>
          <w:sz w:val="24"/>
          <w:szCs w:val="24"/>
          <w:highlight w:val="none"/>
        </w:rPr>
      </w:pPr>
      <w:r>
        <w:rPr>
          <w:color w:val="auto"/>
          <w:sz w:val="24"/>
          <w:szCs w:val="24"/>
          <w:highlight w:val="none"/>
        </w:rPr>
        <w:t>日  期：       年    月    日</w:t>
      </w:r>
    </w:p>
    <w:p w14:paraId="47D27105">
      <w:pPr>
        <w:rPr>
          <w:b/>
          <w:bCs/>
          <w:color w:val="auto"/>
          <w:sz w:val="28"/>
          <w:highlight w:val="none"/>
        </w:rPr>
      </w:pPr>
    </w:p>
    <w:p w14:paraId="7D3E58DB">
      <w:pPr>
        <w:rPr>
          <w:color w:val="auto"/>
          <w:highlight w:val="none"/>
        </w:rPr>
        <w:sectPr>
          <w:footerReference r:id="rId9" w:type="first"/>
          <w:footerReference r:id="rId8" w:type="default"/>
          <w:pgSz w:w="11906" w:h="16838"/>
          <w:pgMar w:top="1588" w:right="1418" w:bottom="1134" w:left="1418" w:header="851" w:footer="992" w:gutter="0"/>
          <w:cols w:space="720" w:num="1"/>
          <w:titlePg/>
          <w:docGrid w:type="lines" w:linePitch="312" w:charSpace="0"/>
        </w:sectPr>
      </w:pPr>
    </w:p>
    <w:p w14:paraId="120ACE7F">
      <w:pPr>
        <w:keepNext/>
        <w:keepLines/>
        <w:outlineLvl w:val="1"/>
        <w:rPr>
          <w:b/>
          <w:bCs/>
          <w:color w:val="auto"/>
          <w:sz w:val="24"/>
          <w:szCs w:val="24"/>
          <w:highlight w:val="none"/>
        </w:rPr>
      </w:pPr>
      <w:r>
        <w:rPr>
          <w:b/>
          <w:bCs/>
          <w:color w:val="auto"/>
          <w:sz w:val="24"/>
          <w:szCs w:val="24"/>
          <w:highlight w:val="none"/>
        </w:rPr>
        <w:t>附件5 技术规格偏离表</w:t>
      </w:r>
    </w:p>
    <w:p w14:paraId="75855D29">
      <w:pPr>
        <w:spacing w:line="360" w:lineRule="auto"/>
        <w:ind w:firstLine="480" w:firstLineChars="200"/>
        <w:rPr>
          <w:color w:val="auto"/>
          <w:sz w:val="24"/>
          <w:szCs w:val="24"/>
          <w:highlight w:val="none"/>
        </w:rPr>
      </w:pPr>
      <w:r>
        <w:rPr>
          <w:color w:val="auto"/>
          <w:sz w:val="24"/>
          <w:szCs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tbl>
      <w:tblPr>
        <w:tblStyle w:val="4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013D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6F1FECF">
            <w:pPr>
              <w:jc w:val="center"/>
              <w:rPr>
                <w:b/>
                <w:color w:val="auto"/>
                <w:highlight w:val="none"/>
              </w:rPr>
            </w:pPr>
            <w:r>
              <w:rPr>
                <w:b/>
                <w:color w:val="auto"/>
                <w:highlight w:val="none"/>
              </w:rPr>
              <w:t>序号</w:t>
            </w:r>
          </w:p>
        </w:tc>
        <w:tc>
          <w:tcPr>
            <w:tcW w:w="3449" w:type="dxa"/>
            <w:vAlign w:val="center"/>
          </w:tcPr>
          <w:p w14:paraId="4921A682">
            <w:pPr>
              <w:jc w:val="center"/>
              <w:rPr>
                <w:b/>
                <w:color w:val="auto"/>
                <w:highlight w:val="none"/>
              </w:rPr>
            </w:pPr>
            <w:r>
              <w:rPr>
                <w:b/>
                <w:color w:val="auto"/>
                <w:highlight w:val="none"/>
              </w:rPr>
              <w:t>招标要求</w:t>
            </w:r>
          </w:p>
        </w:tc>
        <w:tc>
          <w:tcPr>
            <w:tcW w:w="2414" w:type="dxa"/>
            <w:vAlign w:val="center"/>
          </w:tcPr>
          <w:p w14:paraId="1027F87F">
            <w:pPr>
              <w:jc w:val="center"/>
              <w:rPr>
                <w:b/>
                <w:color w:val="auto"/>
                <w:highlight w:val="none"/>
              </w:rPr>
            </w:pPr>
            <w:r>
              <w:rPr>
                <w:b/>
                <w:color w:val="auto"/>
                <w:highlight w:val="none"/>
              </w:rPr>
              <w:t>响应规格</w:t>
            </w:r>
          </w:p>
        </w:tc>
        <w:tc>
          <w:tcPr>
            <w:tcW w:w="1608" w:type="dxa"/>
            <w:vAlign w:val="center"/>
          </w:tcPr>
          <w:p w14:paraId="2E184582">
            <w:pPr>
              <w:jc w:val="center"/>
              <w:rPr>
                <w:b/>
                <w:color w:val="auto"/>
                <w:highlight w:val="none"/>
              </w:rPr>
            </w:pPr>
            <w:r>
              <w:rPr>
                <w:b/>
                <w:color w:val="auto"/>
                <w:highlight w:val="none"/>
              </w:rPr>
              <w:t>是否偏离</w:t>
            </w:r>
          </w:p>
        </w:tc>
      </w:tr>
      <w:tr w14:paraId="1904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8A3EC8">
            <w:pPr>
              <w:jc w:val="center"/>
              <w:rPr>
                <w:b/>
                <w:color w:val="auto"/>
                <w:sz w:val="24"/>
                <w:highlight w:val="none"/>
              </w:rPr>
            </w:pPr>
          </w:p>
        </w:tc>
        <w:tc>
          <w:tcPr>
            <w:tcW w:w="3449" w:type="dxa"/>
          </w:tcPr>
          <w:p w14:paraId="476C64A9">
            <w:pPr>
              <w:jc w:val="center"/>
              <w:rPr>
                <w:b/>
                <w:color w:val="auto"/>
                <w:sz w:val="24"/>
                <w:highlight w:val="none"/>
              </w:rPr>
            </w:pPr>
          </w:p>
        </w:tc>
        <w:tc>
          <w:tcPr>
            <w:tcW w:w="2414" w:type="dxa"/>
          </w:tcPr>
          <w:p w14:paraId="226C6D3D">
            <w:pPr>
              <w:jc w:val="center"/>
              <w:rPr>
                <w:b/>
                <w:color w:val="auto"/>
                <w:sz w:val="24"/>
                <w:highlight w:val="none"/>
              </w:rPr>
            </w:pPr>
          </w:p>
        </w:tc>
        <w:tc>
          <w:tcPr>
            <w:tcW w:w="1608" w:type="dxa"/>
          </w:tcPr>
          <w:p w14:paraId="5429121A">
            <w:pPr>
              <w:jc w:val="center"/>
              <w:rPr>
                <w:b/>
                <w:color w:val="auto"/>
                <w:sz w:val="24"/>
                <w:highlight w:val="none"/>
              </w:rPr>
            </w:pPr>
          </w:p>
        </w:tc>
      </w:tr>
      <w:tr w14:paraId="6475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0C07220">
            <w:pPr>
              <w:jc w:val="center"/>
              <w:rPr>
                <w:b/>
                <w:color w:val="auto"/>
                <w:sz w:val="24"/>
                <w:highlight w:val="none"/>
              </w:rPr>
            </w:pPr>
          </w:p>
        </w:tc>
        <w:tc>
          <w:tcPr>
            <w:tcW w:w="3449" w:type="dxa"/>
          </w:tcPr>
          <w:p w14:paraId="1F2EBE9B">
            <w:pPr>
              <w:jc w:val="center"/>
              <w:rPr>
                <w:b/>
                <w:color w:val="auto"/>
                <w:sz w:val="24"/>
                <w:highlight w:val="none"/>
              </w:rPr>
            </w:pPr>
          </w:p>
        </w:tc>
        <w:tc>
          <w:tcPr>
            <w:tcW w:w="2414" w:type="dxa"/>
          </w:tcPr>
          <w:p w14:paraId="3B7D895B">
            <w:pPr>
              <w:jc w:val="center"/>
              <w:rPr>
                <w:b/>
                <w:color w:val="auto"/>
                <w:sz w:val="24"/>
                <w:highlight w:val="none"/>
              </w:rPr>
            </w:pPr>
          </w:p>
        </w:tc>
        <w:tc>
          <w:tcPr>
            <w:tcW w:w="1608" w:type="dxa"/>
          </w:tcPr>
          <w:p w14:paraId="57499EB0">
            <w:pPr>
              <w:jc w:val="center"/>
              <w:rPr>
                <w:b/>
                <w:color w:val="auto"/>
                <w:sz w:val="24"/>
                <w:highlight w:val="none"/>
              </w:rPr>
            </w:pPr>
          </w:p>
        </w:tc>
      </w:tr>
      <w:tr w14:paraId="3C68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C99333C">
            <w:pPr>
              <w:jc w:val="center"/>
              <w:rPr>
                <w:b/>
                <w:color w:val="auto"/>
                <w:sz w:val="24"/>
                <w:highlight w:val="none"/>
              </w:rPr>
            </w:pPr>
          </w:p>
        </w:tc>
        <w:tc>
          <w:tcPr>
            <w:tcW w:w="3449" w:type="dxa"/>
          </w:tcPr>
          <w:p w14:paraId="3CE5721C">
            <w:pPr>
              <w:jc w:val="center"/>
              <w:rPr>
                <w:b/>
                <w:color w:val="auto"/>
                <w:sz w:val="24"/>
                <w:highlight w:val="none"/>
              </w:rPr>
            </w:pPr>
          </w:p>
        </w:tc>
        <w:tc>
          <w:tcPr>
            <w:tcW w:w="2414" w:type="dxa"/>
          </w:tcPr>
          <w:p w14:paraId="076F1D3F">
            <w:pPr>
              <w:jc w:val="center"/>
              <w:rPr>
                <w:b/>
                <w:color w:val="auto"/>
                <w:sz w:val="24"/>
                <w:highlight w:val="none"/>
              </w:rPr>
            </w:pPr>
          </w:p>
        </w:tc>
        <w:tc>
          <w:tcPr>
            <w:tcW w:w="1608" w:type="dxa"/>
          </w:tcPr>
          <w:p w14:paraId="36D7BDD0">
            <w:pPr>
              <w:jc w:val="center"/>
              <w:rPr>
                <w:b/>
                <w:color w:val="auto"/>
                <w:sz w:val="24"/>
                <w:highlight w:val="none"/>
              </w:rPr>
            </w:pPr>
          </w:p>
        </w:tc>
      </w:tr>
      <w:tr w14:paraId="6FA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0CDB2C3">
            <w:pPr>
              <w:jc w:val="center"/>
              <w:rPr>
                <w:b/>
                <w:color w:val="auto"/>
                <w:sz w:val="24"/>
                <w:highlight w:val="none"/>
              </w:rPr>
            </w:pPr>
          </w:p>
        </w:tc>
        <w:tc>
          <w:tcPr>
            <w:tcW w:w="3449" w:type="dxa"/>
          </w:tcPr>
          <w:p w14:paraId="3A2D4FDA">
            <w:pPr>
              <w:jc w:val="center"/>
              <w:rPr>
                <w:b/>
                <w:color w:val="auto"/>
                <w:sz w:val="24"/>
                <w:highlight w:val="none"/>
              </w:rPr>
            </w:pPr>
          </w:p>
        </w:tc>
        <w:tc>
          <w:tcPr>
            <w:tcW w:w="2414" w:type="dxa"/>
          </w:tcPr>
          <w:p w14:paraId="526F743B">
            <w:pPr>
              <w:jc w:val="center"/>
              <w:rPr>
                <w:b/>
                <w:color w:val="auto"/>
                <w:sz w:val="24"/>
                <w:highlight w:val="none"/>
              </w:rPr>
            </w:pPr>
          </w:p>
        </w:tc>
        <w:tc>
          <w:tcPr>
            <w:tcW w:w="1608" w:type="dxa"/>
          </w:tcPr>
          <w:p w14:paraId="3B3ED38B">
            <w:pPr>
              <w:jc w:val="center"/>
              <w:rPr>
                <w:b/>
                <w:color w:val="auto"/>
                <w:sz w:val="24"/>
                <w:highlight w:val="none"/>
              </w:rPr>
            </w:pPr>
          </w:p>
        </w:tc>
      </w:tr>
      <w:tr w14:paraId="061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27E790E">
            <w:pPr>
              <w:jc w:val="center"/>
              <w:rPr>
                <w:b/>
                <w:color w:val="auto"/>
                <w:sz w:val="24"/>
                <w:highlight w:val="none"/>
              </w:rPr>
            </w:pPr>
          </w:p>
        </w:tc>
        <w:tc>
          <w:tcPr>
            <w:tcW w:w="3449" w:type="dxa"/>
          </w:tcPr>
          <w:p w14:paraId="5487F453">
            <w:pPr>
              <w:jc w:val="center"/>
              <w:rPr>
                <w:b/>
                <w:color w:val="auto"/>
                <w:sz w:val="24"/>
                <w:highlight w:val="none"/>
              </w:rPr>
            </w:pPr>
          </w:p>
        </w:tc>
        <w:tc>
          <w:tcPr>
            <w:tcW w:w="2414" w:type="dxa"/>
          </w:tcPr>
          <w:p w14:paraId="4FE5F922">
            <w:pPr>
              <w:jc w:val="center"/>
              <w:rPr>
                <w:b/>
                <w:color w:val="auto"/>
                <w:sz w:val="24"/>
                <w:highlight w:val="none"/>
              </w:rPr>
            </w:pPr>
          </w:p>
        </w:tc>
        <w:tc>
          <w:tcPr>
            <w:tcW w:w="1608" w:type="dxa"/>
          </w:tcPr>
          <w:p w14:paraId="1EC6BF41">
            <w:pPr>
              <w:jc w:val="center"/>
              <w:rPr>
                <w:b/>
                <w:color w:val="auto"/>
                <w:sz w:val="24"/>
                <w:highlight w:val="none"/>
              </w:rPr>
            </w:pPr>
          </w:p>
        </w:tc>
      </w:tr>
      <w:tr w14:paraId="1C33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9A0C4EA">
            <w:pPr>
              <w:jc w:val="center"/>
              <w:rPr>
                <w:b/>
                <w:color w:val="auto"/>
                <w:sz w:val="24"/>
                <w:highlight w:val="none"/>
              </w:rPr>
            </w:pPr>
          </w:p>
        </w:tc>
        <w:tc>
          <w:tcPr>
            <w:tcW w:w="3449" w:type="dxa"/>
          </w:tcPr>
          <w:p w14:paraId="699ED50C">
            <w:pPr>
              <w:jc w:val="center"/>
              <w:rPr>
                <w:b/>
                <w:color w:val="auto"/>
                <w:sz w:val="24"/>
                <w:highlight w:val="none"/>
              </w:rPr>
            </w:pPr>
          </w:p>
        </w:tc>
        <w:tc>
          <w:tcPr>
            <w:tcW w:w="2414" w:type="dxa"/>
          </w:tcPr>
          <w:p w14:paraId="320DDA74">
            <w:pPr>
              <w:jc w:val="center"/>
              <w:rPr>
                <w:b/>
                <w:color w:val="auto"/>
                <w:sz w:val="24"/>
                <w:highlight w:val="none"/>
              </w:rPr>
            </w:pPr>
          </w:p>
        </w:tc>
        <w:tc>
          <w:tcPr>
            <w:tcW w:w="1608" w:type="dxa"/>
          </w:tcPr>
          <w:p w14:paraId="0E37B569">
            <w:pPr>
              <w:jc w:val="center"/>
              <w:rPr>
                <w:b/>
                <w:color w:val="auto"/>
                <w:sz w:val="24"/>
                <w:highlight w:val="none"/>
              </w:rPr>
            </w:pPr>
          </w:p>
        </w:tc>
      </w:tr>
      <w:tr w14:paraId="5E1B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32A59C4">
            <w:pPr>
              <w:jc w:val="center"/>
              <w:rPr>
                <w:b/>
                <w:color w:val="auto"/>
                <w:sz w:val="24"/>
                <w:highlight w:val="none"/>
              </w:rPr>
            </w:pPr>
          </w:p>
        </w:tc>
        <w:tc>
          <w:tcPr>
            <w:tcW w:w="3449" w:type="dxa"/>
          </w:tcPr>
          <w:p w14:paraId="087EB12F">
            <w:pPr>
              <w:jc w:val="center"/>
              <w:rPr>
                <w:b/>
                <w:color w:val="auto"/>
                <w:sz w:val="24"/>
                <w:highlight w:val="none"/>
              </w:rPr>
            </w:pPr>
          </w:p>
        </w:tc>
        <w:tc>
          <w:tcPr>
            <w:tcW w:w="2414" w:type="dxa"/>
          </w:tcPr>
          <w:p w14:paraId="1D226378">
            <w:pPr>
              <w:jc w:val="center"/>
              <w:rPr>
                <w:b/>
                <w:color w:val="auto"/>
                <w:sz w:val="24"/>
                <w:highlight w:val="none"/>
              </w:rPr>
            </w:pPr>
          </w:p>
        </w:tc>
        <w:tc>
          <w:tcPr>
            <w:tcW w:w="1608" w:type="dxa"/>
          </w:tcPr>
          <w:p w14:paraId="66D78CC2">
            <w:pPr>
              <w:jc w:val="center"/>
              <w:rPr>
                <w:b/>
                <w:color w:val="auto"/>
                <w:sz w:val="24"/>
                <w:highlight w:val="none"/>
              </w:rPr>
            </w:pPr>
          </w:p>
        </w:tc>
      </w:tr>
      <w:tr w14:paraId="3B62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F7997EE">
            <w:pPr>
              <w:jc w:val="center"/>
              <w:rPr>
                <w:b/>
                <w:color w:val="auto"/>
                <w:sz w:val="24"/>
                <w:highlight w:val="none"/>
              </w:rPr>
            </w:pPr>
          </w:p>
        </w:tc>
        <w:tc>
          <w:tcPr>
            <w:tcW w:w="3449" w:type="dxa"/>
          </w:tcPr>
          <w:p w14:paraId="26D3EBAF">
            <w:pPr>
              <w:jc w:val="center"/>
              <w:rPr>
                <w:b/>
                <w:color w:val="auto"/>
                <w:sz w:val="24"/>
                <w:highlight w:val="none"/>
              </w:rPr>
            </w:pPr>
          </w:p>
        </w:tc>
        <w:tc>
          <w:tcPr>
            <w:tcW w:w="2414" w:type="dxa"/>
          </w:tcPr>
          <w:p w14:paraId="733F89FD">
            <w:pPr>
              <w:jc w:val="center"/>
              <w:rPr>
                <w:b/>
                <w:color w:val="auto"/>
                <w:sz w:val="24"/>
                <w:highlight w:val="none"/>
              </w:rPr>
            </w:pPr>
          </w:p>
        </w:tc>
        <w:tc>
          <w:tcPr>
            <w:tcW w:w="1608" w:type="dxa"/>
          </w:tcPr>
          <w:p w14:paraId="1C65C9E8">
            <w:pPr>
              <w:jc w:val="center"/>
              <w:rPr>
                <w:b/>
                <w:color w:val="auto"/>
                <w:sz w:val="24"/>
                <w:highlight w:val="none"/>
              </w:rPr>
            </w:pPr>
          </w:p>
        </w:tc>
      </w:tr>
      <w:tr w14:paraId="61C3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20D9A07">
            <w:pPr>
              <w:jc w:val="center"/>
              <w:rPr>
                <w:b/>
                <w:color w:val="auto"/>
                <w:sz w:val="24"/>
                <w:highlight w:val="none"/>
              </w:rPr>
            </w:pPr>
          </w:p>
        </w:tc>
        <w:tc>
          <w:tcPr>
            <w:tcW w:w="3449" w:type="dxa"/>
          </w:tcPr>
          <w:p w14:paraId="5C59019F">
            <w:pPr>
              <w:jc w:val="center"/>
              <w:rPr>
                <w:b/>
                <w:color w:val="auto"/>
                <w:sz w:val="24"/>
                <w:highlight w:val="none"/>
              </w:rPr>
            </w:pPr>
          </w:p>
        </w:tc>
        <w:tc>
          <w:tcPr>
            <w:tcW w:w="2414" w:type="dxa"/>
          </w:tcPr>
          <w:p w14:paraId="7C7BE504">
            <w:pPr>
              <w:jc w:val="center"/>
              <w:rPr>
                <w:b/>
                <w:color w:val="auto"/>
                <w:sz w:val="24"/>
                <w:highlight w:val="none"/>
              </w:rPr>
            </w:pPr>
          </w:p>
        </w:tc>
        <w:tc>
          <w:tcPr>
            <w:tcW w:w="1608" w:type="dxa"/>
          </w:tcPr>
          <w:p w14:paraId="11B4E20E">
            <w:pPr>
              <w:jc w:val="center"/>
              <w:rPr>
                <w:b/>
                <w:color w:val="auto"/>
                <w:sz w:val="24"/>
                <w:highlight w:val="none"/>
              </w:rPr>
            </w:pPr>
          </w:p>
        </w:tc>
      </w:tr>
      <w:tr w14:paraId="2CFE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43FC4CF">
            <w:pPr>
              <w:jc w:val="center"/>
              <w:rPr>
                <w:b/>
                <w:color w:val="auto"/>
                <w:sz w:val="24"/>
                <w:highlight w:val="none"/>
              </w:rPr>
            </w:pPr>
          </w:p>
        </w:tc>
        <w:tc>
          <w:tcPr>
            <w:tcW w:w="3449" w:type="dxa"/>
          </w:tcPr>
          <w:p w14:paraId="0BF23694">
            <w:pPr>
              <w:jc w:val="center"/>
              <w:rPr>
                <w:b/>
                <w:color w:val="auto"/>
                <w:sz w:val="24"/>
                <w:highlight w:val="none"/>
              </w:rPr>
            </w:pPr>
          </w:p>
        </w:tc>
        <w:tc>
          <w:tcPr>
            <w:tcW w:w="2414" w:type="dxa"/>
          </w:tcPr>
          <w:p w14:paraId="4874EB40">
            <w:pPr>
              <w:jc w:val="center"/>
              <w:rPr>
                <w:b/>
                <w:color w:val="auto"/>
                <w:sz w:val="24"/>
                <w:highlight w:val="none"/>
              </w:rPr>
            </w:pPr>
          </w:p>
        </w:tc>
        <w:tc>
          <w:tcPr>
            <w:tcW w:w="1608" w:type="dxa"/>
          </w:tcPr>
          <w:p w14:paraId="6ADB1673">
            <w:pPr>
              <w:jc w:val="center"/>
              <w:rPr>
                <w:b/>
                <w:color w:val="auto"/>
                <w:sz w:val="24"/>
                <w:highlight w:val="none"/>
              </w:rPr>
            </w:pPr>
          </w:p>
        </w:tc>
      </w:tr>
      <w:tr w14:paraId="505E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429872F">
            <w:pPr>
              <w:jc w:val="center"/>
              <w:rPr>
                <w:b/>
                <w:color w:val="auto"/>
                <w:sz w:val="24"/>
                <w:highlight w:val="none"/>
              </w:rPr>
            </w:pPr>
          </w:p>
        </w:tc>
        <w:tc>
          <w:tcPr>
            <w:tcW w:w="3449" w:type="dxa"/>
          </w:tcPr>
          <w:p w14:paraId="3D8BEA2E">
            <w:pPr>
              <w:jc w:val="center"/>
              <w:rPr>
                <w:b/>
                <w:color w:val="auto"/>
                <w:sz w:val="24"/>
                <w:highlight w:val="none"/>
              </w:rPr>
            </w:pPr>
          </w:p>
        </w:tc>
        <w:tc>
          <w:tcPr>
            <w:tcW w:w="2414" w:type="dxa"/>
          </w:tcPr>
          <w:p w14:paraId="3B3DB486">
            <w:pPr>
              <w:jc w:val="center"/>
              <w:rPr>
                <w:b/>
                <w:color w:val="auto"/>
                <w:sz w:val="24"/>
                <w:highlight w:val="none"/>
              </w:rPr>
            </w:pPr>
          </w:p>
        </w:tc>
        <w:tc>
          <w:tcPr>
            <w:tcW w:w="1608" w:type="dxa"/>
          </w:tcPr>
          <w:p w14:paraId="276B7686">
            <w:pPr>
              <w:jc w:val="center"/>
              <w:rPr>
                <w:b/>
                <w:color w:val="auto"/>
                <w:sz w:val="24"/>
                <w:highlight w:val="none"/>
              </w:rPr>
            </w:pPr>
          </w:p>
        </w:tc>
      </w:tr>
      <w:tr w14:paraId="7E92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E024141">
            <w:pPr>
              <w:jc w:val="center"/>
              <w:rPr>
                <w:b/>
                <w:color w:val="auto"/>
                <w:sz w:val="24"/>
                <w:highlight w:val="none"/>
              </w:rPr>
            </w:pPr>
          </w:p>
        </w:tc>
        <w:tc>
          <w:tcPr>
            <w:tcW w:w="3449" w:type="dxa"/>
          </w:tcPr>
          <w:p w14:paraId="38E87260">
            <w:pPr>
              <w:jc w:val="center"/>
              <w:rPr>
                <w:b/>
                <w:color w:val="auto"/>
                <w:sz w:val="24"/>
                <w:highlight w:val="none"/>
              </w:rPr>
            </w:pPr>
          </w:p>
        </w:tc>
        <w:tc>
          <w:tcPr>
            <w:tcW w:w="2414" w:type="dxa"/>
          </w:tcPr>
          <w:p w14:paraId="441E3037">
            <w:pPr>
              <w:jc w:val="center"/>
              <w:rPr>
                <w:b/>
                <w:color w:val="auto"/>
                <w:sz w:val="24"/>
                <w:highlight w:val="none"/>
              </w:rPr>
            </w:pPr>
          </w:p>
        </w:tc>
        <w:tc>
          <w:tcPr>
            <w:tcW w:w="1608" w:type="dxa"/>
          </w:tcPr>
          <w:p w14:paraId="31501421">
            <w:pPr>
              <w:jc w:val="center"/>
              <w:rPr>
                <w:b/>
                <w:color w:val="auto"/>
                <w:sz w:val="24"/>
                <w:highlight w:val="none"/>
              </w:rPr>
            </w:pPr>
          </w:p>
        </w:tc>
      </w:tr>
      <w:tr w14:paraId="4D8A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67192B6">
            <w:pPr>
              <w:jc w:val="center"/>
              <w:rPr>
                <w:b/>
                <w:color w:val="auto"/>
                <w:sz w:val="24"/>
                <w:highlight w:val="none"/>
              </w:rPr>
            </w:pPr>
          </w:p>
        </w:tc>
        <w:tc>
          <w:tcPr>
            <w:tcW w:w="3449" w:type="dxa"/>
          </w:tcPr>
          <w:p w14:paraId="204A6AC6">
            <w:pPr>
              <w:jc w:val="center"/>
              <w:rPr>
                <w:b/>
                <w:color w:val="auto"/>
                <w:sz w:val="24"/>
                <w:highlight w:val="none"/>
              </w:rPr>
            </w:pPr>
          </w:p>
        </w:tc>
        <w:tc>
          <w:tcPr>
            <w:tcW w:w="2414" w:type="dxa"/>
          </w:tcPr>
          <w:p w14:paraId="38BCA5EB">
            <w:pPr>
              <w:jc w:val="center"/>
              <w:rPr>
                <w:b/>
                <w:color w:val="auto"/>
                <w:sz w:val="24"/>
                <w:highlight w:val="none"/>
              </w:rPr>
            </w:pPr>
          </w:p>
        </w:tc>
        <w:tc>
          <w:tcPr>
            <w:tcW w:w="1608" w:type="dxa"/>
          </w:tcPr>
          <w:p w14:paraId="73585AC0">
            <w:pPr>
              <w:jc w:val="center"/>
              <w:rPr>
                <w:b/>
                <w:color w:val="auto"/>
                <w:sz w:val="24"/>
                <w:highlight w:val="none"/>
              </w:rPr>
            </w:pPr>
          </w:p>
        </w:tc>
      </w:tr>
      <w:tr w14:paraId="6186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1793471">
            <w:pPr>
              <w:jc w:val="center"/>
              <w:rPr>
                <w:b/>
                <w:color w:val="auto"/>
                <w:sz w:val="24"/>
                <w:highlight w:val="none"/>
              </w:rPr>
            </w:pPr>
          </w:p>
        </w:tc>
        <w:tc>
          <w:tcPr>
            <w:tcW w:w="3449" w:type="dxa"/>
          </w:tcPr>
          <w:p w14:paraId="66211CBF">
            <w:pPr>
              <w:jc w:val="center"/>
              <w:rPr>
                <w:b/>
                <w:color w:val="auto"/>
                <w:sz w:val="24"/>
                <w:highlight w:val="none"/>
              </w:rPr>
            </w:pPr>
          </w:p>
        </w:tc>
        <w:tc>
          <w:tcPr>
            <w:tcW w:w="2414" w:type="dxa"/>
          </w:tcPr>
          <w:p w14:paraId="55678268">
            <w:pPr>
              <w:jc w:val="center"/>
              <w:rPr>
                <w:b/>
                <w:color w:val="auto"/>
                <w:sz w:val="24"/>
                <w:highlight w:val="none"/>
              </w:rPr>
            </w:pPr>
          </w:p>
        </w:tc>
        <w:tc>
          <w:tcPr>
            <w:tcW w:w="1608" w:type="dxa"/>
          </w:tcPr>
          <w:p w14:paraId="59C47C9C">
            <w:pPr>
              <w:jc w:val="center"/>
              <w:rPr>
                <w:b/>
                <w:color w:val="auto"/>
                <w:sz w:val="24"/>
                <w:highlight w:val="none"/>
              </w:rPr>
            </w:pPr>
          </w:p>
        </w:tc>
      </w:tr>
    </w:tbl>
    <w:p w14:paraId="246DA09A">
      <w:pPr>
        <w:spacing w:line="660" w:lineRule="exact"/>
        <w:rPr>
          <w:color w:val="auto"/>
          <w:sz w:val="24"/>
          <w:highlight w:val="none"/>
        </w:rPr>
      </w:pPr>
      <w:r>
        <w:rPr>
          <w:color w:val="auto"/>
          <w:sz w:val="24"/>
          <w:highlight w:val="none"/>
        </w:rPr>
        <w:t>投标人：（盖章）</w:t>
      </w:r>
    </w:p>
    <w:p w14:paraId="511410BD">
      <w:pPr>
        <w:spacing w:line="660" w:lineRule="exact"/>
        <w:rPr>
          <w:color w:val="auto"/>
          <w:sz w:val="24"/>
          <w:highlight w:val="none"/>
        </w:rPr>
      </w:pPr>
      <w:r>
        <w:rPr>
          <w:color w:val="auto"/>
          <w:sz w:val="24"/>
          <w:highlight w:val="none"/>
        </w:rPr>
        <w:t>法定代表人（委托代理人）：（签字）</w:t>
      </w:r>
    </w:p>
    <w:p w14:paraId="3DBD5BBE">
      <w:pPr>
        <w:spacing w:line="660" w:lineRule="exact"/>
        <w:rPr>
          <w:color w:val="auto"/>
          <w:sz w:val="24"/>
          <w:highlight w:val="none"/>
        </w:rPr>
      </w:pPr>
      <w:r>
        <w:rPr>
          <w:color w:val="auto"/>
          <w:sz w:val="24"/>
          <w:highlight w:val="none"/>
        </w:rPr>
        <w:t>日  期：年月日</w:t>
      </w:r>
    </w:p>
    <w:p w14:paraId="551EB96D">
      <w:pPr>
        <w:pStyle w:val="25"/>
        <w:rPr>
          <w:rFonts w:ascii="Times New Roman" w:hAnsi="Times New Roman"/>
          <w:color w:val="auto"/>
          <w:highlight w:val="none"/>
        </w:rPr>
      </w:pPr>
    </w:p>
    <w:p w14:paraId="078992D6">
      <w:pPr>
        <w:pStyle w:val="25"/>
        <w:rPr>
          <w:rFonts w:ascii="Times New Roman" w:hAnsi="Times New Roman"/>
          <w:color w:val="auto"/>
          <w:highlight w:val="none"/>
        </w:rPr>
      </w:pPr>
    </w:p>
    <w:p w14:paraId="57F52C39">
      <w:pPr>
        <w:pStyle w:val="25"/>
        <w:rPr>
          <w:rFonts w:ascii="Times New Roman" w:hAnsi="Times New Roman"/>
          <w:color w:val="auto"/>
          <w:highlight w:val="none"/>
        </w:rPr>
      </w:pPr>
    </w:p>
    <w:p w14:paraId="3D366B3A">
      <w:pPr>
        <w:pStyle w:val="25"/>
        <w:rPr>
          <w:rFonts w:ascii="Times New Roman" w:hAnsi="Times New Roman"/>
          <w:color w:val="auto"/>
          <w:highlight w:val="none"/>
        </w:rPr>
      </w:pPr>
    </w:p>
    <w:p w14:paraId="2A689C73">
      <w:pPr>
        <w:keepNext/>
        <w:keepLines/>
        <w:outlineLvl w:val="1"/>
        <w:rPr>
          <w:b/>
          <w:bCs/>
          <w:color w:val="auto"/>
          <w:sz w:val="24"/>
          <w:szCs w:val="24"/>
          <w:highlight w:val="none"/>
        </w:rPr>
      </w:pPr>
      <w:r>
        <w:rPr>
          <w:b/>
          <w:bCs/>
          <w:color w:val="auto"/>
          <w:sz w:val="24"/>
          <w:szCs w:val="24"/>
          <w:highlight w:val="none"/>
        </w:rPr>
        <w:t>附件6 202</w:t>
      </w:r>
      <w:r>
        <w:rPr>
          <w:rFonts w:hint="eastAsia"/>
          <w:b/>
          <w:bCs/>
          <w:color w:val="auto"/>
          <w:sz w:val="24"/>
          <w:szCs w:val="24"/>
          <w:highlight w:val="none"/>
        </w:rPr>
        <w:t>2</w:t>
      </w:r>
      <w:r>
        <w:rPr>
          <w:b/>
          <w:bCs/>
          <w:color w:val="auto"/>
          <w:sz w:val="24"/>
          <w:szCs w:val="24"/>
          <w:highlight w:val="none"/>
        </w:rPr>
        <w:t>年1月1日以来同类项目业绩一览表</w:t>
      </w:r>
    </w:p>
    <w:p w14:paraId="38C4A7A5">
      <w:pPr>
        <w:spacing w:line="360" w:lineRule="auto"/>
        <w:ind w:firstLine="480" w:firstLineChars="200"/>
        <w:rPr>
          <w:color w:val="auto"/>
          <w:sz w:val="24"/>
          <w:szCs w:val="24"/>
          <w:highlight w:val="none"/>
          <w:u w:val="single"/>
        </w:rPr>
      </w:pPr>
      <w:r>
        <w:rPr>
          <w:color w:val="auto"/>
          <w:sz w:val="24"/>
          <w:szCs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tbl>
      <w:tblPr>
        <w:tblStyle w:val="4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E02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4984265D">
            <w:pPr>
              <w:ind w:left="420" w:hanging="420"/>
              <w:jc w:val="center"/>
              <w:rPr>
                <w:b/>
                <w:color w:val="auto"/>
                <w:szCs w:val="21"/>
                <w:highlight w:val="none"/>
              </w:rPr>
            </w:pPr>
            <w:r>
              <w:rPr>
                <w:b/>
                <w:color w:val="auto"/>
                <w:szCs w:val="21"/>
                <w:highlight w:val="none"/>
              </w:rPr>
              <w:t>序号</w:t>
            </w:r>
          </w:p>
        </w:tc>
        <w:tc>
          <w:tcPr>
            <w:tcW w:w="2082" w:type="dxa"/>
            <w:vAlign w:val="center"/>
          </w:tcPr>
          <w:p w14:paraId="4CF86E6C">
            <w:pPr>
              <w:ind w:left="420" w:hanging="420"/>
              <w:jc w:val="center"/>
              <w:rPr>
                <w:b/>
                <w:color w:val="auto"/>
                <w:szCs w:val="21"/>
                <w:highlight w:val="none"/>
              </w:rPr>
            </w:pPr>
            <w:r>
              <w:rPr>
                <w:b/>
                <w:color w:val="auto"/>
                <w:szCs w:val="21"/>
                <w:highlight w:val="none"/>
              </w:rPr>
              <w:t>采购单位</w:t>
            </w:r>
          </w:p>
        </w:tc>
        <w:tc>
          <w:tcPr>
            <w:tcW w:w="1355" w:type="dxa"/>
            <w:vAlign w:val="center"/>
          </w:tcPr>
          <w:p w14:paraId="58029B77">
            <w:pPr>
              <w:ind w:left="420" w:hanging="420"/>
              <w:jc w:val="center"/>
              <w:rPr>
                <w:b/>
                <w:color w:val="auto"/>
                <w:szCs w:val="21"/>
                <w:highlight w:val="none"/>
              </w:rPr>
            </w:pPr>
            <w:r>
              <w:rPr>
                <w:b/>
                <w:color w:val="auto"/>
                <w:szCs w:val="21"/>
                <w:highlight w:val="none"/>
              </w:rPr>
              <w:t>项目名称</w:t>
            </w:r>
          </w:p>
          <w:p w14:paraId="6BBE153C">
            <w:pPr>
              <w:ind w:left="420" w:hanging="420"/>
              <w:jc w:val="center"/>
              <w:rPr>
                <w:b/>
                <w:color w:val="auto"/>
                <w:szCs w:val="21"/>
                <w:highlight w:val="none"/>
              </w:rPr>
            </w:pPr>
            <w:r>
              <w:rPr>
                <w:b/>
                <w:color w:val="auto"/>
                <w:szCs w:val="21"/>
                <w:highlight w:val="none"/>
              </w:rPr>
              <w:t>（万元）</w:t>
            </w:r>
          </w:p>
        </w:tc>
        <w:tc>
          <w:tcPr>
            <w:tcW w:w="826" w:type="dxa"/>
            <w:vAlign w:val="center"/>
          </w:tcPr>
          <w:p w14:paraId="7CA78B7C">
            <w:pPr>
              <w:jc w:val="center"/>
              <w:rPr>
                <w:b/>
                <w:color w:val="auto"/>
                <w:szCs w:val="21"/>
                <w:highlight w:val="none"/>
              </w:rPr>
            </w:pPr>
            <w:r>
              <w:rPr>
                <w:b/>
                <w:color w:val="auto"/>
                <w:szCs w:val="21"/>
                <w:highlight w:val="none"/>
              </w:rPr>
              <w:t>数量</w:t>
            </w:r>
          </w:p>
        </w:tc>
        <w:tc>
          <w:tcPr>
            <w:tcW w:w="1320" w:type="dxa"/>
            <w:vAlign w:val="center"/>
          </w:tcPr>
          <w:p w14:paraId="771B856C">
            <w:pPr>
              <w:jc w:val="center"/>
              <w:rPr>
                <w:b/>
                <w:color w:val="auto"/>
                <w:szCs w:val="21"/>
                <w:highlight w:val="none"/>
              </w:rPr>
            </w:pPr>
            <w:r>
              <w:rPr>
                <w:b/>
                <w:color w:val="auto"/>
                <w:szCs w:val="21"/>
                <w:highlight w:val="none"/>
              </w:rPr>
              <w:t>合同金额</w:t>
            </w:r>
          </w:p>
        </w:tc>
        <w:tc>
          <w:tcPr>
            <w:tcW w:w="1023" w:type="dxa"/>
            <w:vAlign w:val="center"/>
          </w:tcPr>
          <w:p w14:paraId="156EBE0A">
            <w:pPr>
              <w:jc w:val="center"/>
              <w:rPr>
                <w:b/>
                <w:color w:val="auto"/>
                <w:szCs w:val="21"/>
                <w:highlight w:val="none"/>
              </w:rPr>
            </w:pPr>
            <w:r>
              <w:rPr>
                <w:b/>
                <w:color w:val="auto"/>
                <w:szCs w:val="21"/>
                <w:highlight w:val="none"/>
              </w:rPr>
              <w:t>合同签订时间</w:t>
            </w:r>
          </w:p>
        </w:tc>
        <w:tc>
          <w:tcPr>
            <w:tcW w:w="1590" w:type="dxa"/>
            <w:vAlign w:val="center"/>
          </w:tcPr>
          <w:p w14:paraId="484AEF52">
            <w:pPr>
              <w:ind w:left="420" w:hanging="420"/>
              <w:jc w:val="center"/>
              <w:rPr>
                <w:b/>
                <w:color w:val="auto"/>
                <w:szCs w:val="21"/>
                <w:highlight w:val="none"/>
              </w:rPr>
            </w:pPr>
            <w:r>
              <w:rPr>
                <w:b/>
                <w:color w:val="auto"/>
                <w:szCs w:val="21"/>
                <w:highlight w:val="none"/>
              </w:rPr>
              <w:t>联系人及</w:t>
            </w:r>
          </w:p>
          <w:p w14:paraId="59B47C06">
            <w:pPr>
              <w:ind w:left="420" w:hanging="420"/>
              <w:jc w:val="center"/>
              <w:rPr>
                <w:b/>
                <w:color w:val="auto"/>
                <w:szCs w:val="21"/>
                <w:highlight w:val="none"/>
              </w:rPr>
            </w:pPr>
            <w:r>
              <w:rPr>
                <w:b/>
                <w:color w:val="auto"/>
                <w:szCs w:val="21"/>
                <w:highlight w:val="none"/>
              </w:rPr>
              <w:t>联系电话</w:t>
            </w:r>
          </w:p>
        </w:tc>
      </w:tr>
      <w:tr w14:paraId="3CA9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EB32090">
            <w:pPr>
              <w:ind w:left="420" w:hanging="420"/>
              <w:rPr>
                <w:b/>
                <w:color w:val="auto"/>
                <w:highlight w:val="none"/>
              </w:rPr>
            </w:pPr>
          </w:p>
        </w:tc>
        <w:tc>
          <w:tcPr>
            <w:tcW w:w="2082" w:type="dxa"/>
          </w:tcPr>
          <w:p w14:paraId="5FC7F652">
            <w:pPr>
              <w:ind w:left="420" w:hanging="420"/>
              <w:rPr>
                <w:b/>
                <w:color w:val="auto"/>
                <w:highlight w:val="none"/>
              </w:rPr>
            </w:pPr>
          </w:p>
        </w:tc>
        <w:tc>
          <w:tcPr>
            <w:tcW w:w="1355" w:type="dxa"/>
          </w:tcPr>
          <w:p w14:paraId="5FCFCE45">
            <w:pPr>
              <w:ind w:left="420" w:hanging="420"/>
              <w:rPr>
                <w:b/>
                <w:color w:val="auto"/>
                <w:highlight w:val="none"/>
              </w:rPr>
            </w:pPr>
          </w:p>
        </w:tc>
        <w:tc>
          <w:tcPr>
            <w:tcW w:w="826" w:type="dxa"/>
          </w:tcPr>
          <w:p w14:paraId="5FD0E46D">
            <w:pPr>
              <w:ind w:left="420" w:hanging="420"/>
              <w:rPr>
                <w:b/>
                <w:color w:val="auto"/>
                <w:highlight w:val="none"/>
              </w:rPr>
            </w:pPr>
          </w:p>
        </w:tc>
        <w:tc>
          <w:tcPr>
            <w:tcW w:w="1320" w:type="dxa"/>
          </w:tcPr>
          <w:p w14:paraId="243D87B7">
            <w:pPr>
              <w:ind w:left="420" w:hanging="420"/>
              <w:rPr>
                <w:b/>
                <w:color w:val="auto"/>
                <w:highlight w:val="none"/>
              </w:rPr>
            </w:pPr>
          </w:p>
        </w:tc>
        <w:tc>
          <w:tcPr>
            <w:tcW w:w="1023" w:type="dxa"/>
          </w:tcPr>
          <w:p w14:paraId="03C9707A">
            <w:pPr>
              <w:ind w:left="420" w:hanging="420"/>
              <w:rPr>
                <w:b/>
                <w:color w:val="auto"/>
                <w:highlight w:val="none"/>
              </w:rPr>
            </w:pPr>
          </w:p>
        </w:tc>
        <w:tc>
          <w:tcPr>
            <w:tcW w:w="1590" w:type="dxa"/>
          </w:tcPr>
          <w:p w14:paraId="2FE46263">
            <w:pPr>
              <w:ind w:left="420" w:hanging="420"/>
              <w:rPr>
                <w:b/>
                <w:color w:val="auto"/>
                <w:highlight w:val="none"/>
              </w:rPr>
            </w:pPr>
          </w:p>
        </w:tc>
      </w:tr>
      <w:tr w14:paraId="416C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BB67199">
            <w:pPr>
              <w:ind w:left="420" w:hanging="420"/>
              <w:rPr>
                <w:b/>
                <w:color w:val="auto"/>
                <w:highlight w:val="none"/>
              </w:rPr>
            </w:pPr>
          </w:p>
        </w:tc>
        <w:tc>
          <w:tcPr>
            <w:tcW w:w="2082" w:type="dxa"/>
          </w:tcPr>
          <w:p w14:paraId="507D447F">
            <w:pPr>
              <w:ind w:left="420" w:hanging="420"/>
              <w:rPr>
                <w:b/>
                <w:color w:val="auto"/>
                <w:highlight w:val="none"/>
              </w:rPr>
            </w:pPr>
          </w:p>
        </w:tc>
        <w:tc>
          <w:tcPr>
            <w:tcW w:w="1355" w:type="dxa"/>
          </w:tcPr>
          <w:p w14:paraId="7AD98390">
            <w:pPr>
              <w:ind w:left="420" w:hanging="420"/>
              <w:rPr>
                <w:b/>
                <w:color w:val="auto"/>
                <w:highlight w:val="none"/>
              </w:rPr>
            </w:pPr>
          </w:p>
        </w:tc>
        <w:tc>
          <w:tcPr>
            <w:tcW w:w="826" w:type="dxa"/>
          </w:tcPr>
          <w:p w14:paraId="5827DF9F">
            <w:pPr>
              <w:ind w:left="420" w:hanging="420"/>
              <w:rPr>
                <w:b/>
                <w:color w:val="auto"/>
                <w:highlight w:val="none"/>
              </w:rPr>
            </w:pPr>
          </w:p>
        </w:tc>
        <w:tc>
          <w:tcPr>
            <w:tcW w:w="1320" w:type="dxa"/>
          </w:tcPr>
          <w:p w14:paraId="6AB3D922">
            <w:pPr>
              <w:ind w:left="420" w:hanging="420"/>
              <w:rPr>
                <w:b/>
                <w:color w:val="auto"/>
                <w:highlight w:val="none"/>
              </w:rPr>
            </w:pPr>
          </w:p>
        </w:tc>
        <w:tc>
          <w:tcPr>
            <w:tcW w:w="1023" w:type="dxa"/>
          </w:tcPr>
          <w:p w14:paraId="3D0B41C5">
            <w:pPr>
              <w:ind w:left="420" w:hanging="420"/>
              <w:rPr>
                <w:b/>
                <w:color w:val="auto"/>
                <w:highlight w:val="none"/>
              </w:rPr>
            </w:pPr>
          </w:p>
        </w:tc>
        <w:tc>
          <w:tcPr>
            <w:tcW w:w="1590" w:type="dxa"/>
          </w:tcPr>
          <w:p w14:paraId="1656D79E">
            <w:pPr>
              <w:ind w:left="420" w:hanging="420"/>
              <w:rPr>
                <w:b/>
                <w:color w:val="auto"/>
                <w:highlight w:val="none"/>
              </w:rPr>
            </w:pPr>
          </w:p>
        </w:tc>
      </w:tr>
      <w:tr w14:paraId="4A8A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A9BC23">
            <w:pPr>
              <w:ind w:left="420" w:hanging="420"/>
              <w:rPr>
                <w:b/>
                <w:color w:val="auto"/>
                <w:highlight w:val="none"/>
              </w:rPr>
            </w:pPr>
          </w:p>
        </w:tc>
        <w:tc>
          <w:tcPr>
            <w:tcW w:w="2082" w:type="dxa"/>
          </w:tcPr>
          <w:p w14:paraId="1BE11307">
            <w:pPr>
              <w:ind w:left="420" w:hanging="420"/>
              <w:rPr>
                <w:b/>
                <w:color w:val="auto"/>
                <w:highlight w:val="none"/>
              </w:rPr>
            </w:pPr>
          </w:p>
        </w:tc>
        <w:tc>
          <w:tcPr>
            <w:tcW w:w="1355" w:type="dxa"/>
          </w:tcPr>
          <w:p w14:paraId="0BC183C0">
            <w:pPr>
              <w:ind w:left="420" w:hanging="420"/>
              <w:rPr>
                <w:b/>
                <w:color w:val="auto"/>
                <w:highlight w:val="none"/>
              </w:rPr>
            </w:pPr>
          </w:p>
        </w:tc>
        <w:tc>
          <w:tcPr>
            <w:tcW w:w="826" w:type="dxa"/>
          </w:tcPr>
          <w:p w14:paraId="730A227B">
            <w:pPr>
              <w:ind w:left="420" w:hanging="420"/>
              <w:rPr>
                <w:b/>
                <w:color w:val="auto"/>
                <w:highlight w:val="none"/>
              </w:rPr>
            </w:pPr>
          </w:p>
        </w:tc>
        <w:tc>
          <w:tcPr>
            <w:tcW w:w="1320" w:type="dxa"/>
          </w:tcPr>
          <w:p w14:paraId="13DC4DAF">
            <w:pPr>
              <w:ind w:left="420" w:hanging="420"/>
              <w:rPr>
                <w:b/>
                <w:color w:val="auto"/>
                <w:highlight w:val="none"/>
              </w:rPr>
            </w:pPr>
          </w:p>
        </w:tc>
        <w:tc>
          <w:tcPr>
            <w:tcW w:w="1023" w:type="dxa"/>
          </w:tcPr>
          <w:p w14:paraId="5E9E3E01">
            <w:pPr>
              <w:ind w:left="420" w:hanging="420"/>
              <w:rPr>
                <w:b/>
                <w:color w:val="auto"/>
                <w:highlight w:val="none"/>
              </w:rPr>
            </w:pPr>
          </w:p>
        </w:tc>
        <w:tc>
          <w:tcPr>
            <w:tcW w:w="1590" w:type="dxa"/>
          </w:tcPr>
          <w:p w14:paraId="26CCD9A8">
            <w:pPr>
              <w:ind w:left="420" w:hanging="420"/>
              <w:rPr>
                <w:b/>
                <w:color w:val="auto"/>
                <w:highlight w:val="none"/>
              </w:rPr>
            </w:pPr>
          </w:p>
        </w:tc>
      </w:tr>
      <w:tr w14:paraId="09AF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35A6B8E">
            <w:pPr>
              <w:ind w:left="420" w:hanging="420"/>
              <w:rPr>
                <w:b/>
                <w:color w:val="auto"/>
                <w:highlight w:val="none"/>
              </w:rPr>
            </w:pPr>
          </w:p>
        </w:tc>
        <w:tc>
          <w:tcPr>
            <w:tcW w:w="2082" w:type="dxa"/>
          </w:tcPr>
          <w:p w14:paraId="3C3EF379">
            <w:pPr>
              <w:ind w:left="420" w:hanging="420"/>
              <w:rPr>
                <w:b/>
                <w:color w:val="auto"/>
                <w:highlight w:val="none"/>
              </w:rPr>
            </w:pPr>
          </w:p>
        </w:tc>
        <w:tc>
          <w:tcPr>
            <w:tcW w:w="1355" w:type="dxa"/>
          </w:tcPr>
          <w:p w14:paraId="5040F246">
            <w:pPr>
              <w:ind w:left="420" w:hanging="420"/>
              <w:rPr>
                <w:b/>
                <w:color w:val="auto"/>
                <w:highlight w:val="none"/>
              </w:rPr>
            </w:pPr>
          </w:p>
        </w:tc>
        <w:tc>
          <w:tcPr>
            <w:tcW w:w="826" w:type="dxa"/>
          </w:tcPr>
          <w:p w14:paraId="2C60E3E1">
            <w:pPr>
              <w:ind w:left="420" w:hanging="420"/>
              <w:rPr>
                <w:b/>
                <w:color w:val="auto"/>
                <w:highlight w:val="none"/>
              </w:rPr>
            </w:pPr>
          </w:p>
        </w:tc>
        <w:tc>
          <w:tcPr>
            <w:tcW w:w="1320" w:type="dxa"/>
          </w:tcPr>
          <w:p w14:paraId="324CD0D5">
            <w:pPr>
              <w:ind w:left="420" w:hanging="420"/>
              <w:rPr>
                <w:b/>
                <w:color w:val="auto"/>
                <w:highlight w:val="none"/>
              </w:rPr>
            </w:pPr>
          </w:p>
        </w:tc>
        <w:tc>
          <w:tcPr>
            <w:tcW w:w="1023" w:type="dxa"/>
          </w:tcPr>
          <w:p w14:paraId="1AD82073">
            <w:pPr>
              <w:ind w:left="420" w:hanging="420"/>
              <w:rPr>
                <w:b/>
                <w:color w:val="auto"/>
                <w:highlight w:val="none"/>
              </w:rPr>
            </w:pPr>
          </w:p>
        </w:tc>
        <w:tc>
          <w:tcPr>
            <w:tcW w:w="1590" w:type="dxa"/>
          </w:tcPr>
          <w:p w14:paraId="34A9A911">
            <w:pPr>
              <w:ind w:left="420" w:hanging="420"/>
              <w:rPr>
                <w:b/>
                <w:color w:val="auto"/>
                <w:highlight w:val="none"/>
              </w:rPr>
            </w:pPr>
          </w:p>
        </w:tc>
      </w:tr>
      <w:tr w14:paraId="2C4C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0ED5F8">
            <w:pPr>
              <w:ind w:left="420" w:hanging="420"/>
              <w:rPr>
                <w:b/>
                <w:color w:val="auto"/>
                <w:highlight w:val="none"/>
              </w:rPr>
            </w:pPr>
          </w:p>
        </w:tc>
        <w:tc>
          <w:tcPr>
            <w:tcW w:w="2082" w:type="dxa"/>
          </w:tcPr>
          <w:p w14:paraId="7BF637AA">
            <w:pPr>
              <w:ind w:left="420" w:hanging="420"/>
              <w:rPr>
                <w:b/>
                <w:color w:val="auto"/>
                <w:highlight w:val="none"/>
              </w:rPr>
            </w:pPr>
          </w:p>
        </w:tc>
        <w:tc>
          <w:tcPr>
            <w:tcW w:w="1355" w:type="dxa"/>
          </w:tcPr>
          <w:p w14:paraId="25DECC98">
            <w:pPr>
              <w:ind w:left="420" w:hanging="420"/>
              <w:rPr>
                <w:b/>
                <w:color w:val="auto"/>
                <w:highlight w:val="none"/>
              </w:rPr>
            </w:pPr>
          </w:p>
        </w:tc>
        <w:tc>
          <w:tcPr>
            <w:tcW w:w="826" w:type="dxa"/>
          </w:tcPr>
          <w:p w14:paraId="12C3D0BB">
            <w:pPr>
              <w:ind w:left="420" w:hanging="420"/>
              <w:rPr>
                <w:b/>
                <w:color w:val="auto"/>
                <w:highlight w:val="none"/>
              </w:rPr>
            </w:pPr>
          </w:p>
        </w:tc>
        <w:tc>
          <w:tcPr>
            <w:tcW w:w="1320" w:type="dxa"/>
          </w:tcPr>
          <w:p w14:paraId="4534C274">
            <w:pPr>
              <w:ind w:left="420" w:hanging="420"/>
              <w:rPr>
                <w:b/>
                <w:color w:val="auto"/>
                <w:highlight w:val="none"/>
              </w:rPr>
            </w:pPr>
          </w:p>
        </w:tc>
        <w:tc>
          <w:tcPr>
            <w:tcW w:w="1023" w:type="dxa"/>
          </w:tcPr>
          <w:p w14:paraId="75D97C94">
            <w:pPr>
              <w:ind w:left="420" w:hanging="420"/>
              <w:rPr>
                <w:b/>
                <w:color w:val="auto"/>
                <w:highlight w:val="none"/>
              </w:rPr>
            </w:pPr>
          </w:p>
        </w:tc>
        <w:tc>
          <w:tcPr>
            <w:tcW w:w="1590" w:type="dxa"/>
          </w:tcPr>
          <w:p w14:paraId="6F37DC5F">
            <w:pPr>
              <w:ind w:left="420" w:hanging="420"/>
              <w:rPr>
                <w:b/>
                <w:color w:val="auto"/>
                <w:highlight w:val="none"/>
              </w:rPr>
            </w:pPr>
          </w:p>
        </w:tc>
      </w:tr>
      <w:tr w14:paraId="7368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311C22">
            <w:pPr>
              <w:ind w:left="420" w:hanging="420"/>
              <w:rPr>
                <w:b/>
                <w:color w:val="auto"/>
                <w:highlight w:val="none"/>
              </w:rPr>
            </w:pPr>
          </w:p>
        </w:tc>
        <w:tc>
          <w:tcPr>
            <w:tcW w:w="2082" w:type="dxa"/>
          </w:tcPr>
          <w:p w14:paraId="0D07BD7E">
            <w:pPr>
              <w:ind w:left="420" w:hanging="420"/>
              <w:rPr>
                <w:b/>
                <w:color w:val="auto"/>
                <w:highlight w:val="none"/>
              </w:rPr>
            </w:pPr>
          </w:p>
        </w:tc>
        <w:tc>
          <w:tcPr>
            <w:tcW w:w="1355" w:type="dxa"/>
          </w:tcPr>
          <w:p w14:paraId="7674BDEB">
            <w:pPr>
              <w:ind w:left="420" w:hanging="420"/>
              <w:rPr>
                <w:b/>
                <w:color w:val="auto"/>
                <w:highlight w:val="none"/>
              </w:rPr>
            </w:pPr>
          </w:p>
        </w:tc>
        <w:tc>
          <w:tcPr>
            <w:tcW w:w="826" w:type="dxa"/>
          </w:tcPr>
          <w:p w14:paraId="1B5DCB86">
            <w:pPr>
              <w:ind w:left="420" w:hanging="420"/>
              <w:rPr>
                <w:b/>
                <w:color w:val="auto"/>
                <w:highlight w:val="none"/>
              </w:rPr>
            </w:pPr>
          </w:p>
        </w:tc>
        <w:tc>
          <w:tcPr>
            <w:tcW w:w="1320" w:type="dxa"/>
          </w:tcPr>
          <w:p w14:paraId="6BD1B5C1">
            <w:pPr>
              <w:ind w:left="420" w:hanging="420"/>
              <w:rPr>
                <w:b/>
                <w:color w:val="auto"/>
                <w:highlight w:val="none"/>
              </w:rPr>
            </w:pPr>
          </w:p>
        </w:tc>
        <w:tc>
          <w:tcPr>
            <w:tcW w:w="1023" w:type="dxa"/>
          </w:tcPr>
          <w:p w14:paraId="417CEDE0">
            <w:pPr>
              <w:ind w:left="420" w:hanging="420"/>
              <w:rPr>
                <w:b/>
                <w:color w:val="auto"/>
                <w:highlight w:val="none"/>
              </w:rPr>
            </w:pPr>
          </w:p>
        </w:tc>
        <w:tc>
          <w:tcPr>
            <w:tcW w:w="1590" w:type="dxa"/>
          </w:tcPr>
          <w:p w14:paraId="2E089161">
            <w:pPr>
              <w:ind w:left="420" w:hanging="420"/>
              <w:rPr>
                <w:b/>
                <w:color w:val="auto"/>
                <w:highlight w:val="none"/>
              </w:rPr>
            </w:pPr>
          </w:p>
        </w:tc>
      </w:tr>
      <w:tr w14:paraId="2CDA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A04FD6">
            <w:pPr>
              <w:ind w:left="420" w:hanging="420"/>
              <w:rPr>
                <w:b/>
                <w:color w:val="auto"/>
                <w:highlight w:val="none"/>
              </w:rPr>
            </w:pPr>
          </w:p>
        </w:tc>
        <w:tc>
          <w:tcPr>
            <w:tcW w:w="2082" w:type="dxa"/>
          </w:tcPr>
          <w:p w14:paraId="7DB2E556">
            <w:pPr>
              <w:ind w:left="420" w:hanging="420"/>
              <w:rPr>
                <w:b/>
                <w:color w:val="auto"/>
                <w:highlight w:val="none"/>
              </w:rPr>
            </w:pPr>
          </w:p>
        </w:tc>
        <w:tc>
          <w:tcPr>
            <w:tcW w:w="1355" w:type="dxa"/>
          </w:tcPr>
          <w:p w14:paraId="569D0986">
            <w:pPr>
              <w:ind w:left="420" w:hanging="420"/>
              <w:rPr>
                <w:b/>
                <w:color w:val="auto"/>
                <w:highlight w:val="none"/>
              </w:rPr>
            </w:pPr>
          </w:p>
        </w:tc>
        <w:tc>
          <w:tcPr>
            <w:tcW w:w="826" w:type="dxa"/>
          </w:tcPr>
          <w:p w14:paraId="4315AA4F">
            <w:pPr>
              <w:ind w:left="420" w:hanging="420"/>
              <w:rPr>
                <w:b/>
                <w:color w:val="auto"/>
                <w:highlight w:val="none"/>
              </w:rPr>
            </w:pPr>
          </w:p>
        </w:tc>
        <w:tc>
          <w:tcPr>
            <w:tcW w:w="1320" w:type="dxa"/>
          </w:tcPr>
          <w:p w14:paraId="4FA8E8F0">
            <w:pPr>
              <w:ind w:left="420" w:hanging="420"/>
              <w:rPr>
                <w:b/>
                <w:color w:val="auto"/>
                <w:highlight w:val="none"/>
              </w:rPr>
            </w:pPr>
          </w:p>
        </w:tc>
        <w:tc>
          <w:tcPr>
            <w:tcW w:w="1023" w:type="dxa"/>
          </w:tcPr>
          <w:p w14:paraId="5D843C6D">
            <w:pPr>
              <w:ind w:left="420" w:hanging="420"/>
              <w:rPr>
                <w:b/>
                <w:color w:val="auto"/>
                <w:highlight w:val="none"/>
              </w:rPr>
            </w:pPr>
          </w:p>
        </w:tc>
        <w:tc>
          <w:tcPr>
            <w:tcW w:w="1590" w:type="dxa"/>
          </w:tcPr>
          <w:p w14:paraId="622F05FB">
            <w:pPr>
              <w:ind w:left="420" w:hanging="420"/>
              <w:rPr>
                <w:b/>
                <w:color w:val="auto"/>
                <w:highlight w:val="none"/>
              </w:rPr>
            </w:pPr>
          </w:p>
        </w:tc>
      </w:tr>
      <w:tr w14:paraId="4DC2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354181E">
            <w:pPr>
              <w:ind w:left="420" w:hanging="420"/>
              <w:rPr>
                <w:b/>
                <w:color w:val="auto"/>
                <w:highlight w:val="none"/>
              </w:rPr>
            </w:pPr>
          </w:p>
        </w:tc>
        <w:tc>
          <w:tcPr>
            <w:tcW w:w="2082" w:type="dxa"/>
          </w:tcPr>
          <w:p w14:paraId="29A74E5F">
            <w:pPr>
              <w:ind w:left="420" w:hanging="420"/>
              <w:rPr>
                <w:b/>
                <w:color w:val="auto"/>
                <w:highlight w:val="none"/>
              </w:rPr>
            </w:pPr>
          </w:p>
        </w:tc>
        <w:tc>
          <w:tcPr>
            <w:tcW w:w="1355" w:type="dxa"/>
          </w:tcPr>
          <w:p w14:paraId="4580D988">
            <w:pPr>
              <w:ind w:left="420" w:hanging="420"/>
              <w:rPr>
                <w:b/>
                <w:color w:val="auto"/>
                <w:highlight w:val="none"/>
              </w:rPr>
            </w:pPr>
          </w:p>
        </w:tc>
        <w:tc>
          <w:tcPr>
            <w:tcW w:w="826" w:type="dxa"/>
          </w:tcPr>
          <w:p w14:paraId="7AA664DD">
            <w:pPr>
              <w:ind w:left="420" w:hanging="420"/>
              <w:rPr>
                <w:b/>
                <w:color w:val="auto"/>
                <w:highlight w:val="none"/>
              </w:rPr>
            </w:pPr>
          </w:p>
        </w:tc>
        <w:tc>
          <w:tcPr>
            <w:tcW w:w="1320" w:type="dxa"/>
          </w:tcPr>
          <w:p w14:paraId="1AEDB9C8">
            <w:pPr>
              <w:ind w:left="420" w:hanging="420"/>
              <w:rPr>
                <w:b/>
                <w:color w:val="auto"/>
                <w:highlight w:val="none"/>
              </w:rPr>
            </w:pPr>
          </w:p>
        </w:tc>
        <w:tc>
          <w:tcPr>
            <w:tcW w:w="1023" w:type="dxa"/>
          </w:tcPr>
          <w:p w14:paraId="7323D9AD">
            <w:pPr>
              <w:ind w:left="420" w:hanging="420"/>
              <w:rPr>
                <w:b/>
                <w:color w:val="auto"/>
                <w:highlight w:val="none"/>
              </w:rPr>
            </w:pPr>
          </w:p>
        </w:tc>
        <w:tc>
          <w:tcPr>
            <w:tcW w:w="1590" w:type="dxa"/>
          </w:tcPr>
          <w:p w14:paraId="043BD717">
            <w:pPr>
              <w:ind w:left="420" w:hanging="420"/>
              <w:rPr>
                <w:b/>
                <w:color w:val="auto"/>
                <w:highlight w:val="none"/>
              </w:rPr>
            </w:pPr>
          </w:p>
        </w:tc>
      </w:tr>
      <w:tr w14:paraId="0E56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B00FA3D">
            <w:pPr>
              <w:ind w:left="420" w:hanging="420"/>
              <w:rPr>
                <w:b/>
                <w:color w:val="auto"/>
                <w:highlight w:val="none"/>
              </w:rPr>
            </w:pPr>
          </w:p>
        </w:tc>
        <w:tc>
          <w:tcPr>
            <w:tcW w:w="2082" w:type="dxa"/>
          </w:tcPr>
          <w:p w14:paraId="4CCC6D1D">
            <w:pPr>
              <w:ind w:left="420" w:hanging="420"/>
              <w:rPr>
                <w:b/>
                <w:color w:val="auto"/>
                <w:highlight w:val="none"/>
              </w:rPr>
            </w:pPr>
          </w:p>
        </w:tc>
        <w:tc>
          <w:tcPr>
            <w:tcW w:w="1355" w:type="dxa"/>
          </w:tcPr>
          <w:p w14:paraId="709546D4">
            <w:pPr>
              <w:ind w:left="420" w:hanging="420"/>
              <w:rPr>
                <w:b/>
                <w:color w:val="auto"/>
                <w:highlight w:val="none"/>
              </w:rPr>
            </w:pPr>
          </w:p>
        </w:tc>
        <w:tc>
          <w:tcPr>
            <w:tcW w:w="826" w:type="dxa"/>
          </w:tcPr>
          <w:p w14:paraId="1F1D3050">
            <w:pPr>
              <w:ind w:left="420" w:hanging="420"/>
              <w:rPr>
                <w:b/>
                <w:color w:val="auto"/>
                <w:highlight w:val="none"/>
              </w:rPr>
            </w:pPr>
          </w:p>
        </w:tc>
        <w:tc>
          <w:tcPr>
            <w:tcW w:w="1320" w:type="dxa"/>
          </w:tcPr>
          <w:p w14:paraId="233111B8">
            <w:pPr>
              <w:ind w:left="420" w:hanging="420"/>
              <w:rPr>
                <w:b/>
                <w:color w:val="auto"/>
                <w:highlight w:val="none"/>
              </w:rPr>
            </w:pPr>
          </w:p>
        </w:tc>
        <w:tc>
          <w:tcPr>
            <w:tcW w:w="1023" w:type="dxa"/>
          </w:tcPr>
          <w:p w14:paraId="49D123CF">
            <w:pPr>
              <w:ind w:left="420" w:hanging="420"/>
              <w:rPr>
                <w:b/>
                <w:color w:val="auto"/>
                <w:highlight w:val="none"/>
              </w:rPr>
            </w:pPr>
          </w:p>
        </w:tc>
        <w:tc>
          <w:tcPr>
            <w:tcW w:w="1590" w:type="dxa"/>
          </w:tcPr>
          <w:p w14:paraId="5C8A34FC">
            <w:pPr>
              <w:ind w:left="420" w:hanging="420"/>
              <w:rPr>
                <w:b/>
                <w:color w:val="auto"/>
                <w:highlight w:val="none"/>
              </w:rPr>
            </w:pPr>
          </w:p>
        </w:tc>
      </w:tr>
      <w:tr w14:paraId="5786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87C9042">
            <w:pPr>
              <w:ind w:left="420" w:hanging="420"/>
              <w:rPr>
                <w:b/>
                <w:color w:val="auto"/>
                <w:highlight w:val="none"/>
              </w:rPr>
            </w:pPr>
          </w:p>
        </w:tc>
        <w:tc>
          <w:tcPr>
            <w:tcW w:w="2082" w:type="dxa"/>
          </w:tcPr>
          <w:p w14:paraId="7ED07BA0">
            <w:pPr>
              <w:ind w:left="420" w:hanging="420"/>
              <w:rPr>
                <w:b/>
                <w:color w:val="auto"/>
                <w:highlight w:val="none"/>
              </w:rPr>
            </w:pPr>
          </w:p>
        </w:tc>
        <w:tc>
          <w:tcPr>
            <w:tcW w:w="1355" w:type="dxa"/>
          </w:tcPr>
          <w:p w14:paraId="5CCB35D9">
            <w:pPr>
              <w:ind w:left="420" w:hanging="420"/>
              <w:rPr>
                <w:b/>
                <w:color w:val="auto"/>
                <w:highlight w:val="none"/>
              </w:rPr>
            </w:pPr>
          </w:p>
        </w:tc>
        <w:tc>
          <w:tcPr>
            <w:tcW w:w="826" w:type="dxa"/>
          </w:tcPr>
          <w:p w14:paraId="23DFF626">
            <w:pPr>
              <w:ind w:left="420" w:hanging="420"/>
              <w:rPr>
                <w:b/>
                <w:color w:val="auto"/>
                <w:highlight w:val="none"/>
              </w:rPr>
            </w:pPr>
          </w:p>
        </w:tc>
        <w:tc>
          <w:tcPr>
            <w:tcW w:w="1320" w:type="dxa"/>
          </w:tcPr>
          <w:p w14:paraId="31F9BC9D">
            <w:pPr>
              <w:ind w:left="420" w:hanging="420"/>
              <w:rPr>
                <w:b/>
                <w:color w:val="auto"/>
                <w:highlight w:val="none"/>
              </w:rPr>
            </w:pPr>
          </w:p>
        </w:tc>
        <w:tc>
          <w:tcPr>
            <w:tcW w:w="1023" w:type="dxa"/>
          </w:tcPr>
          <w:p w14:paraId="5B64D5F6">
            <w:pPr>
              <w:ind w:left="420" w:hanging="420"/>
              <w:rPr>
                <w:b/>
                <w:color w:val="auto"/>
                <w:highlight w:val="none"/>
              </w:rPr>
            </w:pPr>
          </w:p>
        </w:tc>
        <w:tc>
          <w:tcPr>
            <w:tcW w:w="1590" w:type="dxa"/>
          </w:tcPr>
          <w:p w14:paraId="583C38E2">
            <w:pPr>
              <w:ind w:left="420" w:hanging="420"/>
              <w:rPr>
                <w:b/>
                <w:color w:val="auto"/>
                <w:highlight w:val="none"/>
              </w:rPr>
            </w:pPr>
          </w:p>
        </w:tc>
      </w:tr>
      <w:tr w14:paraId="7739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EC2FD3">
            <w:pPr>
              <w:ind w:left="420" w:hanging="420"/>
              <w:rPr>
                <w:b/>
                <w:color w:val="auto"/>
                <w:highlight w:val="none"/>
              </w:rPr>
            </w:pPr>
          </w:p>
        </w:tc>
        <w:tc>
          <w:tcPr>
            <w:tcW w:w="2082" w:type="dxa"/>
          </w:tcPr>
          <w:p w14:paraId="2DEE9B47">
            <w:pPr>
              <w:ind w:left="420" w:hanging="420"/>
              <w:rPr>
                <w:b/>
                <w:color w:val="auto"/>
                <w:highlight w:val="none"/>
              </w:rPr>
            </w:pPr>
          </w:p>
        </w:tc>
        <w:tc>
          <w:tcPr>
            <w:tcW w:w="1355" w:type="dxa"/>
          </w:tcPr>
          <w:p w14:paraId="1405C545">
            <w:pPr>
              <w:ind w:left="420" w:hanging="420"/>
              <w:rPr>
                <w:b/>
                <w:color w:val="auto"/>
                <w:highlight w:val="none"/>
              </w:rPr>
            </w:pPr>
          </w:p>
        </w:tc>
        <w:tc>
          <w:tcPr>
            <w:tcW w:w="826" w:type="dxa"/>
          </w:tcPr>
          <w:p w14:paraId="659E7862">
            <w:pPr>
              <w:ind w:left="420" w:hanging="420"/>
              <w:rPr>
                <w:b/>
                <w:color w:val="auto"/>
                <w:highlight w:val="none"/>
              </w:rPr>
            </w:pPr>
          </w:p>
        </w:tc>
        <w:tc>
          <w:tcPr>
            <w:tcW w:w="1320" w:type="dxa"/>
          </w:tcPr>
          <w:p w14:paraId="498EC09A">
            <w:pPr>
              <w:ind w:left="420" w:hanging="420"/>
              <w:rPr>
                <w:b/>
                <w:color w:val="auto"/>
                <w:highlight w:val="none"/>
              </w:rPr>
            </w:pPr>
          </w:p>
        </w:tc>
        <w:tc>
          <w:tcPr>
            <w:tcW w:w="1023" w:type="dxa"/>
          </w:tcPr>
          <w:p w14:paraId="1AFADA09">
            <w:pPr>
              <w:ind w:left="420" w:hanging="420"/>
              <w:rPr>
                <w:b/>
                <w:color w:val="auto"/>
                <w:highlight w:val="none"/>
              </w:rPr>
            </w:pPr>
          </w:p>
        </w:tc>
        <w:tc>
          <w:tcPr>
            <w:tcW w:w="1590" w:type="dxa"/>
          </w:tcPr>
          <w:p w14:paraId="4971027C">
            <w:pPr>
              <w:ind w:left="420" w:hanging="420"/>
              <w:rPr>
                <w:b/>
                <w:color w:val="auto"/>
                <w:highlight w:val="none"/>
              </w:rPr>
            </w:pPr>
          </w:p>
        </w:tc>
      </w:tr>
      <w:tr w14:paraId="6A6A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0C53CAF">
            <w:pPr>
              <w:ind w:left="420" w:hanging="420"/>
              <w:rPr>
                <w:b/>
                <w:color w:val="auto"/>
                <w:highlight w:val="none"/>
              </w:rPr>
            </w:pPr>
          </w:p>
        </w:tc>
        <w:tc>
          <w:tcPr>
            <w:tcW w:w="2082" w:type="dxa"/>
          </w:tcPr>
          <w:p w14:paraId="793594FE">
            <w:pPr>
              <w:ind w:left="420" w:hanging="420"/>
              <w:rPr>
                <w:b/>
                <w:color w:val="auto"/>
                <w:highlight w:val="none"/>
              </w:rPr>
            </w:pPr>
          </w:p>
        </w:tc>
        <w:tc>
          <w:tcPr>
            <w:tcW w:w="1355" w:type="dxa"/>
          </w:tcPr>
          <w:p w14:paraId="40E0F245">
            <w:pPr>
              <w:ind w:left="420" w:hanging="420"/>
              <w:rPr>
                <w:b/>
                <w:color w:val="auto"/>
                <w:highlight w:val="none"/>
              </w:rPr>
            </w:pPr>
          </w:p>
        </w:tc>
        <w:tc>
          <w:tcPr>
            <w:tcW w:w="826" w:type="dxa"/>
          </w:tcPr>
          <w:p w14:paraId="4BB18176">
            <w:pPr>
              <w:ind w:left="420" w:hanging="420"/>
              <w:rPr>
                <w:b/>
                <w:color w:val="auto"/>
                <w:highlight w:val="none"/>
              </w:rPr>
            </w:pPr>
          </w:p>
        </w:tc>
        <w:tc>
          <w:tcPr>
            <w:tcW w:w="1320" w:type="dxa"/>
          </w:tcPr>
          <w:p w14:paraId="3B308D49">
            <w:pPr>
              <w:ind w:left="420" w:hanging="420"/>
              <w:rPr>
                <w:b/>
                <w:color w:val="auto"/>
                <w:highlight w:val="none"/>
              </w:rPr>
            </w:pPr>
          </w:p>
        </w:tc>
        <w:tc>
          <w:tcPr>
            <w:tcW w:w="1023" w:type="dxa"/>
          </w:tcPr>
          <w:p w14:paraId="0B4E3672">
            <w:pPr>
              <w:ind w:left="420" w:hanging="420"/>
              <w:rPr>
                <w:b/>
                <w:color w:val="auto"/>
                <w:highlight w:val="none"/>
              </w:rPr>
            </w:pPr>
          </w:p>
        </w:tc>
        <w:tc>
          <w:tcPr>
            <w:tcW w:w="1590" w:type="dxa"/>
          </w:tcPr>
          <w:p w14:paraId="181BC90A">
            <w:pPr>
              <w:ind w:left="420" w:hanging="420"/>
              <w:rPr>
                <w:b/>
                <w:color w:val="auto"/>
                <w:highlight w:val="none"/>
              </w:rPr>
            </w:pPr>
          </w:p>
        </w:tc>
      </w:tr>
      <w:tr w14:paraId="2CE5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5DCE548F">
            <w:pPr>
              <w:ind w:left="420" w:hanging="420"/>
              <w:rPr>
                <w:b/>
                <w:color w:val="auto"/>
                <w:highlight w:val="none"/>
              </w:rPr>
            </w:pPr>
            <w:r>
              <w:rPr>
                <w:b/>
                <w:color w:val="auto"/>
                <w:highlight w:val="none"/>
              </w:rPr>
              <w:t>202</w:t>
            </w:r>
            <w:r>
              <w:rPr>
                <w:rFonts w:hint="eastAsia"/>
                <w:b/>
                <w:color w:val="auto"/>
                <w:highlight w:val="none"/>
              </w:rPr>
              <w:t>2</w:t>
            </w:r>
            <w:r>
              <w:rPr>
                <w:b/>
                <w:color w:val="auto"/>
                <w:highlight w:val="none"/>
              </w:rPr>
              <w:t>年1月1日至今所有业绩合同总额汇总（必填）</w:t>
            </w:r>
          </w:p>
        </w:tc>
        <w:tc>
          <w:tcPr>
            <w:tcW w:w="826" w:type="dxa"/>
          </w:tcPr>
          <w:p w14:paraId="3ED38133">
            <w:pPr>
              <w:ind w:left="420" w:hanging="420"/>
              <w:rPr>
                <w:b/>
                <w:color w:val="auto"/>
                <w:highlight w:val="none"/>
              </w:rPr>
            </w:pPr>
          </w:p>
        </w:tc>
        <w:tc>
          <w:tcPr>
            <w:tcW w:w="1320" w:type="dxa"/>
          </w:tcPr>
          <w:p w14:paraId="78C38CDB">
            <w:pPr>
              <w:ind w:left="420" w:hanging="420"/>
              <w:rPr>
                <w:b/>
                <w:color w:val="auto"/>
                <w:highlight w:val="none"/>
              </w:rPr>
            </w:pPr>
          </w:p>
        </w:tc>
        <w:tc>
          <w:tcPr>
            <w:tcW w:w="1023" w:type="dxa"/>
          </w:tcPr>
          <w:p w14:paraId="3C23EC67">
            <w:pPr>
              <w:ind w:left="420" w:hanging="420"/>
              <w:rPr>
                <w:b/>
                <w:color w:val="auto"/>
                <w:highlight w:val="none"/>
              </w:rPr>
            </w:pPr>
          </w:p>
        </w:tc>
        <w:tc>
          <w:tcPr>
            <w:tcW w:w="1590" w:type="dxa"/>
          </w:tcPr>
          <w:p w14:paraId="7B546F89">
            <w:pPr>
              <w:ind w:left="420" w:hanging="420"/>
              <w:rPr>
                <w:b/>
                <w:color w:val="auto"/>
                <w:highlight w:val="none"/>
              </w:rPr>
            </w:pPr>
          </w:p>
        </w:tc>
      </w:tr>
    </w:tbl>
    <w:p w14:paraId="6649577C">
      <w:pPr>
        <w:spacing w:line="240" w:lineRule="atLeast"/>
        <w:rPr>
          <w:color w:val="auto"/>
          <w:sz w:val="24"/>
          <w:highlight w:val="none"/>
        </w:rPr>
      </w:pPr>
      <w:r>
        <w:rPr>
          <w:color w:val="auto"/>
          <w:sz w:val="24"/>
          <w:highlight w:val="none"/>
        </w:rPr>
        <w:t>注：</w:t>
      </w:r>
      <w:r>
        <w:rPr>
          <w:color w:val="auto"/>
          <w:kern w:val="0"/>
          <w:sz w:val="24"/>
          <w:highlight w:val="none"/>
        </w:rPr>
        <w:t>提供202</w:t>
      </w:r>
      <w:r>
        <w:rPr>
          <w:rFonts w:hint="eastAsia"/>
          <w:color w:val="auto"/>
          <w:kern w:val="0"/>
          <w:sz w:val="24"/>
          <w:highlight w:val="none"/>
        </w:rPr>
        <w:t>2</w:t>
      </w:r>
      <w:r>
        <w:rPr>
          <w:color w:val="auto"/>
          <w:kern w:val="0"/>
          <w:sz w:val="24"/>
          <w:highlight w:val="none"/>
        </w:rPr>
        <w:t>年1月1日以来同类产品的制造销售业绩（用户名单、联系方式）</w:t>
      </w:r>
      <w:r>
        <w:rPr>
          <w:color w:val="auto"/>
          <w:sz w:val="24"/>
          <w:highlight w:val="none"/>
        </w:rPr>
        <w:t>，并附合同复印件。</w:t>
      </w:r>
      <w:r>
        <w:rPr>
          <w:color w:val="auto"/>
          <w:kern w:val="0"/>
          <w:sz w:val="24"/>
          <w:highlight w:val="none"/>
        </w:rPr>
        <w:t>该同类项目业绩一览表</w:t>
      </w:r>
      <w:r>
        <w:rPr>
          <w:b/>
          <w:bCs/>
          <w:color w:val="auto"/>
          <w:kern w:val="0"/>
          <w:sz w:val="24"/>
          <w:highlight w:val="none"/>
        </w:rPr>
        <w:t>必须如实填写，应全尽全</w:t>
      </w:r>
      <w:r>
        <w:rPr>
          <w:color w:val="auto"/>
          <w:kern w:val="0"/>
          <w:sz w:val="24"/>
          <w:highlight w:val="none"/>
        </w:rPr>
        <w:t>；一览表最终的所有业绩</w:t>
      </w:r>
      <w:r>
        <w:rPr>
          <w:b/>
          <w:bCs/>
          <w:color w:val="auto"/>
          <w:kern w:val="0"/>
          <w:sz w:val="24"/>
          <w:highlight w:val="none"/>
        </w:rPr>
        <w:t>合同总额汇总必填</w:t>
      </w:r>
      <w:r>
        <w:rPr>
          <w:color w:val="auto"/>
          <w:kern w:val="0"/>
          <w:sz w:val="24"/>
          <w:highlight w:val="none"/>
        </w:rPr>
        <w:t>，此项很重要，数据将影响现场评标专家组对投标单位的业绩考评。若未提供相应业绩证明，根据技术标评分规则，将影响现场评标专家组对投标单位业绩判定打分</w:t>
      </w:r>
      <w:r>
        <w:rPr>
          <w:color w:val="auto"/>
          <w:sz w:val="24"/>
          <w:highlight w:val="none"/>
        </w:rPr>
        <w:t>。</w:t>
      </w:r>
    </w:p>
    <w:p w14:paraId="56E0C688">
      <w:pPr>
        <w:tabs>
          <w:tab w:val="left" w:pos="1578"/>
          <w:tab w:val="left" w:pos="10083"/>
        </w:tabs>
        <w:spacing w:line="500" w:lineRule="exact"/>
        <w:rPr>
          <w:color w:val="auto"/>
          <w:sz w:val="24"/>
          <w:highlight w:val="none"/>
        </w:rPr>
      </w:pPr>
    </w:p>
    <w:p w14:paraId="1975BA12">
      <w:pPr>
        <w:spacing w:line="660" w:lineRule="exact"/>
        <w:rPr>
          <w:color w:val="auto"/>
          <w:sz w:val="24"/>
          <w:highlight w:val="none"/>
        </w:rPr>
      </w:pPr>
      <w:r>
        <w:rPr>
          <w:color w:val="auto"/>
          <w:sz w:val="24"/>
          <w:highlight w:val="none"/>
        </w:rPr>
        <w:t>投标人：（盖章）</w:t>
      </w:r>
    </w:p>
    <w:p w14:paraId="4916B226">
      <w:pPr>
        <w:spacing w:line="660" w:lineRule="exact"/>
        <w:rPr>
          <w:color w:val="auto"/>
          <w:sz w:val="24"/>
          <w:highlight w:val="none"/>
        </w:rPr>
      </w:pPr>
      <w:r>
        <w:rPr>
          <w:color w:val="auto"/>
          <w:sz w:val="24"/>
          <w:highlight w:val="none"/>
        </w:rPr>
        <w:t>法定代表人（委托代理人）：（签字）</w:t>
      </w:r>
    </w:p>
    <w:p w14:paraId="7C6499C4">
      <w:pPr>
        <w:spacing w:line="660" w:lineRule="exact"/>
        <w:rPr>
          <w:color w:val="auto"/>
          <w:sz w:val="24"/>
          <w:highlight w:val="none"/>
        </w:rPr>
      </w:pPr>
      <w:r>
        <w:rPr>
          <w:color w:val="auto"/>
          <w:sz w:val="24"/>
          <w:highlight w:val="none"/>
        </w:rPr>
        <w:t>日  期：年月日</w:t>
      </w:r>
    </w:p>
    <w:p w14:paraId="3DBCB7AC">
      <w:pPr>
        <w:rPr>
          <w:color w:val="auto"/>
          <w:sz w:val="24"/>
          <w:highlight w:val="none"/>
        </w:rPr>
      </w:pPr>
      <w:r>
        <w:rPr>
          <w:color w:val="auto"/>
          <w:sz w:val="24"/>
          <w:highlight w:val="none"/>
        </w:rPr>
        <w:br w:type="page"/>
      </w:r>
    </w:p>
    <w:p w14:paraId="7B6805A7">
      <w:pPr>
        <w:keepNext/>
        <w:keepLines/>
        <w:outlineLvl w:val="1"/>
        <w:rPr>
          <w:b/>
          <w:bCs/>
          <w:color w:val="auto"/>
          <w:sz w:val="24"/>
          <w:szCs w:val="24"/>
          <w:highlight w:val="none"/>
        </w:rPr>
      </w:pPr>
      <w:r>
        <w:rPr>
          <w:b/>
          <w:bCs/>
          <w:color w:val="auto"/>
          <w:sz w:val="24"/>
          <w:szCs w:val="24"/>
          <w:highlight w:val="none"/>
        </w:rPr>
        <w:t>附件7 设备质量承诺函</w:t>
      </w:r>
    </w:p>
    <w:p w14:paraId="01608253">
      <w:pPr>
        <w:spacing w:line="240" w:lineRule="exact"/>
        <w:rPr>
          <w:color w:val="auto"/>
          <w:highlight w:val="none"/>
        </w:rPr>
      </w:pPr>
    </w:p>
    <w:p w14:paraId="68787BB6">
      <w:pPr>
        <w:spacing w:line="360" w:lineRule="auto"/>
        <w:rPr>
          <w:color w:val="auto"/>
          <w:sz w:val="24"/>
          <w:highlight w:val="none"/>
          <w:u w:val="single"/>
        </w:rPr>
      </w:pPr>
      <w:r>
        <w:rPr>
          <w:color w:val="auto"/>
          <w:sz w:val="24"/>
          <w:highlight w:val="none"/>
        </w:rPr>
        <w:t xml:space="preserve">项目名称: </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6C9CA5D7">
      <w:pPr>
        <w:spacing w:line="360" w:lineRule="auto"/>
        <w:rPr>
          <w:b/>
          <w:bCs/>
          <w:color w:val="auto"/>
          <w:sz w:val="24"/>
          <w:highlight w:val="none"/>
        </w:rPr>
      </w:pPr>
      <w:r>
        <w:rPr>
          <w:rFonts w:hint="eastAsia"/>
          <w:b/>
          <w:bCs/>
          <w:color w:val="auto"/>
          <w:sz w:val="24"/>
          <w:highlight w:val="none"/>
        </w:rPr>
        <w:t>中国重汽集团济南卡车股份有限公司</w:t>
      </w:r>
      <w:r>
        <w:rPr>
          <w:b/>
          <w:bCs/>
          <w:color w:val="auto"/>
          <w:sz w:val="24"/>
          <w:highlight w:val="none"/>
        </w:rPr>
        <w:t>：</w:t>
      </w:r>
    </w:p>
    <w:p w14:paraId="5C1AD10A">
      <w:pPr>
        <w:spacing w:line="360" w:lineRule="auto"/>
        <w:ind w:firstLine="480" w:firstLineChars="200"/>
        <w:rPr>
          <w:color w:val="auto"/>
          <w:sz w:val="24"/>
          <w:highlight w:val="none"/>
        </w:rPr>
      </w:pPr>
      <w:r>
        <w:rPr>
          <w:color w:val="auto"/>
          <w:sz w:val="24"/>
          <w:highlight w:val="none"/>
        </w:rPr>
        <w:t>我代表(投标单位名称)为保证中标产品的质量特作如下承诺：</w:t>
      </w:r>
    </w:p>
    <w:p w14:paraId="33AADDFD">
      <w:pPr>
        <w:spacing w:line="360" w:lineRule="auto"/>
        <w:ind w:firstLine="480" w:firstLineChars="200"/>
        <w:rPr>
          <w:color w:val="auto"/>
          <w:sz w:val="24"/>
          <w:highlight w:val="none"/>
        </w:rPr>
      </w:pPr>
    </w:p>
    <w:p w14:paraId="6041C466">
      <w:pPr>
        <w:spacing w:line="360" w:lineRule="auto"/>
        <w:ind w:firstLine="480" w:firstLineChars="200"/>
        <w:rPr>
          <w:color w:val="auto"/>
          <w:sz w:val="24"/>
          <w:highlight w:val="none"/>
        </w:rPr>
      </w:pPr>
    </w:p>
    <w:p w14:paraId="0C7729ED">
      <w:pPr>
        <w:spacing w:line="360" w:lineRule="auto"/>
        <w:ind w:firstLine="480" w:firstLineChars="200"/>
        <w:rPr>
          <w:color w:val="auto"/>
          <w:sz w:val="24"/>
          <w:highlight w:val="none"/>
        </w:rPr>
      </w:pPr>
    </w:p>
    <w:p w14:paraId="5CF7FEE5">
      <w:pPr>
        <w:spacing w:line="360" w:lineRule="auto"/>
        <w:ind w:firstLine="480" w:firstLineChars="200"/>
        <w:rPr>
          <w:color w:val="auto"/>
          <w:sz w:val="24"/>
          <w:highlight w:val="none"/>
        </w:rPr>
      </w:pPr>
    </w:p>
    <w:p w14:paraId="43CC7A3D">
      <w:pPr>
        <w:spacing w:line="360" w:lineRule="auto"/>
        <w:ind w:firstLine="480" w:firstLineChars="200"/>
        <w:rPr>
          <w:color w:val="auto"/>
          <w:sz w:val="24"/>
          <w:highlight w:val="none"/>
        </w:rPr>
      </w:pPr>
    </w:p>
    <w:p w14:paraId="34786A47">
      <w:pPr>
        <w:spacing w:line="360" w:lineRule="auto"/>
        <w:ind w:firstLine="480" w:firstLineChars="200"/>
        <w:rPr>
          <w:color w:val="auto"/>
          <w:sz w:val="24"/>
          <w:highlight w:val="none"/>
        </w:rPr>
      </w:pPr>
    </w:p>
    <w:p w14:paraId="5C51DAA0">
      <w:pPr>
        <w:spacing w:line="660" w:lineRule="exact"/>
        <w:rPr>
          <w:color w:val="auto"/>
          <w:sz w:val="24"/>
          <w:highlight w:val="none"/>
        </w:rPr>
      </w:pPr>
      <w:r>
        <w:rPr>
          <w:color w:val="auto"/>
          <w:sz w:val="24"/>
          <w:highlight w:val="none"/>
        </w:rPr>
        <w:t>法定代表人（委托代理人）：（签字）</w:t>
      </w:r>
    </w:p>
    <w:p w14:paraId="71508252">
      <w:pPr>
        <w:spacing w:line="660" w:lineRule="exact"/>
        <w:rPr>
          <w:color w:val="auto"/>
          <w:sz w:val="24"/>
          <w:highlight w:val="none"/>
        </w:rPr>
      </w:pPr>
      <w:r>
        <w:rPr>
          <w:color w:val="auto"/>
          <w:sz w:val="24"/>
          <w:highlight w:val="none"/>
        </w:rPr>
        <w:t>日  期：年月日</w:t>
      </w:r>
    </w:p>
    <w:p w14:paraId="55A36A24">
      <w:pPr>
        <w:rPr>
          <w:b/>
          <w:bCs/>
          <w:color w:val="auto"/>
          <w:sz w:val="28"/>
          <w:highlight w:val="none"/>
        </w:rPr>
      </w:pPr>
    </w:p>
    <w:p w14:paraId="054B4C3F">
      <w:pPr>
        <w:rPr>
          <w:color w:val="auto"/>
          <w:highlight w:val="none"/>
        </w:rPr>
        <w:sectPr>
          <w:footerReference r:id="rId11" w:type="first"/>
          <w:footerReference r:id="rId10" w:type="default"/>
          <w:pgSz w:w="11906" w:h="16838"/>
          <w:pgMar w:top="1588" w:right="1418" w:bottom="1134" w:left="1418" w:header="851" w:footer="992" w:gutter="0"/>
          <w:cols w:space="720" w:num="1"/>
          <w:titlePg/>
          <w:docGrid w:type="lines" w:linePitch="312" w:charSpace="0"/>
        </w:sectPr>
      </w:pPr>
    </w:p>
    <w:p w14:paraId="22462D0B">
      <w:pPr>
        <w:keepNext/>
        <w:keepLines/>
        <w:outlineLvl w:val="2"/>
        <w:rPr>
          <w:b/>
          <w:bCs/>
          <w:color w:val="auto"/>
          <w:sz w:val="24"/>
          <w:szCs w:val="24"/>
          <w:highlight w:val="none"/>
        </w:rPr>
      </w:pPr>
      <w:r>
        <w:rPr>
          <w:rFonts w:hint="eastAsia"/>
          <w:b/>
          <w:bCs/>
          <w:color w:val="auto"/>
          <w:sz w:val="24"/>
          <w:szCs w:val="24"/>
          <w:highlight w:val="none"/>
        </w:rPr>
        <w:t>附件8开标一览表</w:t>
      </w:r>
    </w:p>
    <w:p w14:paraId="641AD297">
      <w:pPr>
        <w:spacing w:line="360"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《开标一览表》单独封存，以备唱标使用</w:t>
      </w:r>
    </w:p>
    <w:p w14:paraId="52D7E23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项目名称：</w:t>
      </w:r>
      <w:r>
        <w:rPr>
          <w:rFonts w:hint="eastAsia" w:ascii="宋体" w:hAnsi="宋体"/>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ascii="宋体" w:hAnsi="宋体"/>
          <w:color w:val="auto"/>
          <w:sz w:val="24"/>
          <w:szCs w:val="24"/>
          <w:highlight w:val="none"/>
          <w:u w:val="single"/>
        </w:rPr>
        <w:t>车项目</w:t>
      </w:r>
    </w:p>
    <w:tbl>
      <w:tblPr>
        <w:tblStyle w:val="49"/>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20F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2E8376DE">
            <w:pPr>
              <w:jc w:val="center"/>
              <w:rPr>
                <w:b/>
                <w:color w:val="auto"/>
                <w:highlight w:val="none"/>
              </w:rPr>
            </w:pPr>
            <w:r>
              <w:rPr>
                <w:rFonts w:hint="eastAsia"/>
                <w:b/>
                <w:color w:val="auto"/>
                <w:highlight w:val="none"/>
              </w:rPr>
              <w:t>序号</w:t>
            </w:r>
          </w:p>
        </w:tc>
        <w:tc>
          <w:tcPr>
            <w:tcW w:w="1518" w:type="dxa"/>
            <w:vAlign w:val="center"/>
          </w:tcPr>
          <w:p w14:paraId="6B0D46F7">
            <w:pPr>
              <w:jc w:val="center"/>
              <w:rPr>
                <w:b/>
                <w:color w:val="auto"/>
                <w:highlight w:val="none"/>
              </w:rPr>
            </w:pPr>
            <w:r>
              <w:rPr>
                <w:rFonts w:hint="eastAsia"/>
                <w:b/>
                <w:color w:val="auto"/>
                <w:highlight w:val="none"/>
              </w:rPr>
              <w:t>货物名称</w:t>
            </w:r>
          </w:p>
        </w:tc>
        <w:tc>
          <w:tcPr>
            <w:tcW w:w="848" w:type="dxa"/>
            <w:vAlign w:val="center"/>
          </w:tcPr>
          <w:p w14:paraId="79E875F2">
            <w:pPr>
              <w:jc w:val="center"/>
              <w:rPr>
                <w:b/>
                <w:color w:val="auto"/>
                <w:highlight w:val="none"/>
              </w:rPr>
            </w:pPr>
            <w:r>
              <w:rPr>
                <w:rFonts w:hint="eastAsia"/>
                <w:b/>
                <w:color w:val="auto"/>
                <w:highlight w:val="none"/>
              </w:rPr>
              <w:t>数量</w:t>
            </w:r>
          </w:p>
        </w:tc>
        <w:tc>
          <w:tcPr>
            <w:tcW w:w="2270" w:type="dxa"/>
            <w:vAlign w:val="center"/>
          </w:tcPr>
          <w:p w14:paraId="09B4D132">
            <w:pPr>
              <w:jc w:val="center"/>
              <w:rPr>
                <w:b/>
                <w:color w:val="auto"/>
                <w:highlight w:val="none"/>
              </w:rPr>
            </w:pPr>
            <w:r>
              <w:rPr>
                <w:rFonts w:hint="eastAsia"/>
                <w:b/>
                <w:color w:val="auto"/>
                <w:highlight w:val="none"/>
              </w:rPr>
              <w:t>投标总价</w:t>
            </w:r>
            <w:r>
              <w:rPr>
                <w:rFonts w:hint="eastAsia" w:ascii="等线" w:hAnsi="等线" w:eastAsia="等线"/>
                <w:b/>
                <w:color w:val="auto"/>
                <w:highlight w:val="none"/>
              </w:rPr>
              <w:t>（元）</w:t>
            </w:r>
          </w:p>
        </w:tc>
        <w:tc>
          <w:tcPr>
            <w:tcW w:w="1100" w:type="dxa"/>
            <w:vAlign w:val="center"/>
          </w:tcPr>
          <w:p w14:paraId="031A9885">
            <w:pPr>
              <w:jc w:val="center"/>
              <w:rPr>
                <w:b/>
                <w:color w:val="auto"/>
                <w:highlight w:val="none"/>
              </w:rPr>
            </w:pPr>
            <w:r>
              <w:rPr>
                <w:rFonts w:hint="eastAsia"/>
                <w:b/>
                <w:color w:val="auto"/>
                <w:highlight w:val="none"/>
              </w:rPr>
              <w:t>质保期</w:t>
            </w:r>
          </w:p>
        </w:tc>
        <w:tc>
          <w:tcPr>
            <w:tcW w:w="1243" w:type="dxa"/>
            <w:vAlign w:val="center"/>
          </w:tcPr>
          <w:p w14:paraId="3F18D938">
            <w:pPr>
              <w:jc w:val="center"/>
              <w:rPr>
                <w:b/>
                <w:color w:val="auto"/>
                <w:highlight w:val="none"/>
              </w:rPr>
            </w:pPr>
            <w:r>
              <w:rPr>
                <w:rFonts w:hint="eastAsia"/>
                <w:b/>
                <w:color w:val="auto"/>
                <w:highlight w:val="none"/>
              </w:rPr>
              <w:t>交货及安装</w:t>
            </w:r>
          </w:p>
          <w:p w14:paraId="687303FA">
            <w:pPr>
              <w:jc w:val="center"/>
              <w:rPr>
                <w:b/>
                <w:color w:val="auto"/>
                <w:highlight w:val="none"/>
              </w:rPr>
            </w:pPr>
            <w:r>
              <w:rPr>
                <w:rFonts w:hint="eastAsia"/>
                <w:b/>
                <w:color w:val="auto"/>
                <w:highlight w:val="none"/>
              </w:rPr>
              <w:t>时间</w:t>
            </w:r>
          </w:p>
        </w:tc>
        <w:tc>
          <w:tcPr>
            <w:tcW w:w="705" w:type="dxa"/>
            <w:vAlign w:val="center"/>
          </w:tcPr>
          <w:p w14:paraId="5BBBB11F">
            <w:pPr>
              <w:jc w:val="center"/>
              <w:rPr>
                <w:b/>
                <w:color w:val="auto"/>
                <w:highlight w:val="none"/>
              </w:rPr>
            </w:pPr>
            <w:r>
              <w:rPr>
                <w:rFonts w:hint="eastAsia" w:ascii="等线" w:hAnsi="等线" w:eastAsia="等线"/>
                <w:b/>
                <w:color w:val="auto"/>
                <w:highlight w:val="none"/>
              </w:rPr>
              <w:t>付款方式及比例如何响应</w:t>
            </w:r>
          </w:p>
        </w:tc>
        <w:tc>
          <w:tcPr>
            <w:tcW w:w="699" w:type="dxa"/>
            <w:vAlign w:val="center"/>
          </w:tcPr>
          <w:p w14:paraId="76C701EE">
            <w:pPr>
              <w:jc w:val="center"/>
              <w:rPr>
                <w:rFonts w:ascii="等线" w:hAnsi="等线" w:eastAsia="等线"/>
                <w:b/>
                <w:color w:val="auto"/>
                <w:highlight w:val="none"/>
              </w:rPr>
            </w:pPr>
            <w:r>
              <w:rPr>
                <w:rFonts w:hint="eastAsia" w:ascii="等线" w:hAnsi="等线" w:eastAsia="等线"/>
                <w:b/>
                <w:color w:val="auto"/>
                <w:highlight w:val="none"/>
              </w:rPr>
              <w:t>付款方式及比例是否偏离</w:t>
            </w:r>
          </w:p>
        </w:tc>
      </w:tr>
      <w:tr w14:paraId="7FD7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243CE6BE">
            <w:pPr>
              <w:jc w:val="center"/>
              <w:rPr>
                <w:b/>
                <w:color w:val="auto"/>
                <w:highlight w:val="none"/>
              </w:rPr>
            </w:pPr>
            <w:r>
              <w:rPr>
                <w:b/>
                <w:color w:val="auto"/>
                <w:highlight w:val="none"/>
              </w:rPr>
              <w:t>1</w:t>
            </w:r>
          </w:p>
        </w:tc>
        <w:tc>
          <w:tcPr>
            <w:tcW w:w="1518" w:type="dxa"/>
            <w:vAlign w:val="center"/>
          </w:tcPr>
          <w:p w14:paraId="14C8A0E7">
            <w:pPr>
              <w:jc w:val="center"/>
              <w:rPr>
                <w:b/>
                <w:color w:val="auto"/>
                <w:highlight w:val="none"/>
              </w:rPr>
            </w:pPr>
            <w:r>
              <w:rPr>
                <w:rFonts w:hint="eastAsia"/>
                <w:b/>
                <w:color w:val="auto"/>
                <w:highlight w:val="none"/>
              </w:rPr>
              <w:t>莱芜工厂辊压线废料再利用-新增</w:t>
            </w:r>
            <w:r>
              <w:rPr>
                <w:rFonts w:hint="eastAsia"/>
                <w:b/>
                <w:color w:val="auto"/>
                <w:highlight w:val="none"/>
                <w:lang w:val="en-US" w:eastAsia="zh-CN"/>
              </w:rPr>
              <w:t>行</w:t>
            </w:r>
            <w:r>
              <w:rPr>
                <w:rFonts w:hint="eastAsia"/>
                <w:b/>
                <w:color w:val="auto"/>
                <w:highlight w:val="none"/>
              </w:rPr>
              <w:t>车项目</w:t>
            </w:r>
          </w:p>
        </w:tc>
        <w:tc>
          <w:tcPr>
            <w:tcW w:w="848" w:type="dxa"/>
            <w:vAlign w:val="center"/>
          </w:tcPr>
          <w:p w14:paraId="273DD2A9">
            <w:pPr>
              <w:jc w:val="center"/>
              <w:rPr>
                <w:b/>
                <w:color w:val="auto"/>
                <w:highlight w:val="none"/>
              </w:rPr>
            </w:pPr>
            <w:r>
              <w:rPr>
                <w:b/>
                <w:color w:val="auto"/>
                <w:highlight w:val="none"/>
              </w:rPr>
              <w:t>1</w:t>
            </w:r>
          </w:p>
        </w:tc>
        <w:tc>
          <w:tcPr>
            <w:tcW w:w="2270" w:type="dxa"/>
            <w:vAlign w:val="center"/>
          </w:tcPr>
          <w:p w14:paraId="3883B6D8">
            <w:pPr>
              <w:jc w:val="center"/>
              <w:rPr>
                <w:rFonts w:ascii="等线" w:hAnsi="等线" w:eastAsia="等线"/>
                <w:b/>
                <w:color w:val="auto"/>
                <w:highlight w:val="none"/>
                <w:u w:val="single"/>
              </w:rPr>
            </w:pPr>
            <w:r>
              <w:rPr>
                <w:rFonts w:hint="eastAsia" w:ascii="等线" w:hAnsi="等线" w:eastAsia="等线"/>
                <w:b/>
                <w:color w:val="auto"/>
                <w:highlight w:val="none"/>
              </w:rPr>
              <w:t>不含税价：</w:t>
            </w:r>
          </w:p>
          <w:p w14:paraId="7C2EA7A1">
            <w:pPr>
              <w:jc w:val="center"/>
              <w:rPr>
                <w:rFonts w:ascii="等线" w:hAnsi="等线" w:eastAsia="等线"/>
                <w:b/>
                <w:color w:val="auto"/>
                <w:highlight w:val="none"/>
              </w:rPr>
            </w:pPr>
            <w:r>
              <w:rPr>
                <w:rFonts w:hint="eastAsia" w:ascii="等线" w:hAnsi="等线" w:eastAsia="等线"/>
                <w:b/>
                <w:color w:val="auto"/>
                <w:highlight w:val="none"/>
              </w:rPr>
              <w:t>含税价格：</w:t>
            </w:r>
            <w:r>
              <w:rPr>
                <w:rFonts w:hint="eastAsia" w:ascii="等线" w:hAnsi="等线" w:eastAsia="等线"/>
                <w:b/>
                <w:color w:val="auto"/>
                <w:highlight w:val="none"/>
                <w:u w:val="single"/>
              </w:rPr>
              <w:t xml:space="preserve">    （大写：    ）</w:t>
            </w:r>
          </w:p>
          <w:p w14:paraId="29B611F5">
            <w:pPr>
              <w:jc w:val="center"/>
              <w:rPr>
                <w:b/>
                <w:color w:val="auto"/>
                <w:highlight w:val="none"/>
              </w:rPr>
            </w:pPr>
            <w:r>
              <w:rPr>
                <w:rFonts w:hint="eastAsia" w:ascii="等线" w:hAnsi="等线" w:eastAsia="等线"/>
                <w:b/>
                <w:color w:val="auto"/>
                <w:highlight w:val="none"/>
              </w:rPr>
              <w:t>税率：</w:t>
            </w:r>
          </w:p>
        </w:tc>
        <w:tc>
          <w:tcPr>
            <w:tcW w:w="1100" w:type="dxa"/>
            <w:vAlign w:val="center"/>
          </w:tcPr>
          <w:p w14:paraId="7014A333">
            <w:pPr>
              <w:jc w:val="center"/>
              <w:rPr>
                <w:b/>
                <w:color w:val="auto"/>
                <w:highlight w:val="none"/>
              </w:rPr>
            </w:pPr>
          </w:p>
        </w:tc>
        <w:tc>
          <w:tcPr>
            <w:tcW w:w="1243" w:type="dxa"/>
            <w:vAlign w:val="center"/>
          </w:tcPr>
          <w:p w14:paraId="361F9591">
            <w:pPr>
              <w:jc w:val="center"/>
              <w:rPr>
                <w:b/>
                <w:color w:val="auto"/>
                <w:highlight w:val="none"/>
              </w:rPr>
            </w:pPr>
          </w:p>
        </w:tc>
        <w:tc>
          <w:tcPr>
            <w:tcW w:w="705" w:type="dxa"/>
            <w:vAlign w:val="center"/>
          </w:tcPr>
          <w:p w14:paraId="623E92EE">
            <w:pPr>
              <w:jc w:val="center"/>
              <w:rPr>
                <w:b/>
                <w:color w:val="auto"/>
                <w:highlight w:val="none"/>
              </w:rPr>
            </w:pPr>
          </w:p>
        </w:tc>
        <w:tc>
          <w:tcPr>
            <w:tcW w:w="699" w:type="dxa"/>
            <w:vAlign w:val="center"/>
          </w:tcPr>
          <w:p w14:paraId="19BBFC28">
            <w:pPr>
              <w:jc w:val="center"/>
              <w:rPr>
                <w:b/>
                <w:color w:val="auto"/>
                <w:highlight w:val="none"/>
              </w:rPr>
            </w:pPr>
          </w:p>
        </w:tc>
      </w:tr>
    </w:tbl>
    <w:p w14:paraId="313313B8">
      <w:pPr>
        <w:rPr>
          <w:rFonts w:ascii="宋体" w:hAnsi="Arial"/>
          <w:color w:val="auto"/>
          <w:sz w:val="24"/>
          <w:szCs w:val="24"/>
          <w:highlight w:val="none"/>
        </w:rPr>
      </w:pPr>
    </w:p>
    <w:p w14:paraId="110B4D39">
      <w:pPr>
        <w:spacing w:line="400" w:lineRule="exact"/>
        <w:rPr>
          <w:rFonts w:ascii="宋体" w:hAnsi="Calibri"/>
          <w:color w:val="auto"/>
          <w:szCs w:val="21"/>
          <w:highlight w:val="none"/>
        </w:rPr>
      </w:pPr>
      <w:r>
        <w:rPr>
          <w:rFonts w:hint="eastAsia" w:ascii="宋体" w:hAnsi="宋体"/>
          <w:b/>
          <w:bCs/>
          <w:color w:val="auto"/>
          <w:szCs w:val="21"/>
          <w:highlight w:val="none"/>
        </w:rPr>
        <w:t>注：</w:t>
      </w:r>
    </w:p>
    <w:p w14:paraId="728FD7B8">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此表中的报价必须与相应的报价明细表中的报价一致。</w:t>
      </w:r>
    </w:p>
    <w:p w14:paraId="06964102">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需写明含税价、不含税价格、税率。</w:t>
      </w:r>
    </w:p>
    <w:p w14:paraId="5A253035">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投标总价大写为必填项，如发生大小写不一致，以大写为准。</w:t>
      </w:r>
    </w:p>
    <w:p w14:paraId="2BE8AC7C">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投标总价包括全部（全新）产品价、表面处理费用、运杂费（包括现场卸车费）、设计、制造、安装、调试（含现场调试）、包装运输费、验收、技术及售后服务费、技术资料费、备品备件费等所有费用的总和。</w:t>
      </w:r>
    </w:p>
    <w:p w14:paraId="7D527E3B">
      <w:pPr>
        <w:pStyle w:val="25"/>
        <w:rPr>
          <w:rFonts w:hAnsi="宋体" w:eastAsia="宋体"/>
          <w:b/>
          <w:bCs/>
          <w:color w:val="auto"/>
          <w:szCs w:val="21"/>
          <w:highlight w:val="none"/>
        </w:rPr>
      </w:pPr>
    </w:p>
    <w:p w14:paraId="1741A02A">
      <w:pPr>
        <w:spacing w:line="660" w:lineRule="exact"/>
        <w:rPr>
          <w:rFonts w:ascii="宋体" w:hAnsi="Calibri"/>
          <w:color w:val="auto"/>
          <w:sz w:val="24"/>
          <w:highlight w:val="none"/>
        </w:rPr>
      </w:pPr>
      <w:r>
        <w:rPr>
          <w:rFonts w:hint="eastAsia" w:ascii="宋体" w:hAnsi="宋体"/>
          <w:color w:val="auto"/>
          <w:sz w:val="24"/>
          <w:highlight w:val="none"/>
        </w:rPr>
        <w:t>投标人：（盖章）</w:t>
      </w:r>
    </w:p>
    <w:p w14:paraId="47C7E744">
      <w:pPr>
        <w:spacing w:line="660" w:lineRule="exact"/>
        <w:rPr>
          <w:rFonts w:ascii="宋体" w:hAnsi="Calibri"/>
          <w:color w:val="auto"/>
          <w:sz w:val="24"/>
          <w:highlight w:val="none"/>
        </w:rPr>
      </w:pPr>
      <w:r>
        <w:rPr>
          <w:rFonts w:hint="eastAsia" w:ascii="宋体" w:hAnsi="宋体"/>
          <w:color w:val="auto"/>
          <w:sz w:val="24"/>
          <w:highlight w:val="none"/>
        </w:rPr>
        <w:t>法定代表人（委托代理人）：（签字）</w:t>
      </w:r>
    </w:p>
    <w:p w14:paraId="1F6BF1F8">
      <w:pPr>
        <w:spacing w:line="660" w:lineRule="exact"/>
        <w:rPr>
          <w:rFonts w:ascii="宋体" w:hAnsi="宋体"/>
          <w:color w:val="auto"/>
          <w:sz w:val="24"/>
          <w:highlight w:val="none"/>
        </w:rPr>
      </w:pPr>
      <w:r>
        <w:rPr>
          <w:rFonts w:hint="eastAsia" w:ascii="宋体" w:hAnsi="宋体"/>
          <w:color w:val="auto"/>
          <w:sz w:val="24"/>
          <w:highlight w:val="none"/>
        </w:rPr>
        <w:t>日期：年月日</w:t>
      </w:r>
    </w:p>
    <w:p w14:paraId="53D42F6C">
      <w:pPr>
        <w:pStyle w:val="25"/>
        <w:rPr>
          <w:rFonts w:hAnsi="宋体" w:eastAsia="宋体"/>
          <w:color w:val="auto"/>
          <w:highlight w:val="none"/>
        </w:rPr>
        <w:sectPr>
          <w:pgSz w:w="11906" w:h="16838"/>
          <w:pgMar w:top="1588" w:right="1418" w:bottom="1134" w:left="1418" w:header="851" w:footer="992" w:gutter="0"/>
          <w:cols w:space="720" w:num="1"/>
          <w:titlePg/>
          <w:docGrid w:type="lines" w:linePitch="312" w:charSpace="0"/>
        </w:sectPr>
      </w:pPr>
    </w:p>
    <w:p w14:paraId="21FEADF3">
      <w:pPr>
        <w:pStyle w:val="4"/>
        <w:spacing w:after="0" w:line="240" w:lineRule="auto"/>
        <w:jc w:val="left"/>
        <w:rPr>
          <w:rFonts w:ascii="宋体" w:hAnsi="宋体" w:cs="宋体"/>
          <w:color w:val="auto"/>
          <w:spacing w:val="8"/>
          <w:sz w:val="24"/>
          <w:szCs w:val="24"/>
          <w:highlight w:val="none"/>
        </w:rPr>
      </w:pPr>
      <w:r>
        <w:rPr>
          <w:rFonts w:hint="eastAsia" w:ascii="宋体" w:hAnsi="宋体" w:cs="宋体"/>
          <w:color w:val="auto"/>
          <w:sz w:val="24"/>
          <w:szCs w:val="24"/>
          <w:highlight w:val="none"/>
        </w:rPr>
        <w:t xml:space="preserve">附件9 </w:t>
      </w:r>
      <w:r>
        <w:rPr>
          <w:rFonts w:ascii="宋体" w:hAnsi="宋体" w:cs="宋体"/>
          <w:color w:val="auto"/>
          <w:spacing w:val="13"/>
          <w:sz w:val="24"/>
          <w:szCs w:val="24"/>
          <w:highlight w:val="none"/>
        </w:rPr>
        <w:t>设</w:t>
      </w:r>
      <w:r>
        <w:rPr>
          <w:rFonts w:ascii="宋体" w:hAnsi="宋体" w:cs="宋体"/>
          <w:color w:val="auto"/>
          <w:spacing w:val="8"/>
          <w:sz w:val="24"/>
          <w:szCs w:val="24"/>
          <w:highlight w:val="none"/>
        </w:rPr>
        <w:t>备分项报价表</w:t>
      </w:r>
    </w:p>
    <w:p w14:paraId="358BF8AC">
      <w:pPr>
        <w:pStyle w:val="25"/>
        <w:jc w:val="center"/>
        <w:rPr>
          <w:rFonts w:hAnsi="宋体" w:eastAsia="宋体"/>
          <w:color w:val="auto"/>
          <w:highlight w:val="none"/>
        </w:rPr>
      </w:pPr>
      <w:r>
        <w:rPr>
          <w:rFonts w:hAnsi="宋体" w:eastAsia="宋体" w:cs="宋体"/>
          <w:color w:val="auto"/>
          <w:spacing w:val="13"/>
          <w:szCs w:val="24"/>
          <w:highlight w:val="none"/>
        </w:rPr>
        <w:t>设</w:t>
      </w:r>
      <w:r>
        <w:rPr>
          <w:rFonts w:hAnsi="宋体" w:eastAsia="宋体" w:cs="宋体"/>
          <w:color w:val="auto"/>
          <w:spacing w:val="8"/>
          <w:szCs w:val="24"/>
          <w:highlight w:val="none"/>
        </w:rPr>
        <w:t>备分项报价表</w:t>
      </w:r>
    </w:p>
    <w:p w14:paraId="0B369AA8">
      <w:pPr>
        <w:ind w:firstLine="3150" w:firstLineChars="1500"/>
        <w:jc w:val="left"/>
        <w:rPr>
          <w:color w:val="auto"/>
          <w:highlight w:val="none"/>
        </w:rPr>
      </w:pPr>
    </w:p>
    <w:tbl>
      <w:tblPr>
        <w:tblStyle w:val="49"/>
        <w:tblW w:w="9924" w:type="dxa"/>
        <w:jc w:val="center"/>
        <w:tblLayout w:type="fixed"/>
        <w:tblCellMar>
          <w:top w:w="0" w:type="dxa"/>
          <w:left w:w="108" w:type="dxa"/>
          <w:bottom w:w="0" w:type="dxa"/>
          <w:right w:w="108" w:type="dxa"/>
        </w:tblCellMar>
      </w:tblPr>
      <w:tblGrid>
        <w:gridCol w:w="597"/>
        <w:gridCol w:w="1730"/>
        <w:gridCol w:w="1877"/>
        <w:gridCol w:w="1068"/>
        <w:gridCol w:w="1386"/>
        <w:gridCol w:w="856"/>
        <w:gridCol w:w="1006"/>
        <w:gridCol w:w="1404"/>
      </w:tblGrid>
      <w:tr w14:paraId="14837C94">
        <w:tblPrEx>
          <w:tblCellMar>
            <w:top w:w="0" w:type="dxa"/>
            <w:left w:w="108" w:type="dxa"/>
            <w:bottom w:w="0" w:type="dxa"/>
            <w:right w:w="108" w:type="dxa"/>
          </w:tblCellMar>
        </w:tblPrEx>
        <w:trPr>
          <w:trHeight w:val="630"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CAAF">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序号</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F306">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货物名称</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0809">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规格型号</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2670">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品牌</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82C0">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单价(未税)</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EBA2">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数量</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CCC6">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单位</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01AE">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合计(未税)</w:t>
            </w:r>
          </w:p>
        </w:tc>
      </w:tr>
      <w:tr w14:paraId="3B30F55F">
        <w:tblPrEx>
          <w:tblCellMar>
            <w:top w:w="0" w:type="dxa"/>
            <w:left w:w="108" w:type="dxa"/>
            <w:bottom w:w="0" w:type="dxa"/>
            <w:right w:w="108" w:type="dxa"/>
          </w:tblCellMar>
        </w:tblPrEx>
        <w:trPr>
          <w:trHeight w:val="320" w:hRule="atLeast"/>
          <w:jc w:val="center"/>
        </w:trPr>
        <w:tc>
          <w:tcPr>
            <w:tcW w:w="597" w:type="dxa"/>
            <w:vMerge w:val="restart"/>
            <w:tcBorders>
              <w:top w:val="single" w:color="000000" w:sz="4" w:space="0"/>
              <w:left w:val="single" w:color="000000" w:sz="4" w:space="0"/>
              <w:right w:val="single" w:color="000000" w:sz="4" w:space="0"/>
            </w:tcBorders>
            <w:shd w:val="clear" w:color="auto" w:fill="auto"/>
            <w:vAlign w:val="center"/>
          </w:tcPr>
          <w:p w14:paraId="48C3C1EB">
            <w:pPr>
              <w:widowControl/>
              <w:jc w:val="center"/>
              <w:textAlignment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487B">
            <w:pPr>
              <w:widowControl/>
              <w:jc w:val="center"/>
              <w:textAlignment w:val="center"/>
              <w:rPr>
                <w:rFonts w:ascii="宋体" w:hAnsi="宋体" w:cs="宋体"/>
                <w:color w:val="auto"/>
                <w:sz w:val="22"/>
                <w:szCs w:val="22"/>
                <w:highlight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A383">
            <w:pPr>
              <w:widowControl/>
              <w:jc w:val="center"/>
              <w:textAlignment w:val="center"/>
              <w:rPr>
                <w:rFonts w:ascii="宋体" w:hAnsi="宋体" w:cs="宋体"/>
                <w:color w:val="auto"/>
                <w:sz w:val="22"/>
                <w:szCs w:val="22"/>
                <w:highlight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2014">
            <w:pPr>
              <w:widowControl/>
              <w:jc w:val="center"/>
              <w:textAlignment w:val="center"/>
              <w:rPr>
                <w:rFonts w:ascii="宋体" w:hAnsi="宋体" w:cs="宋体"/>
                <w:color w:val="auto"/>
                <w:sz w:val="22"/>
                <w:szCs w:val="22"/>
                <w:highlight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3AB0">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A95D">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6541">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4E0A">
            <w:pPr>
              <w:widowControl/>
              <w:jc w:val="center"/>
              <w:textAlignment w:val="center"/>
              <w:rPr>
                <w:rFonts w:ascii="宋体" w:hAnsi="宋体" w:cs="宋体"/>
                <w:color w:val="auto"/>
                <w:sz w:val="22"/>
                <w:szCs w:val="22"/>
                <w:highlight w:val="none"/>
              </w:rPr>
            </w:pPr>
          </w:p>
        </w:tc>
      </w:tr>
      <w:tr w14:paraId="4B52157B">
        <w:tblPrEx>
          <w:tblCellMar>
            <w:top w:w="0" w:type="dxa"/>
            <w:left w:w="108" w:type="dxa"/>
            <w:bottom w:w="0" w:type="dxa"/>
            <w:right w:w="108" w:type="dxa"/>
          </w:tblCellMar>
        </w:tblPrEx>
        <w:trPr>
          <w:trHeight w:val="320" w:hRule="atLeast"/>
          <w:jc w:val="center"/>
        </w:trPr>
        <w:tc>
          <w:tcPr>
            <w:tcW w:w="597" w:type="dxa"/>
            <w:vMerge w:val="continue"/>
            <w:tcBorders>
              <w:left w:val="single" w:color="000000" w:sz="4" w:space="0"/>
              <w:right w:val="single" w:color="000000" w:sz="4" w:space="0"/>
            </w:tcBorders>
            <w:shd w:val="clear" w:color="auto" w:fill="auto"/>
            <w:vAlign w:val="center"/>
          </w:tcPr>
          <w:p w14:paraId="472B71FC">
            <w:pPr>
              <w:widowControl/>
              <w:jc w:val="center"/>
              <w:textAlignment w:val="center"/>
              <w:rPr>
                <w:rFonts w:ascii="宋体" w:hAnsi="宋体" w:cs="宋体"/>
                <w:color w:val="auto"/>
                <w:sz w:val="22"/>
                <w:szCs w:val="22"/>
                <w:highlight w:val="none"/>
              </w:rPr>
            </w:pP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BFB8">
            <w:pPr>
              <w:widowControl/>
              <w:jc w:val="center"/>
              <w:textAlignment w:val="center"/>
              <w:rPr>
                <w:rFonts w:ascii="宋体" w:hAnsi="宋体" w:cs="宋体"/>
                <w:color w:val="auto"/>
                <w:sz w:val="22"/>
                <w:szCs w:val="22"/>
                <w:highlight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B69A">
            <w:pPr>
              <w:widowControl/>
              <w:jc w:val="center"/>
              <w:textAlignment w:val="center"/>
              <w:rPr>
                <w:rFonts w:ascii="宋体" w:hAnsi="宋体" w:cs="宋体"/>
                <w:color w:val="auto"/>
                <w:sz w:val="22"/>
                <w:szCs w:val="22"/>
                <w:highlight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DAB0">
            <w:pPr>
              <w:widowControl/>
              <w:jc w:val="center"/>
              <w:textAlignment w:val="center"/>
              <w:rPr>
                <w:rFonts w:ascii="宋体" w:hAnsi="宋体" w:cs="宋体"/>
                <w:color w:val="auto"/>
                <w:kern w:val="0"/>
                <w:sz w:val="22"/>
                <w:szCs w:val="22"/>
                <w:highlight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FE5F">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B5D9">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0F28">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0E9A">
            <w:pPr>
              <w:widowControl/>
              <w:jc w:val="center"/>
              <w:textAlignment w:val="center"/>
              <w:rPr>
                <w:rFonts w:ascii="宋体" w:hAnsi="宋体" w:cs="宋体"/>
                <w:color w:val="auto"/>
                <w:sz w:val="22"/>
                <w:szCs w:val="22"/>
                <w:highlight w:val="none"/>
              </w:rPr>
            </w:pPr>
          </w:p>
        </w:tc>
      </w:tr>
      <w:tr w14:paraId="2B7EF254">
        <w:tblPrEx>
          <w:tblCellMar>
            <w:top w:w="0" w:type="dxa"/>
            <w:left w:w="108" w:type="dxa"/>
            <w:bottom w:w="0" w:type="dxa"/>
            <w:right w:w="108" w:type="dxa"/>
          </w:tblCellMar>
        </w:tblPrEx>
        <w:trPr>
          <w:trHeight w:val="630" w:hRule="atLeast"/>
          <w:jc w:val="center"/>
        </w:trPr>
        <w:tc>
          <w:tcPr>
            <w:tcW w:w="597" w:type="dxa"/>
            <w:vMerge w:val="continue"/>
            <w:tcBorders>
              <w:left w:val="single" w:color="000000" w:sz="4" w:space="0"/>
              <w:bottom w:val="single" w:color="000000" w:sz="4" w:space="0"/>
              <w:right w:val="single" w:color="000000" w:sz="4" w:space="0"/>
            </w:tcBorders>
            <w:shd w:val="clear" w:color="auto" w:fill="auto"/>
            <w:vAlign w:val="center"/>
          </w:tcPr>
          <w:p w14:paraId="4D380D6D">
            <w:pPr>
              <w:widowControl/>
              <w:jc w:val="center"/>
              <w:textAlignment w:val="center"/>
              <w:rPr>
                <w:rFonts w:ascii="宋体" w:hAnsi="宋体" w:cs="宋体"/>
                <w:color w:val="auto"/>
                <w:sz w:val="22"/>
                <w:szCs w:val="22"/>
                <w:highlight w:val="none"/>
              </w:rPr>
            </w:pP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BC7F">
            <w:pPr>
              <w:widowControl/>
              <w:jc w:val="center"/>
              <w:textAlignment w:val="center"/>
              <w:rPr>
                <w:rFonts w:ascii="宋体" w:hAnsi="宋体" w:cs="宋体"/>
                <w:color w:val="auto"/>
                <w:sz w:val="22"/>
                <w:szCs w:val="22"/>
                <w:highlight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74D2">
            <w:pPr>
              <w:widowControl/>
              <w:jc w:val="center"/>
              <w:textAlignment w:val="center"/>
              <w:rPr>
                <w:rFonts w:ascii="宋体" w:hAnsi="宋体" w:cs="宋体"/>
                <w:color w:val="auto"/>
                <w:sz w:val="22"/>
                <w:szCs w:val="22"/>
                <w:highlight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F6C5">
            <w:pPr>
              <w:widowControl/>
              <w:jc w:val="center"/>
              <w:textAlignment w:val="center"/>
              <w:rPr>
                <w:rFonts w:ascii="宋体" w:hAnsi="宋体" w:cs="宋体"/>
                <w:color w:val="auto"/>
                <w:kern w:val="0"/>
                <w:sz w:val="22"/>
                <w:szCs w:val="22"/>
                <w:highlight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09C6">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3D99">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D42D">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9C9B">
            <w:pPr>
              <w:widowControl/>
              <w:jc w:val="center"/>
              <w:textAlignment w:val="center"/>
              <w:rPr>
                <w:rFonts w:ascii="宋体" w:hAnsi="宋体" w:cs="宋体"/>
                <w:color w:val="auto"/>
                <w:sz w:val="22"/>
                <w:szCs w:val="22"/>
                <w:highlight w:val="none"/>
              </w:rPr>
            </w:pPr>
          </w:p>
        </w:tc>
      </w:tr>
      <w:tr w14:paraId="63732D38">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B4CC8D">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小计（不含税）</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051E">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723D">
            <w:pPr>
              <w:widowControl/>
              <w:jc w:val="center"/>
              <w:textAlignment w:val="center"/>
              <w:rPr>
                <w:rFonts w:ascii="宋体" w:hAnsi="宋体" w:cs="宋体"/>
                <w:color w:val="auto"/>
                <w:sz w:val="22"/>
                <w:szCs w:val="22"/>
                <w:highlight w:val="none"/>
              </w:rPr>
            </w:pPr>
          </w:p>
        </w:tc>
      </w:tr>
      <w:tr w14:paraId="29CE3D62">
        <w:tblPrEx>
          <w:tblCellMar>
            <w:top w:w="0" w:type="dxa"/>
            <w:left w:w="108" w:type="dxa"/>
            <w:bottom w:w="0" w:type="dxa"/>
            <w:right w:w="108" w:type="dxa"/>
          </w:tblCellMar>
        </w:tblPrEx>
        <w:trPr>
          <w:trHeight w:val="630" w:hRule="atLeast"/>
          <w:jc w:val="center"/>
        </w:trPr>
        <w:tc>
          <w:tcPr>
            <w:tcW w:w="99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514734">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其他费用</w:t>
            </w:r>
          </w:p>
        </w:tc>
      </w:tr>
      <w:tr w14:paraId="11374D14">
        <w:tblPrEx>
          <w:tblCellMar>
            <w:top w:w="0" w:type="dxa"/>
            <w:left w:w="108" w:type="dxa"/>
            <w:bottom w:w="0" w:type="dxa"/>
            <w:right w:w="108" w:type="dxa"/>
          </w:tblCellMar>
        </w:tblPrEx>
        <w:trPr>
          <w:trHeight w:val="630"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40F7">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EBB4C">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项目</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1D77">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单价(未税)</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F333">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数量</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AB5D">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单位</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D4CC">
            <w:pPr>
              <w:widowControl/>
              <w:jc w:val="center"/>
              <w:textAlignment w:val="center"/>
              <w:rPr>
                <w:rFonts w:ascii="宋体" w:hAnsi="宋体" w:cs="宋体"/>
                <w:color w:val="auto"/>
                <w:sz w:val="22"/>
                <w:szCs w:val="22"/>
                <w:highlight w:val="none"/>
              </w:rPr>
            </w:pPr>
            <w:r>
              <w:rPr>
                <w:rFonts w:hint="eastAsia" w:ascii="宋体" w:hAnsi="宋体" w:cs="宋体"/>
                <w:b/>
                <w:bCs/>
                <w:color w:val="auto"/>
                <w:kern w:val="0"/>
                <w:sz w:val="22"/>
                <w:szCs w:val="22"/>
                <w:highlight w:val="none"/>
              </w:rPr>
              <w:t>合计(未税)</w:t>
            </w:r>
          </w:p>
        </w:tc>
      </w:tr>
      <w:tr w14:paraId="0D491748">
        <w:tblPrEx>
          <w:tblCellMar>
            <w:top w:w="0" w:type="dxa"/>
            <w:left w:w="108" w:type="dxa"/>
            <w:bottom w:w="0" w:type="dxa"/>
            <w:right w:w="108" w:type="dxa"/>
          </w:tblCellMar>
        </w:tblPrEx>
        <w:trPr>
          <w:trHeight w:val="320" w:hRule="atLeast"/>
          <w:jc w:val="center"/>
        </w:trPr>
        <w:tc>
          <w:tcPr>
            <w:tcW w:w="597" w:type="dxa"/>
            <w:vMerge w:val="restart"/>
            <w:tcBorders>
              <w:top w:val="single" w:color="000000" w:sz="4" w:space="0"/>
              <w:left w:val="single" w:color="000000" w:sz="4" w:space="0"/>
              <w:right w:val="single" w:color="000000" w:sz="4" w:space="0"/>
            </w:tcBorders>
            <w:shd w:val="clear" w:color="auto" w:fill="auto"/>
            <w:vAlign w:val="center"/>
          </w:tcPr>
          <w:p w14:paraId="3733E1B3">
            <w:pPr>
              <w:widowControl/>
              <w:jc w:val="center"/>
              <w:textAlignment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20B73">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人工费</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BF2C">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56D0">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046B">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人天</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BFDB">
            <w:pPr>
              <w:widowControl/>
              <w:jc w:val="center"/>
              <w:textAlignment w:val="center"/>
              <w:rPr>
                <w:rFonts w:ascii="宋体" w:hAnsi="宋体" w:cs="宋体"/>
                <w:color w:val="auto"/>
                <w:sz w:val="22"/>
                <w:szCs w:val="22"/>
                <w:highlight w:val="none"/>
              </w:rPr>
            </w:pPr>
          </w:p>
        </w:tc>
      </w:tr>
      <w:tr w14:paraId="0F3E3223">
        <w:tblPrEx>
          <w:tblCellMar>
            <w:top w:w="0" w:type="dxa"/>
            <w:left w:w="108" w:type="dxa"/>
            <w:bottom w:w="0" w:type="dxa"/>
            <w:right w:w="108" w:type="dxa"/>
          </w:tblCellMar>
        </w:tblPrEx>
        <w:trPr>
          <w:trHeight w:val="320" w:hRule="atLeast"/>
          <w:jc w:val="center"/>
        </w:trPr>
        <w:tc>
          <w:tcPr>
            <w:tcW w:w="597" w:type="dxa"/>
            <w:vMerge w:val="continue"/>
            <w:tcBorders>
              <w:left w:val="single" w:color="000000" w:sz="4" w:space="0"/>
              <w:right w:val="single" w:color="000000" w:sz="4" w:space="0"/>
            </w:tcBorders>
            <w:shd w:val="clear" w:color="auto" w:fill="auto"/>
            <w:vAlign w:val="center"/>
          </w:tcPr>
          <w:p w14:paraId="0AC0DCA9">
            <w:pPr>
              <w:widowControl/>
              <w:jc w:val="center"/>
              <w:textAlignment w:val="center"/>
              <w:rPr>
                <w:rFonts w:ascii="宋体" w:hAnsi="宋体" w:cs="宋体"/>
                <w:color w:val="auto"/>
                <w:sz w:val="22"/>
                <w:szCs w:val="22"/>
                <w:highlight w:val="none"/>
              </w:rPr>
            </w:pP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91919">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标定效验费</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EE87">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3CDF">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CDBF">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台</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EA7D">
            <w:pPr>
              <w:widowControl/>
              <w:jc w:val="center"/>
              <w:textAlignment w:val="center"/>
              <w:rPr>
                <w:rFonts w:ascii="宋体" w:hAnsi="宋体" w:cs="宋体"/>
                <w:color w:val="auto"/>
                <w:sz w:val="22"/>
                <w:szCs w:val="22"/>
                <w:highlight w:val="none"/>
              </w:rPr>
            </w:pPr>
          </w:p>
        </w:tc>
      </w:tr>
      <w:tr w14:paraId="263C1611">
        <w:tblPrEx>
          <w:tblCellMar>
            <w:top w:w="0" w:type="dxa"/>
            <w:left w:w="108" w:type="dxa"/>
            <w:bottom w:w="0" w:type="dxa"/>
            <w:right w:w="108" w:type="dxa"/>
          </w:tblCellMar>
        </w:tblPrEx>
        <w:trPr>
          <w:trHeight w:val="320" w:hRule="atLeast"/>
          <w:jc w:val="center"/>
        </w:trPr>
        <w:tc>
          <w:tcPr>
            <w:tcW w:w="597" w:type="dxa"/>
            <w:vMerge w:val="continue"/>
            <w:tcBorders>
              <w:left w:val="single" w:color="000000" w:sz="4" w:space="0"/>
              <w:bottom w:val="single" w:color="000000" w:sz="4" w:space="0"/>
              <w:right w:val="single" w:color="000000" w:sz="4" w:space="0"/>
            </w:tcBorders>
            <w:shd w:val="clear" w:color="auto" w:fill="auto"/>
            <w:vAlign w:val="center"/>
          </w:tcPr>
          <w:p w14:paraId="15127A82">
            <w:pPr>
              <w:widowControl/>
              <w:jc w:val="center"/>
              <w:textAlignment w:val="center"/>
              <w:rPr>
                <w:rFonts w:ascii="宋体" w:hAnsi="宋体" w:cs="宋体"/>
                <w:color w:val="auto"/>
                <w:sz w:val="22"/>
                <w:szCs w:val="22"/>
                <w:highlight w:val="none"/>
              </w:rPr>
            </w:pP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A0CA9">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安装调试费</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D68F">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9B91">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A4B0">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台</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30C7">
            <w:pPr>
              <w:widowControl/>
              <w:jc w:val="center"/>
              <w:textAlignment w:val="center"/>
              <w:rPr>
                <w:rFonts w:ascii="宋体" w:hAnsi="宋体" w:cs="宋体"/>
                <w:color w:val="auto"/>
                <w:sz w:val="22"/>
                <w:szCs w:val="22"/>
                <w:highlight w:val="none"/>
              </w:rPr>
            </w:pPr>
          </w:p>
        </w:tc>
      </w:tr>
      <w:tr w14:paraId="0CCA7D14">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5B3BC5">
            <w:pPr>
              <w:widowControl/>
              <w:jc w:val="center"/>
              <w:textAlignment w:val="center"/>
              <w:rPr>
                <w:rFonts w:ascii="宋体" w:hAnsi="宋体" w:cs="宋体"/>
                <w:b/>
                <w:bCs/>
                <w:color w:val="auto"/>
                <w:sz w:val="22"/>
                <w:szCs w:val="22"/>
                <w:highlight w:val="none"/>
              </w:rPr>
            </w:pPr>
            <w:r>
              <w:rPr>
                <w:rFonts w:hint="eastAsia" w:ascii="宋体" w:hAnsi="宋体" w:cs="宋体"/>
                <w:color w:val="auto"/>
                <w:kern w:val="0"/>
                <w:sz w:val="22"/>
                <w:szCs w:val="22"/>
                <w:highlight w:val="none"/>
              </w:rPr>
              <w:t>小计（不含税）</w:t>
            </w:r>
          </w:p>
        </w:tc>
        <w:tc>
          <w:tcPr>
            <w:tcW w:w="1006" w:type="dxa"/>
            <w:tcBorders>
              <w:top w:val="single" w:color="000000" w:sz="4" w:space="0"/>
              <w:left w:val="nil"/>
              <w:bottom w:val="single" w:color="000000" w:sz="4" w:space="0"/>
              <w:right w:val="single" w:color="000000" w:sz="4" w:space="0"/>
            </w:tcBorders>
            <w:shd w:val="clear" w:color="auto" w:fill="auto"/>
            <w:vAlign w:val="center"/>
          </w:tcPr>
          <w:p w14:paraId="47FA660A">
            <w:pPr>
              <w:jc w:val="center"/>
              <w:rPr>
                <w:rFonts w:ascii="宋体" w:hAnsi="宋体" w:cs="宋体"/>
                <w:b/>
                <w:bCs/>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C0A">
            <w:pPr>
              <w:widowControl/>
              <w:jc w:val="center"/>
              <w:textAlignment w:val="center"/>
              <w:rPr>
                <w:rFonts w:ascii="宋体" w:hAnsi="宋体" w:cs="宋体"/>
                <w:b/>
                <w:bCs/>
                <w:color w:val="auto"/>
                <w:sz w:val="22"/>
                <w:szCs w:val="22"/>
                <w:highlight w:val="none"/>
              </w:rPr>
            </w:pPr>
          </w:p>
        </w:tc>
      </w:tr>
      <w:tr w14:paraId="15B5F04A">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1CF46C">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rPr>
              <w:t>总计（不含税）</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1DB5">
            <w:pPr>
              <w:jc w:val="center"/>
              <w:rPr>
                <w:rFonts w:ascii="等线" w:hAnsi="等线" w:eastAsia="等线" w:cs="等线"/>
                <w:b/>
                <w:bCs/>
                <w:color w:val="auto"/>
                <w:sz w:val="22"/>
                <w:szCs w:val="22"/>
                <w:highlight w:val="none"/>
              </w:rPr>
            </w:pPr>
          </w:p>
        </w:tc>
        <w:tc>
          <w:tcPr>
            <w:tcW w:w="1404" w:type="dxa"/>
            <w:tcBorders>
              <w:top w:val="single" w:color="auto" w:sz="4" w:space="0"/>
              <w:left w:val="single" w:color="000000" w:sz="4" w:space="0"/>
              <w:bottom w:val="single" w:color="000000" w:sz="4" w:space="0"/>
              <w:right w:val="single" w:color="000000" w:sz="4" w:space="0"/>
            </w:tcBorders>
            <w:shd w:val="clear" w:color="auto" w:fill="auto"/>
            <w:vAlign w:val="center"/>
          </w:tcPr>
          <w:p w14:paraId="1E7CEB04">
            <w:pPr>
              <w:jc w:val="center"/>
              <w:rPr>
                <w:rFonts w:ascii="等线" w:hAnsi="等线" w:eastAsia="等线" w:cs="等线"/>
                <w:b/>
                <w:bCs/>
                <w:color w:val="auto"/>
                <w:sz w:val="22"/>
                <w:szCs w:val="22"/>
                <w:highlight w:val="none"/>
              </w:rPr>
            </w:pPr>
          </w:p>
        </w:tc>
      </w:tr>
      <w:tr w14:paraId="6126A92D">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794373">
            <w:pPr>
              <w:widowControl/>
              <w:jc w:val="center"/>
              <w:textAlignment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税率13%</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1AF9">
            <w:pPr>
              <w:jc w:val="center"/>
              <w:rPr>
                <w:rFonts w:ascii="等线" w:hAnsi="等线" w:eastAsia="等线" w:cs="等线"/>
                <w:b/>
                <w:bCs/>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E284">
            <w:pPr>
              <w:jc w:val="center"/>
              <w:rPr>
                <w:rFonts w:ascii="等线" w:hAnsi="等线" w:eastAsia="等线" w:cs="等线"/>
                <w:b/>
                <w:bCs/>
                <w:color w:val="auto"/>
                <w:sz w:val="22"/>
                <w:szCs w:val="22"/>
                <w:highlight w:val="none"/>
              </w:rPr>
            </w:pPr>
          </w:p>
        </w:tc>
      </w:tr>
      <w:tr w14:paraId="36394E73">
        <w:tblPrEx>
          <w:tblCellMar>
            <w:top w:w="0" w:type="dxa"/>
            <w:left w:w="108" w:type="dxa"/>
            <w:bottom w:w="0" w:type="dxa"/>
            <w:right w:w="108" w:type="dxa"/>
          </w:tblCellMar>
        </w:tblPrEx>
        <w:trPr>
          <w:trHeight w:val="33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6B532C">
            <w:pPr>
              <w:widowControl/>
              <w:jc w:val="center"/>
              <w:textAlignment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合计含税价格大写人民币：XX元</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C86C">
            <w:pPr>
              <w:jc w:val="center"/>
              <w:rPr>
                <w:rFonts w:ascii="等线" w:hAnsi="等线" w:eastAsia="等线" w:cs="等线"/>
                <w:b/>
                <w:bCs/>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5D52">
            <w:pPr>
              <w:jc w:val="center"/>
              <w:rPr>
                <w:rFonts w:ascii="等线" w:hAnsi="等线" w:eastAsia="等线" w:cs="等线"/>
                <w:b/>
                <w:bCs/>
                <w:color w:val="auto"/>
                <w:sz w:val="22"/>
                <w:szCs w:val="22"/>
                <w:highlight w:val="none"/>
              </w:rPr>
            </w:pPr>
          </w:p>
        </w:tc>
      </w:tr>
    </w:tbl>
    <w:p w14:paraId="238B75A4">
      <w:pPr>
        <w:jc w:val="left"/>
        <w:rPr>
          <w:color w:val="auto"/>
          <w:highlight w:val="none"/>
        </w:rPr>
      </w:pPr>
    </w:p>
    <w:p w14:paraId="59DED419">
      <w:pPr>
        <w:pStyle w:val="25"/>
        <w:rPr>
          <w:rFonts w:hAnsi="宋体" w:eastAsia="宋体"/>
          <w:color w:val="auto"/>
          <w:highlight w:val="none"/>
        </w:rPr>
      </w:pPr>
    </w:p>
    <w:p w14:paraId="1EED5FB0">
      <w:pPr>
        <w:spacing w:before="58" w:line="219" w:lineRule="auto"/>
        <w:ind w:left="8"/>
        <w:rPr>
          <w:rFonts w:ascii="宋体" w:hAnsi="宋体" w:cs="宋体"/>
          <w:color w:val="auto"/>
          <w:spacing w:val="-8"/>
          <w:szCs w:val="21"/>
          <w:highlight w:val="none"/>
        </w:rPr>
      </w:pPr>
      <w:r>
        <w:rPr>
          <w:rFonts w:ascii="宋体" w:hAnsi="宋体" w:cs="宋体"/>
          <w:color w:val="auto"/>
          <w:spacing w:val="-8"/>
          <w:szCs w:val="21"/>
          <w:highlight w:val="none"/>
        </w:rPr>
        <w:t>注：1.以上是各单体设备分项报价应包括的内容， 但不限于此，表中“总价合计”构成主机价格的一部分。</w:t>
      </w:r>
    </w:p>
    <w:p w14:paraId="3583ADEE">
      <w:pPr>
        <w:spacing w:before="58" w:line="219" w:lineRule="auto"/>
        <w:ind w:left="8"/>
        <w:rPr>
          <w:rFonts w:ascii="宋体" w:hAnsi="宋体" w:cs="宋体"/>
          <w:color w:val="auto"/>
          <w:spacing w:val="-8"/>
          <w:szCs w:val="21"/>
          <w:highlight w:val="none"/>
        </w:rPr>
      </w:pPr>
      <w:r>
        <w:rPr>
          <w:rFonts w:ascii="宋体" w:hAnsi="宋体" w:cs="宋体"/>
          <w:color w:val="auto"/>
          <w:spacing w:val="-8"/>
          <w:szCs w:val="21"/>
          <w:highlight w:val="none"/>
        </w:rPr>
        <w:t>2.如果按单价计算的结果与总价不一致，以单价为准修正总价。</w:t>
      </w:r>
    </w:p>
    <w:p w14:paraId="560224CE">
      <w:pPr>
        <w:spacing w:before="58" w:line="219" w:lineRule="auto"/>
        <w:ind w:left="8"/>
        <w:rPr>
          <w:rFonts w:ascii="宋体" w:hAnsi="宋体" w:cs="宋体"/>
          <w:color w:val="auto"/>
          <w:spacing w:val="-8"/>
          <w:szCs w:val="21"/>
          <w:highlight w:val="none"/>
        </w:rPr>
      </w:pPr>
      <w:r>
        <w:rPr>
          <w:rFonts w:ascii="宋体" w:hAnsi="宋体" w:cs="宋体"/>
          <w:color w:val="auto"/>
          <w:spacing w:val="-8"/>
          <w:szCs w:val="21"/>
          <w:highlight w:val="none"/>
        </w:rPr>
        <w:t>3.此分项报价，仅是为了方便招标人对投标文件进行分析比较，不作为限制订立合同的条件。</w:t>
      </w:r>
    </w:p>
    <w:p w14:paraId="2019320B">
      <w:pPr>
        <w:spacing w:before="58" w:line="219" w:lineRule="auto"/>
        <w:ind w:left="8"/>
        <w:rPr>
          <w:rFonts w:ascii="宋体" w:hAnsi="宋体" w:cs="宋体"/>
          <w:color w:val="auto"/>
          <w:spacing w:val="-8"/>
          <w:szCs w:val="21"/>
          <w:highlight w:val="none"/>
        </w:rPr>
      </w:pPr>
      <w:r>
        <w:rPr>
          <w:rFonts w:hint="eastAsia" w:ascii="宋体" w:hAnsi="宋体" w:cs="宋体"/>
          <w:color w:val="auto"/>
          <w:spacing w:val="-8"/>
          <w:szCs w:val="21"/>
          <w:highlight w:val="none"/>
        </w:rPr>
        <w:t>4.如上表中的有关费用投标人免费提供，请注明“免费”字样。</w:t>
      </w:r>
    </w:p>
    <w:p w14:paraId="2F1D7053">
      <w:pPr>
        <w:spacing w:before="58" w:line="219" w:lineRule="auto"/>
        <w:ind w:left="8"/>
        <w:rPr>
          <w:rFonts w:ascii="宋体" w:hAnsi="宋体" w:cs="宋体"/>
          <w:color w:val="auto"/>
          <w:spacing w:val="-8"/>
          <w:szCs w:val="21"/>
          <w:highlight w:val="none"/>
        </w:rPr>
      </w:pPr>
      <w:r>
        <w:rPr>
          <w:rFonts w:hint="eastAsia" w:ascii="宋体" w:hAnsi="宋体" w:cs="宋体"/>
          <w:color w:val="auto"/>
          <w:spacing w:val="-8"/>
          <w:szCs w:val="21"/>
          <w:highlight w:val="none"/>
        </w:rPr>
        <w:t>5.该明细表所有信息均为必填项，不得删减，价格部分不得合并，可细化可增加。</w:t>
      </w:r>
    </w:p>
    <w:p w14:paraId="016D6AA2">
      <w:pPr>
        <w:spacing w:before="58" w:line="219" w:lineRule="auto"/>
        <w:ind w:left="8"/>
        <w:rPr>
          <w:rFonts w:ascii="宋体" w:hAnsi="宋体" w:cs="宋体"/>
          <w:color w:val="auto"/>
          <w:spacing w:val="-8"/>
          <w:szCs w:val="21"/>
          <w:highlight w:val="none"/>
        </w:rPr>
      </w:pPr>
      <w:r>
        <w:rPr>
          <w:rFonts w:hint="eastAsia" w:ascii="宋体" w:hAnsi="宋体" w:cs="宋体"/>
          <w:color w:val="auto"/>
          <w:spacing w:val="-8"/>
          <w:szCs w:val="21"/>
          <w:highlight w:val="none"/>
        </w:rPr>
        <w:t>6.因填写不规范造成废标及终止招标的，责任由投标人自负。</w:t>
      </w:r>
    </w:p>
    <w:p w14:paraId="24C032A0">
      <w:pPr>
        <w:pStyle w:val="25"/>
        <w:rPr>
          <w:rFonts w:hAnsi="宋体" w:eastAsia="宋体" w:cs="宋体"/>
          <w:color w:val="auto"/>
          <w:spacing w:val="-6"/>
          <w:szCs w:val="21"/>
          <w:highlight w:val="none"/>
        </w:rPr>
      </w:pPr>
    </w:p>
    <w:p w14:paraId="1AC767A9">
      <w:pPr>
        <w:pStyle w:val="25"/>
        <w:rPr>
          <w:rFonts w:hAnsi="宋体" w:eastAsia="宋体" w:cs="宋体"/>
          <w:color w:val="auto"/>
          <w:spacing w:val="-6"/>
          <w:szCs w:val="21"/>
          <w:highlight w:val="none"/>
        </w:rPr>
      </w:pPr>
    </w:p>
    <w:p w14:paraId="30510BA0">
      <w:pPr>
        <w:pStyle w:val="25"/>
        <w:rPr>
          <w:color w:val="auto"/>
          <w:highlight w:val="none"/>
        </w:rPr>
        <w:sectPr>
          <w:pgSz w:w="11906" w:h="16838"/>
          <w:pgMar w:top="1588" w:right="1418" w:bottom="1134" w:left="1418" w:header="851" w:footer="992" w:gutter="0"/>
          <w:cols w:space="720" w:num="1"/>
          <w:titlePg/>
          <w:docGrid w:type="lines" w:linePitch="312" w:charSpace="0"/>
        </w:sectPr>
      </w:pPr>
      <w:r>
        <w:rPr>
          <w:rFonts w:hint="eastAsia" w:hAnsi="宋体" w:eastAsia="宋体" w:cs="宋体"/>
          <w:color w:val="auto"/>
          <w:spacing w:val="-4"/>
          <w:szCs w:val="24"/>
          <w:highlight w:val="none"/>
        </w:rPr>
        <w:t xml:space="preserve">投标人(章)：         </w:t>
      </w:r>
      <w:r>
        <w:rPr>
          <w:rFonts w:hint="eastAsia" w:hAnsi="宋体" w:eastAsia="宋体" w:cs="宋体"/>
          <w:color w:val="auto"/>
          <w:spacing w:val="-2"/>
          <w:szCs w:val="24"/>
          <w:highlight w:val="none"/>
        </w:rPr>
        <w:t xml:space="preserve">授权代表(签字)：年   </w:t>
      </w:r>
      <w:r>
        <w:rPr>
          <w:rFonts w:hint="eastAsia" w:hAnsi="宋体" w:eastAsia="宋体" w:cs="宋体"/>
          <w:color w:val="auto"/>
          <w:spacing w:val="-2"/>
          <w:szCs w:val="24"/>
          <w:highlight w:val="none"/>
          <w:lang w:val="en-US"/>
        </w:rPr>
        <w:t>月   日</w:t>
      </w:r>
    </w:p>
    <w:p w14:paraId="29345D03">
      <w:pPr>
        <w:keepNext/>
        <w:keepLines/>
        <w:outlineLvl w:val="1"/>
        <w:rPr>
          <w:b/>
          <w:bCs/>
          <w:color w:val="auto"/>
          <w:sz w:val="24"/>
          <w:szCs w:val="24"/>
          <w:highlight w:val="none"/>
        </w:rPr>
      </w:pPr>
      <w:r>
        <w:rPr>
          <w:b/>
          <w:bCs/>
          <w:color w:val="auto"/>
          <w:sz w:val="24"/>
          <w:szCs w:val="24"/>
          <w:highlight w:val="none"/>
        </w:rPr>
        <w:t>附件10 商务条款偏离表</w:t>
      </w:r>
    </w:p>
    <w:p w14:paraId="0F84B258">
      <w:pPr>
        <w:rPr>
          <w:color w:val="auto"/>
          <w:highlight w:val="none"/>
        </w:rPr>
      </w:pPr>
    </w:p>
    <w:tbl>
      <w:tblPr>
        <w:tblStyle w:val="49"/>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5AA65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86E89CF">
            <w:pPr>
              <w:jc w:val="center"/>
              <w:rPr>
                <w:b/>
                <w:color w:val="auto"/>
                <w:highlight w:val="none"/>
              </w:rPr>
            </w:pPr>
            <w:r>
              <w:rPr>
                <w:b/>
                <w:color w:val="auto"/>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49E82667">
            <w:pPr>
              <w:jc w:val="center"/>
              <w:rPr>
                <w:b/>
                <w:color w:val="auto"/>
                <w:highlight w:val="none"/>
              </w:rPr>
            </w:pPr>
            <w:r>
              <w:rPr>
                <w:b/>
                <w:color w:val="auto"/>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022FC01">
            <w:pPr>
              <w:jc w:val="center"/>
              <w:rPr>
                <w:b/>
                <w:color w:val="auto"/>
                <w:highlight w:val="none"/>
              </w:rPr>
            </w:pPr>
            <w:r>
              <w:rPr>
                <w:b/>
                <w:color w:val="auto"/>
                <w:highlight w:val="none"/>
              </w:rPr>
              <w:t>响应规格</w:t>
            </w:r>
          </w:p>
        </w:tc>
        <w:tc>
          <w:tcPr>
            <w:tcW w:w="1645" w:type="dxa"/>
            <w:tcBorders>
              <w:top w:val="single" w:color="auto" w:sz="4" w:space="0"/>
              <w:left w:val="single" w:color="auto" w:sz="4" w:space="0"/>
              <w:bottom w:val="single" w:color="auto" w:sz="4" w:space="0"/>
            </w:tcBorders>
            <w:vAlign w:val="center"/>
          </w:tcPr>
          <w:p w14:paraId="56F3C5FF">
            <w:pPr>
              <w:jc w:val="center"/>
              <w:rPr>
                <w:b/>
                <w:color w:val="auto"/>
                <w:highlight w:val="none"/>
              </w:rPr>
            </w:pPr>
            <w:r>
              <w:rPr>
                <w:b/>
                <w:color w:val="auto"/>
                <w:highlight w:val="none"/>
              </w:rPr>
              <w:t>是否偏离</w:t>
            </w:r>
          </w:p>
          <w:p w14:paraId="2503A14E">
            <w:pPr>
              <w:jc w:val="center"/>
              <w:rPr>
                <w:b/>
                <w:color w:val="auto"/>
                <w:highlight w:val="none"/>
              </w:rPr>
            </w:pPr>
            <w:r>
              <w:rPr>
                <w:b/>
                <w:color w:val="auto"/>
                <w:highlight w:val="none"/>
              </w:rPr>
              <w:t>（提供说明）</w:t>
            </w:r>
          </w:p>
        </w:tc>
      </w:tr>
      <w:tr w14:paraId="2F6635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5943756">
            <w:pPr>
              <w:jc w:val="center"/>
              <w:rPr>
                <w:b/>
                <w:color w:val="auto"/>
                <w:highlight w:val="none"/>
              </w:rPr>
            </w:pPr>
            <w:r>
              <w:rPr>
                <w:b/>
                <w:color w:val="auto"/>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7A45DB4">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7DA380B">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38D642D4">
            <w:pPr>
              <w:jc w:val="center"/>
              <w:rPr>
                <w:b/>
                <w:color w:val="auto"/>
                <w:highlight w:val="none"/>
              </w:rPr>
            </w:pPr>
          </w:p>
        </w:tc>
      </w:tr>
      <w:tr w14:paraId="49D74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05459A">
            <w:pPr>
              <w:jc w:val="center"/>
              <w:rPr>
                <w:b/>
                <w:color w:val="auto"/>
                <w:highlight w:val="none"/>
              </w:rPr>
            </w:pPr>
            <w:r>
              <w:rPr>
                <w:b/>
                <w:color w:val="auto"/>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54E0E5D">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5516DEDC">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6431EAF9">
            <w:pPr>
              <w:jc w:val="center"/>
              <w:rPr>
                <w:b/>
                <w:color w:val="auto"/>
                <w:szCs w:val="21"/>
                <w:highlight w:val="none"/>
              </w:rPr>
            </w:pPr>
          </w:p>
        </w:tc>
      </w:tr>
      <w:tr w14:paraId="3CA77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7DD0563">
            <w:pPr>
              <w:jc w:val="center"/>
              <w:rPr>
                <w:b/>
                <w:color w:val="auto"/>
                <w:highlight w:val="none"/>
              </w:rPr>
            </w:pPr>
            <w:r>
              <w:rPr>
                <w:b/>
                <w:color w:val="auto"/>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14:paraId="7EA0A1D9">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3C4548A3">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44AD1C51">
            <w:pPr>
              <w:jc w:val="center"/>
              <w:rPr>
                <w:b/>
                <w:color w:val="auto"/>
                <w:highlight w:val="none"/>
              </w:rPr>
            </w:pPr>
          </w:p>
        </w:tc>
      </w:tr>
      <w:tr w14:paraId="25976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27A21C6">
            <w:pPr>
              <w:jc w:val="center"/>
              <w:rPr>
                <w:b/>
                <w:color w:val="auto"/>
                <w:highlight w:val="none"/>
              </w:rPr>
            </w:pPr>
            <w:r>
              <w:rPr>
                <w:b/>
                <w:color w:val="auto"/>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3AA451FB">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A9DD7C8">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26D8BCCE">
            <w:pPr>
              <w:jc w:val="center"/>
              <w:rPr>
                <w:b/>
                <w:color w:val="auto"/>
                <w:szCs w:val="21"/>
                <w:highlight w:val="none"/>
              </w:rPr>
            </w:pPr>
          </w:p>
          <w:p w14:paraId="08CCEA0A">
            <w:pPr>
              <w:jc w:val="center"/>
              <w:rPr>
                <w:b/>
                <w:color w:val="auto"/>
                <w:szCs w:val="21"/>
                <w:highlight w:val="none"/>
              </w:rPr>
            </w:pPr>
          </w:p>
          <w:p w14:paraId="68AB115F">
            <w:pPr>
              <w:jc w:val="center"/>
              <w:rPr>
                <w:b/>
                <w:color w:val="auto"/>
                <w:szCs w:val="21"/>
                <w:highlight w:val="none"/>
              </w:rPr>
            </w:pPr>
          </w:p>
          <w:p w14:paraId="70441D5C">
            <w:pPr>
              <w:jc w:val="center"/>
              <w:rPr>
                <w:b/>
                <w:color w:val="auto"/>
                <w:szCs w:val="21"/>
                <w:highlight w:val="none"/>
              </w:rPr>
            </w:pPr>
          </w:p>
          <w:p w14:paraId="268AACE7">
            <w:pPr>
              <w:jc w:val="center"/>
              <w:rPr>
                <w:b/>
                <w:color w:val="auto"/>
                <w:szCs w:val="21"/>
                <w:highlight w:val="none"/>
              </w:rPr>
            </w:pPr>
          </w:p>
          <w:p w14:paraId="27E92983">
            <w:pPr>
              <w:jc w:val="center"/>
              <w:rPr>
                <w:b/>
                <w:color w:val="auto"/>
                <w:szCs w:val="21"/>
                <w:highlight w:val="none"/>
              </w:rPr>
            </w:pPr>
          </w:p>
          <w:p w14:paraId="70A1C609">
            <w:pPr>
              <w:jc w:val="center"/>
              <w:rPr>
                <w:b/>
                <w:color w:val="auto"/>
                <w:szCs w:val="21"/>
                <w:highlight w:val="none"/>
              </w:rPr>
            </w:pPr>
          </w:p>
          <w:p w14:paraId="62C8760C">
            <w:pPr>
              <w:jc w:val="center"/>
              <w:rPr>
                <w:b/>
                <w:color w:val="auto"/>
                <w:szCs w:val="21"/>
                <w:highlight w:val="none"/>
              </w:rPr>
            </w:pPr>
          </w:p>
          <w:p w14:paraId="68F2EC0A">
            <w:pPr>
              <w:jc w:val="center"/>
              <w:rPr>
                <w:b/>
                <w:color w:val="auto"/>
                <w:szCs w:val="21"/>
                <w:highlight w:val="none"/>
              </w:rPr>
            </w:pPr>
          </w:p>
          <w:p w14:paraId="12ABAC68">
            <w:pPr>
              <w:jc w:val="center"/>
              <w:rPr>
                <w:b/>
                <w:color w:val="auto"/>
                <w:szCs w:val="21"/>
                <w:highlight w:val="none"/>
              </w:rPr>
            </w:pPr>
          </w:p>
          <w:p w14:paraId="25BC9107">
            <w:pPr>
              <w:jc w:val="center"/>
              <w:rPr>
                <w:b/>
                <w:color w:val="auto"/>
                <w:szCs w:val="21"/>
                <w:highlight w:val="none"/>
              </w:rPr>
            </w:pPr>
          </w:p>
          <w:p w14:paraId="455B2E42">
            <w:pPr>
              <w:jc w:val="center"/>
              <w:rPr>
                <w:b/>
                <w:color w:val="auto"/>
                <w:szCs w:val="21"/>
                <w:highlight w:val="none"/>
              </w:rPr>
            </w:pPr>
          </w:p>
          <w:p w14:paraId="38948A30">
            <w:pPr>
              <w:jc w:val="center"/>
              <w:rPr>
                <w:b/>
                <w:color w:val="auto"/>
                <w:szCs w:val="21"/>
                <w:highlight w:val="none"/>
              </w:rPr>
            </w:pPr>
          </w:p>
          <w:p w14:paraId="1060D5B7">
            <w:pPr>
              <w:jc w:val="center"/>
              <w:rPr>
                <w:b/>
                <w:color w:val="auto"/>
                <w:szCs w:val="21"/>
                <w:highlight w:val="none"/>
              </w:rPr>
            </w:pPr>
          </w:p>
          <w:p w14:paraId="3E56B887">
            <w:pPr>
              <w:jc w:val="center"/>
              <w:rPr>
                <w:b/>
                <w:color w:val="auto"/>
                <w:szCs w:val="21"/>
                <w:highlight w:val="none"/>
              </w:rPr>
            </w:pPr>
          </w:p>
          <w:p w14:paraId="0C181961">
            <w:pPr>
              <w:jc w:val="center"/>
              <w:rPr>
                <w:b/>
                <w:color w:val="auto"/>
                <w:szCs w:val="21"/>
                <w:highlight w:val="none"/>
              </w:rPr>
            </w:pPr>
          </w:p>
          <w:p w14:paraId="2FF4EC3E">
            <w:pPr>
              <w:jc w:val="center"/>
              <w:rPr>
                <w:b/>
                <w:color w:val="auto"/>
                <w:highlight w:val="none"/>
              </w:rPr>
            </w:pPr>
          </w:p>
        </w:tc>
      </w:tr>
      <w:tr w14:paraId="547D3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C02A819">
            <w:pPr>
              <w:jc w:val="center"/>
              <w:rPr>
                <w:b/>
                <w:color w:val="auto"/>
                <w:highlight w:val="none"/>
              </w:rPr>
            </w:pPr>
            <w:r>
              <w:rPr>
                <w:b/>
                <w:color w:val="auto"/>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71F49E32">
            <w:pPr>
              <w:jc w:val="center"/>
              <w:rPr>
                <w:b/>
                <w:color w:val="auto"/>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2CD97BBF">
            <w:pPr>
              <w:jc w:val="center"/>
              <w:rPr>
                <w:b/>
                <w:color w:val="auto"/>
                <w:highlight w:val="none"/>
              </w:rPr>
            </w:pPr>
          </w:p>
        </w:tc>
        <w:tc>
          <w:tcPr>
            <w:tcW w:w="1645" w:type="dxa"/>
            <w:tcBorders>
              <w:top w:val="single" w:color="auto" w:sz="4" w:space="0"/>
              <w:left w:val="single" w:color="auto" w:sz="4" w:space="0"/>
              <w:bottom w:val="single" w:color="auto" w:sz="4" w:space="0"/>
            </w:tcBorders>
            <w:vAlign w:val="center"/>
          </w:tcPr>
          <w:p w14:paraId="2755DF17">
            <w:pPr>
              <w:jc w:val="center"/>
              <w:rPr>
                <w:b/>
                <w:color w:val="auto"/>
                <w:highlight w:val="none"/>
              </w:rPr>
            </w:pPr>
          </w:p>
        </w:tc>
      </w:tr>
    </w:tbl>
    <w:p w14:paraId="490C2DBE">
      <w:pPr>
        <w:spacing w:line="360" w:lineRule="auto"/>
        <w:ind w:firstLine="480" w:firstLineChars="200"/>
        <w:rPr>
          <w:color w:val="auto"/>
          <w:sz w:val="24"/>
          <w:szCs w:val="24"/>
          <w:highlight w:val="none"/>
        </w:rPr>
      </w:pPr>
      <w:r>
        <w:rPr>
          <w:color w:val="auto"/>
          <w:sz w:val="24"/>
          <w:szCs w:val="24"/>
          <w:highlight w:val="none"/>
        </w:rPr>
        <w:t>投标人名称：                   授权代表签字：            日期：</w:t>
      </w:r>
    </w:p>
    <w:p w14:paraId="06809177">
      <w:pPr>
        <w:spacing w:line="360" w:lineRule="auto"/>
        <w:ind w:firstLine="480" w:firstLineChars="200"/>
        <w:rPr>
          <w:color w:val="auto"/>
          <w:sz w:val="24"/>
          <w:szCs w:val="24"/>
          <w:highlight w:val="none"/>
        </w:rPr>
      </w:pPr>
      <w:r>
        <w:rPr>
          <w:color w:val="auto"/>
          <w:sz w:val="24"/>
          <w:szCs w:val="24"/>
          <w:highlight w:val="none"/>
        </w:rPr>
        <w:t>注：为避免歧义，无偏离也应要提报该表，并注明“无”字。如无该表则即使在其它部分已反映，将也被视为“无偏离”。</w:t>
      </w:r>
    </w:p>
    <w:p w14:paraId="3A339989">
      <w:pPr>
        <w:rPr>
          <w:color w:val="auto"/>
          <w:highlight w:val="none"/>
        </w:rPr>
      </w:pPr>
    </w:p>
    <w:p w14:paraId="3B8FD2D3">
      <w:pPr>
        <w:rPr>
          <w:b/>
          <w:bCs/>
          <w:color w:val="auto"/>
          <w:sz w:val="28"/>
          <w:highlight w:val="none"/>
        </w:rPr>
      </w:pPr>
    </w:p>
    <w:p w14:paraId="04EC5D14">
      <w:pPr>
        <w:rPr>
          <w:color w:val="auto"/>
          <w:highlight w:val="none"/>
        </w:rPr>
        <w:sectPr>
          <w:headerReference r:id="rId12" w:type="default"/>
          <w:footerReference r:id="rId13" w:type="default"/>
          <w:pgSz w:w="11906" w:h="16838"/>
          <w:pgMar w:top="1588" w:right="1418" w:bottom="1134" w:left="1418" w:header="851" w:footer="992" w:gutter="0"/>
          <w:cols w:space="720" w:num="1"/>
          <w:titlePg/>
          <w:docGrid w:type="lines" w:linePitch="312" w:charSpace="0"/>
        </w:sectPr>
      </w:pPr>
    </w:p>
    <w:p w14:paraId="0FF7E1BA">
      <w:pPr>
        <w:spacing w:before="110" w:line="227" w:lineRule="auto"/>
        <w:ind w:left="29"/>
        <w:outlineLvl w:val="1"/>
        <w:rPr>
          <w:color w:val="auto"/>
          <w:sz w:val="24"/>
          <w:szCs w:val="24"/>
          <w:highlight w:val="none"/>
        </w:rPr>
      </w:pPr>
      <w:r>
        <w:rPr>
          <w:b/>
          <w:bCs/>
          <w:color w:val="auto"/>
          <w:sz w:val="24"/>
          <w:szCs w:val="24"/>
          <w:highlight w:val="none"/>
        </w:rPr>
        <w:t>附件11 投标人承诺</w:t>
      </w:r>
    </w:p>
    <w:p w14:paraId="498952A0">
      <w:pPr>
        <w:spacing w:line="272" w:lineRule="auto"/>
        <w:rPr>
          <w:color w:val="auto"/>
          <w:highlight w:val="none"/>
        </w:rPr>
      </w:pPr>
    </w:p>
    <w:p w14:paraId="73B9E330">
      <w:pPr>
        <w:spacing w:before="75" w:line="228" w:lineRule="auto"/>
        <w:ind w:left="134"/>
        <w:rPr>
          <w:color w:val="auto"/>
          <w:sz w:val="24"/>
          <w:szCs w:val="24"/>
          <w:highlight w:val="none"/>
        </w:rPr>
      </w:pPr>
      <w:r>
        <w:rPr>
          <w:color w:val="auto"/>
          <w:spacing w:val="-10"/>
          <w:sz w:val="24"/>
          <w:szCs w:val="24"/>
          <w:highlight w:val="none"/>
        </w:rPr>
        <w:t>项</w:t>
      </w:r>
      <w:r>
        <w:rPr>
          <w:color w:val="auto"/>
          <w:spacing w:val="-9"/>
          <w:sz w:val="24"/>
          <w:szCs w:val="24"/>
          <w:highlight w:val="none"/>
        </w:rPr>
        <w:t>目</w:t>
      </w:r>
      <w:r>
        <w:rPr>
          <w:color w:val="auto"/>
          <w:spacing w:val="-5"/>
          <w:sz w:val="24"/>
          <w:szCs w:val="24"/>
          <w:highlight w:val="none"/>
        </w:rPr>
        <w:t>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0446B635">
      <w:pPr>
        <w:spacing w:before="306" w:line="227" w:lineRule="auto"/>
        <w:ind w:left="205"/>
        <w:rPr>
          <w:color w:val="auto"/>
          <w:sz w:val="24"/>
          <w:szCs w:val="24"/>
          <w:highlight w:val="none"/>
        </w:rPr>
      </w:pPr>
      <w:r>
        <w:rPr>
          <w:color w:val="auto"/>
          <w:spacing w:val="-4"/>
          <w:sz w:val="24"/>
          <w:szCs w:val="24"/>
          <w:highlight w:val="none"/>
        </w:rPr>
        <w:t xml:space="preserve">日期： </w:t>
      </w:r>
      <w:r>
        <w:rPr>
          <w:color w:val="auto"/>
          <w:spacing w:val="-2"/>
          <w:sz w:val="24"/>
          <w:szCs w:val="24"/>
          <w:highlight w:val="none"/>
        </w:rPr>
        <w:t xml:space="preserve">   年   月   日</w:t>
      </w:r>
    </w:p>
    <w:p w14:paraId="6AFFBCC4">
      <w:pPr>
        <w:rPr>
          <w:color w:val="auto"/>
          <w:highlight w:val="none"/>
        </w:rPr>
      </w:pPr>
    </w:p>
    <w:p w14:paraId="7EEF7AB1">
      <w:pPr>
        <w:spacing w:line="109" w:lineRule="exact"/>
        <w:rPr>
          <w:color w:val="auto"/>
          <w:highlight w:val="none"/>
        </w:rPr>
      </w:pPr>
    </w:p>
    <w:tbl>
      <w:tblPr>
        <w:tblStyle w:val="2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096ABA4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3EEF7840">
            <w:pPr>
              <w:spacing w:before="52" w:line="227" w:lineRule="auto"/>
              <w:ind w:left="128"/>
              <w:rPr>
                <w:color w:val="auto"/>
                <w:sz w:val="24"/>
                <w:szCs w:val="24"/>
                <w:highlight w:val="none"/>
              </w:rPr>
            </w:pPr>
            <w:r>
              <w:rPr>
                <w:color w:val="auto"/>
                <w:spacing w:val="5"/>
                <w:sz w:val="24"/>
                <w:szCs w:val="24"/>
                <w:highlight w:val="none"/>
              </w:rPr>
              <w:t>投</w:t>
            </w:r>
            <w:r>
              <w:rPr>
                <w:color w:val="auto"/>
                <w:spacing w:val="3"/>
                <w:sz w:val="24"/>
                <w:szCs w:val="24"/>
                <w:highlight w:val="none"/>
              </w:rPr>
              <w:t>标人承诺：</w:t>
            </w:r>
          </w:p>
          <w:p w14:paraId="320C90B5">
            <w:pPr>
              <w:spacing w:before="48" w:line="391" w:lineRule="auto"/>
              <w:ind w:left="125" w:right="115" w:firstLine="491"/>
              <w:rPr>
                <w:color w:val="auto"/>
                <w:sz w:val="23"/>
                <w:szCs w:val="23"/>
                <w:highlight w:val="none"/>
              </w:rPr>
            </w:pPr>
            <w:r>
              <w:rPr>
                <w:color w:val="auto"/>
                <w:spacing w:val="38"/>
                <w:sz w:val="24"/>
                <w:szCs w:val="24"/>
                <w:highlight w:val="none"/>
              </w:rPr>
              <w:t>我</w:t>
            </w:r>
            <w:r>
              <w:rPr>
                <w:color w:val="auto"/>
                <w:spacing w:val="21"/>
                <w:sz w:val="24"/>
                <w:szCs w:val="24"/>
                <w:highlight w:val="none"/>
              </w:rPr>
              <w:t>公司承诺遵守贵公司由于招标人公司政策变化引起的随时终止项目的要求并</w:t>
            </w:r>
            <w:r>
              <w:rPr>
                <w:color w:val="auto"/>
                <w:spacing w:val="12"/>
                <w:sz w:val="24"/>
                <w:szCs w:val="24"/>
                <w:highlight w:val="none"/>
              </w:rPr>
              <w:t>承</w:t>
            </w:r>
            <w:r>
              <w:rPr>
                <w:color w:val="auto"/>
                <w:spacing w:val="6"/>
                <w:sz w:val="24"/>
                <w:szCs w:val="24"/>
                <w:highlight w:val="none"/>
              </w:rPr>
              <w:t>担由此带来的一切损失</w:t>
            </w:r>
            <w:r>
              <w:rPr>
                <w:color w:val="auto"/>
                <w:spacing w:val="6"/>
                <w:sz w:val="23"/>
                <w:szCs w:val="23"/>
                <w:highlight w:val="none"/>
              </w:rPr>
              <w:t>。</w:t>
            </w:r>
          </w:p>
        </w:tc>
      </w:tr>
    </w:tbl>
    <w:p w14:paraId="5E10C25F">
      <w:pPr>
        <w:keepNext/>
        <w:keepLines/>
        <w:rPr>
          <w:b/>
          <w:bCs/>
          <w:color w:val="auto"/>
          <w:sz w:val="24"/>
          <w:szCs w:val="24"/>
          <w:highlight w:val="none"/>
        </w:rPr>
      </w:pPr>
    </w:p>
    <w:p w14:paraId="305D7BD4">
      <w:pPr>
        <w:spacing w:before="75" w:line="227" w:lineRule="auto"/>
        <w:ind w:left="135"/>
        <w:rPr>
          <w:color w:val="auto"/>
          <w:spacing w:val="-2"/>
          <w:sz w:val="24"/>
          <w:szCs w:val="24"/>
          <w:highlight w:val="none"/>
        </w:rPr>
      </w:pPr>
    </w:p>
    <w:p w14:paraId="7F7302F6">
      <w:pPr>
        <w:spacing w:before="75" w:line="227" w:lineRule="auto"/>
        <w:ind w:left="135"/>
        <w:rPr>
          <w:color w:val="auto"/>
          <w:spacing w:val="-2"/>
          <w:sz w:val="24"/>
          <w:szCs w:val="24"/>
          <w:highlight w:val="none"/>
        </w:rPr>
      </w:pPr>
    </w:p>
    <w:p w14:paraId="79AFEC26">
      <w:pPr>
        <w:spacing w:before="75" w:line="227" w:lineRule="auto"/>
        <w:ind w:left="135"/>
        <w:rPr>
          <w:color w:val="auto"/>
          <w:sz w:val="24"/>
          <w:szCs w:val="24"/>
          <w:highlight w:val="none"/>
        </w:rPr>
      </w:pPr>
      <w:r>
        <w:rPr>
          <w:color w:val="auto"/>
          <w:spacing w:val="-2"/>
          <w:sz w:val="24"/>
          <w:szCs w:val="24"/>
          <w:highlight w:val="none"/>
        </w:rPr>
        <w:t>投标人名称 (盖章)：                法定代表人或授权代表(签字</w:t>
      </w:r>
      <w:r>
        <w:rPr>
          <w:color w:val="auto"/>
          <w:sz w:val="24"/>
          <w:szCs w:val="24"/>
          <w:highlight w:val="none"/>
        </w:rPr>
        <w:t>)：</w:t>
      </w:r>
    </w:p>
    <w:p w14:paraId="27B0B3C9">
      <w:pPr>
        <w:rPr>
          <w:color w:val="auto"/>
          <w:highlight w:val="none"/>
        </w:rPr>
        <w:sectPr>
          <w:footerReference r:id="rId14" w:type="default"/>
          <w:pgSz w:w="11906" w:h="16839"/>
          <w:pgMar w:top="1431" w:right="1417" w:bottom="1179" w:left="1304" w:header="850" w:footer="992" w:gutter="0"/>
          <w:cols w:space="720" w:num="1"/>
        </w:sectPr>
      </w:pPr>
    </w:p>
    <w:p w14:paraId="22C8B662">
      <w:pPr>
        <w:keepNext/>
        <w:keepLines/>
        <w:outlineLvl w:val="1"/>
        <w:rPr>
          <w:b/>
          <w:bCs/>
          <w:color w:val="auto"/>
          <w:sz w:val="24"/>
          <w:szCs w:val="24"/>
          <w:highlight w:val="none"/>
        </w:rPr>
      </w:pPr>
      <w:r>
        <w:rPr>
          <w:b/>
          <w:bCs/>
          <w:color w:val="auto"/>
          <w:sz w:val="24"/>
          <w:szCs w:val="24"/>
          <w:highlight w:val="none"/>
        </w:rPr>
        <w:t>附件12 服务承诺函</w:t>
      </w:r>
    </w:p>
    <w:p w14:paraId="4DBF06F4">
      <w:pPr>
        <w:spacing w:line="240" w:lineRule="exact"/>
        <w:jc w:val="center"/>
        <w:rPr>
          <w:b/>
          <w:bCs/>
          <w:color w:val="auto"/>
          <w:sz w:val="36"/>
          <w:highlight w:val="none"/>
        </w:rPr>
      </w:pPr>
    </w:p>
    <w:p w14:paraId="78AFF7A5">
      <w:pPr>
        <w:spacing w:line="360" w:lineRule="auto"/>
        <w:rPr>
          <w:color w:val="auto"/>
          <w:sz w:val="24"/>
          <w:highlight w:val="none"/>
          <w:u w:val="single"/>
        </w:rPr>
      </w:pPr>
      <w:r>
        <w:rPr>
          <w:color w:val="auto"/>
          <w:sz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0F5C73D3">
      <w:pPr>
        <w:spacing w:line="360" w:lineRule="auto"/>
        <w:rPr>
          <w:b/>
          <w:bCs/>
          <w:color w:val="auto"/>
          <w:sz w:val="24"/>
          <w:highlight w:val="none"/>
        </w:rPr>
      </w:pPr>
      <w:r>
        <w:rPr>
          <w:rFonts w:hint="eastAsia"/>
          <w:b/>
          <w:bCs/>
          <w:color w:val="auto"/>
          <w:sz w:val="24"/>
          <w:highlight w:val="none"/>
        </w:rPr>
        <w:t>中国重汽集团济南卡车股份有限公司</w:t>
      </w:r>
      <w:r>
        <w:rPr>
          <w:b/>
          <w:bCs/>
          <w:color w:val="auto"/>
          <w:sz w:val="24"/>
          <w:highlight w:val="none"/>
        </w:rPr>
        <w:t>：</w:t>
      </w:r>
    </w:p>
    <w:p w14:paraId="6C9866A7">
      <w:pPr>
        <w:spacing w:line="360" w:lineRule="auto"/>
        <w:ind w:firstLine="480"/>
        <w:rPr>
          <w:color w:val="auto"/>
          <w:sz w:val="24"/>
          <w:highlight w:val="none"/>
        </w:rPr>
      </w:pPr>
      <w:r>
        <w:rPr>
          <w:color w:val="auto"/>
          <w:sz w:val="24"/>
          <w:highlight w:val="none"/>
        </w:rPr>
        <w:t>我代表（投标单位名称）对中标合同产品的服务作如下承诺：</w:t>
      </w:r>
    </w:p>
    <w:p w14:paraId="342F12D6">
      <w:pPr>
        <w:spacing w:line="360" w:lineRule="auto"/>
        <w:ind w:firstLine="480" w:firstLineChars="200"/>
        <w:rPr>
          <w:color w:val="auto"/>
          <w:sz w:val="24"/>
          <w:highlight w:val="none"/>
          <w:u w:val="single"/>
        </w:rPr>
      </w:pPr>
    </w:p>
    <w:p w14:paraId="58810945">
      <w:pPr>
        <w:spacing w:line="360" w:lineRule="auto"/>
        <w:ind w:firstLine="480" w:firstLineChars="200"/>
        <w:rPr>
          <w:color w:val="auto"/>
          <w:sz w:val="24"/>
          <w:highlight w:val="none"/>
          <w:u w:val="single"/>
        </w:rPr>
      </w:pPr>
    </w:p>
    <w:p w14:paraId="7B42A192">
      <w:pPr>
        <w:spacing w:line="360" w:lineRule="auto"/>
        <w:ind w:firstLine="480" w:firstLineChars="200"/>
        <w:rPr>
          <w:color w:val="auto"/>
          <w:sz w:val="24"/>
          <w:highlight w:val="none"/>
          <w:u w:val="single"/>
        </w:rPr>
      </w:pPr>
    </w:p>
    <w:p w14:paraId="6C6DD60B">
      <w:pPr>
        <w:spacing w:line="360" w:lineRule="auto"/>
        <w:ind w:firstLine="480" w:firstLineChars="200"/>
        <w:rPr>
          <w:color w:val="auto"/>
          <w:sz w:val="24"/>
          <w:highlight w:val="none"/>
          <w:u w:val="single"/>
        </w:rPr>
      </w:pPr>
    </w:p>
    <w:p w14:paraId="62493D52">
      <w:pPr>
        <w:spacing w:line="360" w:lineRule="auto"/>
        <w:ind w:firstLine="480" w:firstLineChars="200"/>
        <w:rPr>
          <w:color w:val="auto"/>
          <w:sz w:val="24"/>
          <w:highlight w:val="none"/>
          <w:u w:val="single"/>
        </w:rPr>
      </w:pPr>
    </w:p>
    <w:p w14:paraId="1F7D2811">
      <w:pPr>
        <w:spacing w:line="360" w:lineRule="auto"/>
        <w:ind w:firstLine="480" w:firstLineChars="200"/>
        <w:rPr>
          <w:color w:val="auto"/>
          <w:sz w:val="24"/>
          <w:highlight w:val="none"/>
          <w:u w:val="single"/>
        </w:rPr>
      </w:pPr>
    </w:p>
    <w:p w14:paraId="1CF240DA">
      <w:pPr>
        <w:spacing w:line="360" w:lineRule="auto"/>
        <w:ind w:firstLine="480" w:firstLineChars="200"/>
        <w:rPr>
          <w:color w:val="auto"/>
          <w:sz w:val="24"/>
          <w:highlight w:val="none"/>
          <w:u w:val="single"/>
        </w:rPr>
      </w:pPr>
    </w:p>
    <w:p w14:paraId="51DDB532">
      <w:pPr>
        <w:spacing w:line="360" w:lineRule="auto"/>
        <w:ind w:firstLine="480" w:firstLineChars="200"/>
        <w:rPr>
          <w:color w:val="auto"/>
          <w:sz w:val="24"/>
          <w:highlight w:val="none"/>
          <w:u w:val="single"/>
        </w:rPr>
      </w:pPr>
    </w:p>
    <w:p w14:paraId="74B233A1">
      <w:pPr>
        <w:spacing w:line="360" w:lineRule="auto"/>
        <w:ind w:firstLine="480" w:firstLineChars="200"/>
        <w:rPr>
          <w:color w:val="auto"/>
          <w:sz w:val="24"/>
          <w:highlight w:val="none"/>
          <w:u w:val="single"/>
        </w:rPr>
      </w:pPr>
    </w:p>
    <w:p w14:paraId="400168E7">
      <w:pPr>
        <w:spacing w:line="360" w:lineRule="auto"/>
        <w:ind w:firstLine="480" w:firstLineChars="200"/>
        <w:rPr>
          <w:color w:val="auto"/>
          <w:sz w:val="24"/>
          <w:highlight w:val="none"/>
          <w:u w:val="single"/>
        </w:rPr>
      </w:pPr>
    </w:p>
    <w:p w14:paraId="381101E8">
      <w:pPr>
        <w:spacing w:line="360" w:lineRule="auto"/>
        <w:ind w:firstLine="480" w:firstLineChars="200"/>
        <w:rPr>
          <w:color w:val="auto"/>
          <w:sz w:val="24"/>
          <w:highlight w:val="none"/>
          <w:u w:val="single"/>
        </w:rPr>
      </w:pPr>
    </w:p>
    <w:p w14:paraId="59C8E3C3">
      <w:pPr>
        <w:spacing w:line="360" w:lineRule="auto"/>
        <w:ind w:firstLine="480" w:firstLineChars="200"/>
        <w:rPr>
          <w:color w:val="auto"/>
          <w:sz w:val="24"/>
          <w:highlight w:val="none"/>
          <w:u w:val="single"/>
        </w:rPr>
      </w:pPr>
    </w:p>
    <w:p w14:paraId="5CA650D3">
      <w:pPr>
        <w:spacing w:line="360" w:lineRule="auto"/>
        <w:ind w:firstLine="480" w:firstLineChars="200"/>
        <w:rPr>
          <w:color w:val="auto"/>
          <w:sz w:val="24"/>
          <w:highlight w:val="none"/>
          <w:u w:val="single"/>
        </w:rPr>
      </w:pPr>
    </w:p>
    <w:p w14:paraId="2F490559">
      <w:pPr>
        <w:spacing w:line="360" w:lineRule="auto"/>
        <w:ind w:firstLine="480" w:firstLineChars="200"/>
        <w:rPr>
          <w:color w:val="auto"/>
          <w:sz w:val="24"/>
          <w:highlight w:val="none"/>
          <w:u w:val="single"/>
        </w:rPr>
      </w:pPr>
    </w:p>
    <w:p w14:paraId="58B12633">
      <w:pPr>
        <w:spacing w:line="360" w:lineRule="auto"/>
        <w:ind w:firstLine="480" w:firstLineChars="200"/>
        <w:rPr>
          <w:color w:val="auto"/>
          <w:sz w:val="24"/>
          <w:highlight w:val="none"/>
          <w:u w:val="single"/>
        </w:rPr>
      </w:pPr>
    </w:p>
    <w:p w14:paraId="7A90F984">
      <w:pPr>
        <w:spacing w:line="360" w:lineRule="auto"/>
        <w:ind w:firstLine="480" w:firstLineChars="200"/>
        <w:rPr>
          <w:color w:val="auto"/>
          <w:sz w:val="24"/>
          <w:highlight w:val="none"/>
          <w:u w:val="single"/>
        </w:rPr>
      </w:pPr>
    </w:p>
    <w:p w14:paraId="11F9DFC1">
      <w:pPr>
        <w:spacing w:line="360" w:lineRule="auto"/>
        <w:ind w:firstLine="480" w:firstLineChars="200"/>
        <w:rPr>
          <w:color w:val="auto"/>
          <w:sz w:val="24"/>
          <w:highlight w:val="none"/>
          <w:u w:val="single"/>
        </w:rPr>
      </w:pPr>
    </w:p>
    <w:p w14:paraId="20FC3471">
      <w:pPr>
        <w:spacing w:line="360" w:lineRule="auto"/>
        <w:ind w:firstLine="480" w:firstLineChars="200"/>
        <w:rPr>
          <w:color w:val="auto"/>
          <w:sz w:val="24"/>
          <w:highlight w:val="none"/>
          <w:u w:val="single"/>
        </w:rPr>
      </w:pPr>
    </w:p>
    <w:p w14:paraId="743D7422">
      <w:pPr>
        <w:spacing w:line="360" w:lineRule="auto"/>
        <w:ind w:firstLine="480" w:firstLineChars="200"/>
        <w:rPr>
          <w:color w:val="auto"/>
          <w:sz w:val="24"/>
          <w:szCs w:val="24"/>
          <w:highlight w:val="none"/>
        </w:rPr>
      </w:pPr>
      <w:r>
        <w:rPr>
          <w:color w:val="auto"/>
          <w:sz w:val="24"/>
          <w:szCs w:val="24"/>
          <w:highlight w:val="none"/>
        </w:rPr>
        <w:t>投标人：（盖章）</w:t>
      </w:r>
    </w:p>
    <w:p w14:paraId="6320052C">
      <w:pPr>
        <w:spacing w:line="360" w:lineRule="auto"/>
        <w:ind w:firstLine="480" w:firstLineChars="200"/>
        <w:rPr>
          <w:color w:val="auto"/>
          <w:sz w:val="24"/>
          <w:szCs w:val="24"/>
          <w:highlight w:val="none"/>
        </w:rPr>
      </w:pPr>
      <w:r>
        <w:rPr>
          <w:color w:val="auto"/>
          <w:sz w:val="24"/>
          <w:szCs w:val="24"/>
          <w:highlight w:val="none"/>
        </w:rPr>
        <w:t>法定代表人（委托代理人）：（签字）</w:t>
      </w:r>
    </w:p>
    <w:p w14:paraId="009D660D">
      <w:pPr>
        <w:spacing w:line="360" w:lineRule="auto"/>
        <w:ind w:firstLine="480" w:firstLineChars="200"/>
        <w:rPr>
          <w:color w:val="auto"/>
          <w:sz w:val="24"/>
          <w:szCs w:val="24"/>
          <w:highlight w:val="none"/>
        </w:rPr>
      </w:pPr>
      <w:r>
        <w:rPr>
          <w:color w:val="auto"/>
          <w:sz w:val="24"/>
          <w:szCs w:val="24"/>
          <w:highlight w:val="none"/>
        </w:rPr>
        <w:t>日  期：       年    月    日</w:t>
      </w:r>
    </w:p>
    <w:p w14:paraId="5C5D0C27">
      <w:pPr>
        <w:rPr>
          <w:b/>
          <w:bCs/>
          <w:color w:val="auto"/>
          <w:sz w:val="28"/>
          <w:highlight w:val="none"/>
        </w:rPr>
      </w:pPr>
    </w:p>
    <w:p w14:paraId="7BFBAA54">
      <w:pPr>
        <w:pStyle w:val="25"/>
        <w:rPr>
          <w:rFonts w:ascii="Times New Roman" w:hAnsi="Times New Roman" w:eastAsia="宋体"/>
          <w:b/>
          <w:bCs/>
          <w:color w:val="auto"/>
          <w:sz w:val="28"/>
          <w:highlight w:val="none"/>
        </w:rPr>
      </w:pPr>
    </w:p>
    <w:p w14:paraId="4BE9FE0B">
      <w:pPr>
        <w:rPr>
          <w:b/>
          <w:bCs/>
          <w:color w:val="auto"/>
          <w:sz w:val="28"/>
          <w:highlight w:val="none"/>
        </w:rPr>
      </w:pPr>
    </w:p>
    <w:p w14:paraId="4CE35148">
      <w:pPr>
        <w:outlineLvl w:val="1"/>
        <w:rPr>
          <w:color w:val="auto"/>
          <w:highlight w:val="none"/>
        </w:rPr>
      </w:pPr>
      <w:r>
        <w:rPr>
          <w:color w:val="auto"/>
          <w:highlight w:val="none"/>
        </w:rPr>
        <w:br w:type="page"/>
      </w:r>
      <w:r>
        <w:rPr>
          <w:b/>
          <w:bCs/>
          <w:color w:val="auto"/>
          <w:sz w:val="24"/>
          <w:szCs w:val="24"/>
          <w:highlight w:val="none"/>
        </w:rPr>
        <w:t>附件13 投标文件封面及封口格式</w:t>
      </w:r>
    </w:p>
    <w:p w14:paraId="4A13DC17">
      <w:pPr>
        <w:spacing w:line="360" w:lineRule="auto"/>
        <w:ind w:firstLine="480" w:firstLineChars="200"/>
        <w:rPr>
          <w:color w:val="auto"/>
          <w:sz w:val="24"/>
          <w:szCs w:val="24"/>
          <w:highlight w:val="none"/>
        </w:rPr>
      </w:pPr>
      <w:r>
        <w:rPr>
          <w:color w:val="auto"/>
          <w:sz w:val="24"/>
          <w:szCs w:val="24"/>
          <w:highlight w:val="none"/>
        </w:rPr>
        <w:t>封面格式：</w:t>
      </w:r>
    </w:p>
    <w:tbl>
      <w:tblPr>
        <w:tblStyle w:val="4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231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DEECDA2">
            <w:pPr>
              <w:jc w:val="center"/>
              <w:rPr>
                <w:b/>
                <w:color w:val="auto"/>
                <w:highlight w:val="none"/>
              </w:rPr>
            </w:pPr>
          </w:p>
          <w:p w14:paraId="71F78C33">
            <w:pPr>
              <w:jc w:val="center"/>
              <w:rPr>
                <w:b/>
                <w:color w:val="auto"/>
                <w:sz w:val="30"/>
                <w:szCs w:val="30"/>
                <w:highlight w:val="none"/>
              </w:rPr>
            </w:pPr>
            <w:r>
              <w:rPr>
                <w:b/>
                <w:color w:val="auto"/>
                <w:sz w:val="30"/>
                <w:szCs w:val="30"/>
                <w:highlight w:val="none"/>
              </w:rPr>
              <w:t>技术/资质/商务文件</w:t>
            </w:r>
          </w:p>
          <w:p w14:paraId="292A0AF8">
            <w:pPr>
              <w:rPr>
                <w:rFonts w:eastAsia="等线"/>
                <w:b/>
                <w:color w:val="auto"/>
                <w:sz w:val="30"/>
                <w:szCs w:val="30"/>
                <w:highlight w:val="none"/>
              </w:rPr>
            </w:pPr>
          </w:p>
          <w:p w14:paraId="6704A2CD">
            <w:pPr>
              <w:jc w:val="center"/>
              <w:rPr>
                <w:b/>
                <w:color w:val="auto"/>
                <w:sz w:val="30"/>
                <w:szCs w:val="30"/>
                <w:highlight w:val="none"/>
              </w:rPr>
            </w:pPr>
            <w:r>
              <w:rPr>
                <w:b/>
                <w:color w:val="auto"/>
                <w:sz w:val="30"/>
                <w:szCs w:val="30"/>
                <w:highlight w:val="none"/>
              </w:rPr>
              <w:t>（</w:t>
            </w:r>
            <w:r>
              <w:rPr>
                <w:rFonts w:eastAsia="等线"/>
                <w:b/>
                <w:color w:val="auto"/>
                <w:sz w:val="30"/>
                <w:szCs w:val="30"/>
                <w:highlight w:val="none"/>
              </w:rPr>
              <w:t>1</w:t>
            </w:r>
            <w:r>
              <w:rPr>
                <w:b/>
                <w:color w:val="auto"/>
                <w:sz w:val="30"/>
                <w:szCs w:val="30"/>
                <w:highlight w:val="none"/>
              </w:rPr>
              <w:t>正本）</w:t>
            </w:r>
          </w:p>
          <w:p w14:paraId="435370AA">
            <w:pPr>
              <w:jc w:val="center"/>
              <w:rPr>
                <w:b/>
                <w:color w:val="auto"/>
                <w:highlight w:val="none"/>
              </w:rPr>
            </w:pPr>
          </w:p>
          <w:p w14:paraId="26FE6C76">
            <w:pPr>
              <w:jc w:val="center"/>
              <w:rPr>
                <w:b/>
                <w:color w:val="auto"/>
                <w:highlight w:val="none"/>
              </w:rPr>
            </w:pPr>
          </w:p>
          <w:p w14:paraId="7865994B">
            <w:pPr>
              <w:jc w:val="center"/>
              <w:rPr>
                <w:b/>
                <w:color w:val="auto"/>
                <w:highlight w:val="none"/>
              </w:rPr>
            </w:pPr>
            <w:r>
              <w:rPr>
                <w:b/>
                <w:color w:val="auto"/>
                <w:highlight w:val="none"/>
              </w:rPr>
              <w:t>项目名称：</w:t>
            </w:r>
            <w:r>
              <w:rPr>
                <w:rFonts w:hint="eastAsia"/>
                <w:b/>
                <w:color w:val="auto"/>
                <w:highlight w:val="none"/>
              </w:rPr>
              <w:t>莱芜工厂辊压线废料再利用-新增</w:t>
            </w:r>
            <w:r>
              <w:rPr>
                <w:rFonts w:hint="eastAsia"/>
                <w:b/>
                <w:color w:val="auto"/>
                <w:highlight w:val="none"/>
                <w:lang w:val="en-US" w:eastAsia="zh-CN"/>
              </w:rPr>
              <w:t>行</w:t>
            </w:r>
            <w:r>
              <w:rPr>
                <w:rFonts w:hint="eastAsia"/>
                <w:b/>
                <w:color w:val="auto"/>
                <w:highlight w:val="none"/>
              </w:rPr>
              <w:t>车项目</w:t>
            </w:r>
          </w:p>
          <w:p w14:paraId="68C577F7">
            <w:pPr>
              <w:jc w:val="center"/>
              <w:rPr>
                <w:b/>
                <w:color w:val="auto"/>
                <w:highlight w:val="none"/>
              </w:rPr>
            </w:pPr>
            <w:r>
              <w:rPr>
                <w:b/>
                <w:color w:val="auto"/>
                <w:highlight w:val="none"/>
              </w:rPr>
              <w:t>投标人名称（公章）：</w:t>
            </w:r>
          </w:p>
          <w:p w14:paraId="4ADF7816">
            <w:pPr>
              <w:jc w:val="center"/>
              <w:rPr>
                <w:b/>
                <w:color w:val="auto"/>
                <w:highlight w:val="none"/>
              </w:rPr>
            </w:pPr>
            <w:r>
              <w:rPr>
                <w:b/>
                <w:color w:val="auto"/>
                <w:highlight w:val="none"/>
              </w:rPr>
              <w:t>地址：</w:t>
            </w:r>
          </w:p>
          <w:p w14:paraId="042C334D">
            <w:pPr>
              <w:jc w:val="center"/>
              <w:rPr>
                <w:b/>
                <w:color w:val="auto"/>
                <w:highlight w:val="none"/>
              </w:rPr>
            </w:pPr>
            <w:r>
              <w:rPr>
                <w:b/>
                <w:color w:val="auto"/>
                <w:highlight w:val="none"/>
              </w:rPr>
              <w:t>授权代表电话：</w:t>
            </w:r>
          </w:p>
          <w:p w14:paraId="7A9C2CDD">
            <w:pPr>
              <w:jc w:val="center"/>
              <w:rPr>
                <w:b/>
                <w:color w:val="auto"/>
                <w:highlight w:val="none"/>
              </w:rPr>
            </w:pPr>
            <w:r>
              <w:rPr>
                <w:b/>
                <w:color w:val="auto"/>
                <w:highlight w:val="none"/>
              </w:rPr>
              <w:t>传真：</w:t>
            </w:r>
          </w:p>
          <w:p w14:paraId="0882B321">
            <w:pPr>
              <w:jc w:val="center"/>
              <w:rPr>
                <w:b/>
                <w:color w:val="auto"/>
                <w:highlight w:val="none"/>
              </w:rPr>
            </w:pPr>
          </w:p>
          <w:p w14:paraId="54D35A82">
            <w:pPr>
              <w:jc w:val="center"/>
              <w:rPr>
                <w:b/>
                <w:color w:val="auto"/>
                <w:highlight w:val="none"/>
              </w:rPr>
            </w:pPr>
          </w:p>
        </w:tc>
      </w:tr>
    </w:tbl>
    <w:p w14:paraId="7E9B47FF">
      <w:pPr>
        <w:spacing w:line="360" w:lineRule="auto"/>
        <w:ind w:firstLine="480" w:firstLineChars="200"/>
        <w:rPr>
          <w:color w:val="auto"/>
          <w:sz w:val="24"/>
          <w:szCs w:val="24"/>
          <w:highlight w:val="none"/>
        </w:rPr>
        <w:sectPr>
          <w:headerReference r:id="rId15" w:type="default"/>
          <w:footerReference r:id="rId16" w:type="default"/>
          <w:pgSz w:w="11906" w:h="16838"/>
          <w:pgMar w:top="1134" w:right="1134" w:bottom="1134" w:left="1134" w:header="737" w:footer="573" w:gutter="0"/>
          <w:cols w:space="0" w:num="1"/>
          <w:docGrid w:linePitch="312" w:charSpace="0"/>
        </w:sectPr>
      </w:pPr>
      <w:r>
        <w:rPr>
          <w:color w:val="auto"/>
          <w:sz w:val="24"/>
          <w:szCs w:val="24"/>
          <w:highlight w:val="none"/>
        </w:rPr>
        <w:t>投标人名称：                   授权代表签字：                  日期：</w:t>
      </w:r>
    </w:p>
    <w:p w14:paraId="4C1B4CF7">
      <w:pPr>
        <w:jc w:val="center"/>
        <w:rPr>
          <w:rFonts w:asciiTheme="minorHAnsi" w:hAnsiTheme="minorHAnsi" w:eastAsiaTheme="minorEastAsia" w:cstheme="minorBidi"/>
          <w:color w:val="auto"/>
          <w:sz w:val="36"/>
          <w:szCs w:val="36"/>
          <w:highlight w:val="none"/>
        </w:rPr>
      </w:pPr>
      <w:r>
        <w:rPr>
          <w:rFonts w:hint="eastAsia"/>
          <w:b/>
          <w:bCs/>
          <w:color w:val="auto"/>
          <w:sz w:val="36"/>
          <w:szCs w:val="36"/>
          <w:highlight w:val="none"/>
        </w:rPr>
        <w:t>评分标准</w:t>
      </w:r>
    </w:p>
    <w:p w14:paraId="173D62A5">
      <w:pPr>
        <w:rPr>
          <w:rFonts w:ascii="宋体" w:hAnsi="宋体" w:cs="宋体"/>
          <w:color w:val="auto"/>
          <w:szCs w:val="24"/>
          <w:highlight w:val="none"/>
        </w:rPr>
      </w:pPr>
    </w:p>
    <w:p w14:paraId="1741CCFC">
      <w:pPr>
        <w:tabs>
          <w:tab w:val="left" w:pos="666"/>
        </w:tabs>
        <w:jc w:val="left"/>
        <w:rPr>
          <w:rFonts w:ascii="宋体" w:hAnsi="宋体" w:cs="宋体"/>
          <w:b/>
          <w:color w:val="auto"/>
          <w:sz w:val="24"/>
          <w:szCs w:val="24"/>
          <w:highlight w:val="none"/>
        </w:rPr>
      </w:pPr>
      <w:r>
        <w:rPr>
          <w:rFonts w:hint="eastAsia" w:ascii="宋体" w:hAnsi="宋体" w:cs="宋体"/>
          <w:color w:val="auto"/>
          <w:kern w:val="0"/>
          <w:sz w:val="24"/>
          <w:szCs w:val="24"/>
          <w:highlight w:val="none"/>
        </w:rPr>
        <w:t>评标标准：</w:t>
      </w:r>
      <w:r>
        <w:rPr>
          <w:rFonts w:hint="eastAsia" w:ascii="宋体" w:hAnsi="宋体" w:cs="宋体"/>
          <w:b/>
          <w:color w:val="auto"/>
          <w:sz w:val="24"/>
          <w:szCs w:val="24"/>
          <w:highlight w:val="none"/>
        </w:rPr>
        <w:t>技术标入围后，原则上</w:t>
      </w:r>
      <w:r>
        <w:rPr>
          <w:rFonts w:hint="eastAsia" w:ascii="宋体" w:hAnsi="宋体" w:cs="宋体"/>
          <w:b/>
          <w:bCs/>
          <w:color w:val="auto"/>
          <w:sz w:val="24"/>
          <w:szCs w:val="24"/>
          <w:highlight w:val="none"/>
        </w:rPr>
        <w:t>综合评分最高的投标方</w:t>
      </w:r>
      <w:r>
        <w:rPr>
          <w:rFonts w:hint="eastAsia" w:ascii="宋体" w:hAnsi="宋体" w:cs="宋体"/>
          <w:b/>
          <w:color w:val="auto"/>
          <w:sz w:val="24"/>
          <w:szCs w:val="24"/>
          <w:highlight w:val="none"/>
        </w:rPr>
        <w:t>中标。</w:t>
      </w:r>
    </w:p>
    <w:p w14:paraId="6B751D2A">
      <w:pPr>
        <w:tabs>
          <w:tab w:val="left" w:pos="666"/>
        </w:tabs>
        <w:jc w:val="left"/>
        <w:rPr>
          <w:rFonts w:ascii="宋体" w:hAnsi="宋体" w:cs="宋体"/>
          <w:b/>
          <w:color w:val="auto"/>
          <w:sz w:val="24"/>
          <w:szCs w:val="24"/>
          <w:highlight w:val="none"/>
        </w:rPr>
      </w:pPr>
    </w:p>
    <w:p w14:paraId="1B4C236B">
      <w:pPr>
        <w:tabs>
          <w:tab w:val="left" w:pos="666"/>
        </w:tabs>
        <w:jc w:val="left"/>
        <w:rPr>
          <w:rFonts w:ascii="宋体" w:hAnsi="宋体" w:cs="宋体"/>
          <w:b/>
          <w:color w:val="auto"/>
          <w:sz w:val="24"/>
          <w:szCs w:val="24"/>
          <w:highlight w:val="none"/>
        </w:rPr>
      </w:pPr>
      <w:r>
        <w:rPr>
          <w:rFonts w:hint="eastAsia" w:ascii="宋体" w:hAnsi="宋体" w:cs="宋体"/>
          <w:b/>
          <w:color w:val="auto"/>
          <w:sz w:val="24"/>
          <w:szCs w:val="24"/>
          <w:highlight w:val="none"/>
        </w:rPr>
        <w:t>技术标评分标准：</w:t>
      </w:r>
    </w:p>
    <w:p w14:paraId="41F716B1">
      <w:pPr>
        <w:jc w:val="center"/>
        <w:rPr>
          <w:rFonts w:asciiTheme="minorHAnsi" w:hAnsiTheme="minorHAnsi" w:eastAsiaTheme="minorEastAsia" w:cstheme="minorBidi"/>
          <w:color w:val="auto"/>
          <w:szCs w:val="24"/>
          <w:highlight w:val="none"/>
        </w:rPr>
      </w:pPr>
      <w:r>
        <w:rPr>
          <w:rFonts w:hint="eastAsia" w:ascii="宋体" w:hAnsi="宋体"/>
          <w:b/>
          <w:bCs/>
          <w:color w:val="auto"/>
          <w:sz w:val="24"/>
          <w:szCs w:val="24"/>
          <w:highlight w:val="none"/>
        </w:rPr>
        <w:t>技术标评审表（100分）</w:t>
      </w:r>
    </w:p>
    <w:tbl>
      <w:tblPr>
        <w:tblStyle w:val="49"/>
        <w:tblpPr w:leftFromText="180" w:rightFromText="180" w:vertAnchor="text" w:horzAnchor="page" w:tblpX="1174" w:tblpY="320"/>
        <w:tblOverlap w:val="never"/>
        <w:tblW w:w="14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615"/>
        <w:gridCol w:w="2865"/>
        <w:gridCol w:w="885"/>
        <w:gridCol w:w="9369"/>
      </w:tblGrid>
      <w:tr w14:paraId="586F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940" w:type="dxa"/>
            <w:noWrap/>
            <w:vAlign w:val="center"/>
          </w:tcPr>
          <w:p w14:paraId="50D3CC51">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评价类型</w:t>
            </w:r>
          </w:p>
        </w:tc>
        <w:tc>
          <w:tcPr>
            <w:tcW w:w="615" w:type="dxa"/>
            <w:noWrap/>
            <w:vAlign w:val="center"/>
          </w:tcPr>
          <w:p w14:paraId="5FCABFE3">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序号</w:t>
            </w:r>
          </w:p>
        </w:tc>
        <w:tc>
          <w:tcPr>
            <w:tcW w:w="2865" w:type="dxa"/>
            <w:noWrap/>
            <w:vAlign w:val="center"/>
          </w:tcPr>
          <w:p w14:paraId="395F3573">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内   容</w:t>
            </w:r>
          </w:p>
        </w:tc>
        <w:tc>
          <w:tcPr>
            <w:tcW w:w="885" w:type="dxa"/>
            <w:noWrap/>
            <w:vAlign w:val="center"/>
          </w:tcPr>
          <w:p w14:paraId="6CCF43FD">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标准分</w:t>
            </w:r>
          </w:p>
        </w:tc>
        <w:tc>
          <w:tcPr>
            <w:tcW w:w="9369" w:type="dxa"/>
            <w:noWrap/>
            <w:vAlign w:val="center"/>
          </w:tcPr>
          <w:p w14:paraId="54AD06C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评分标准</w:t>
            </w:r>
          </w:p>
        </w:tc>
      </w:tr>
      <w:tr w14:paraId="19DD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40" w:type="dxa"/>
            <w:vMerge w:val="restart"/>
            <w:noWrap/>
            <w:vAlign w:val="center"/>
          </w:tcPr>
          <w:p w14:paraId="26B4FB6D">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技术</w:t>
            </w:r>
          </w:p>
          <w:p w14:paraId="1E966DB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100分</w:t>
            </w:r>
          </w:p>
        </w:tc>
        <w:tc>
          <w:tcPr>
            <w:tcW w:w="615" w:type="dxa"/>
            <w:noWrap/>
            <w:vAlign w:val="center"/>
          </w:tcPr>
          <w:p w14:paraId="699992D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2865" w:type="dxa"/>
            <w:noWrap/>
            <w:vAlign w:val="center"/>
          </w:tcPr>
          <w:p w14:paraId="0687C732">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生产能力</w:t>
            </w:r>
          </w:p>
        </w:tc>
        <w:tc>
          <w:tcPr>
            <w:tcW w:w="885" w:type="dxa"/>
            <w:noWrap/>
            <w:vAlign w:val="center"/>
          </w:tcPr>
          <w:p w14:paraId="24159068">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noWrap/>
            <w:vAlign w:val="center"/>
          </w:tcPr>
          <w:p w14:paraId="67F05CF5">
            <w:pPr>
              <w:tabs>
                <w:tab w:val="left" w:pos="13965"/>
              </w:tabs>
              <w:spacing w:line="420" w:lineRule="exact"/>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由评标委员会成员独立进行客观、公正的评价，投标人的装备制造能力、生产设备、加工工艺先进、技术人员综合实力，视情况得0-10分。</w:t>
            </w:r>
          </w:p>
        </w:tc>
      </w:tr>
      <w:tr w14:paraId="13F4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40" w:type="dxa"/>
            <w:vMerge w:val="continue"/>
            <w:noWrap/>
            <w:vAlign w:val="center"/>
          </w:tcPr>
          <w:p w14:paraId="675F7634">
            <w:pPr>
              <w:tabs>
                <w:tab w:val="left" w:pos="13965"/>
              </w:tabs>
              <w:spacing w:line="360" w:lineRule="auto"/>
              <w:ind w:right="-6"/>
              <w:jc w:val="center"/>
              <w:rPr>
                <w:rFonts w:ascii="宋体" w:hAnsi="宋体" w:cs="宋体"/>
                <w:color w:val="auto"/>
                <w:sz w:val="18"/>
                <w:szCs w:val="18"/>
                <w:highlight w:val="none"/>
              </w:rPr>
            </w:pPr>
          </w:p>
        </w:tc>
        <w:tc>
          <w:tcPr>
            <w:tcW w:w="615" w:type="dxa"/>
            <w:shd w:val="clear" w:color="auto" w:fill="auto"/>
            <w:noWrap/>
            <w:vAlign w:val="center"/>
          </w:tcPr>
          <w:p w14:paraId="64E4DC4E">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2865" w:type="dxa"/>
            <w:noWrap/>
            <w:vAlign w:val="center"/>
          </w:tcPr>
          <w:p w14:paraId="74C640A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企业影响力</w:t>
            </w:r>
          </w:p>
        </w:tc>
        <w:tc>
          <w:tcPr>
            <w:tcW w:w="885" w:type="dxa"/>
            <w:noWrap/>
            <w:vAlign w:val="center"/>
          </w:tcPr>
          <w:p w14:paraId="05553C2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9369" w:type="dxa"/>
            <w:noWrap/>
            <w:vAlign w:val="center"/>
          </w:tcPr>
          <w:p w14:paraId="74DDFA8C">
            <w:pPr>
              <w:tabs>
                <w:tab w:val="left" w:pos="13965"/>
              </w:tabs>
              <w:spacing w:line="420" w:lineRule="exact"/>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由评标委员会成员独立进行客观、公正的评价，投标人提供近期企业影响力证明，如行业内排名、荣誉等，视情况得0-5分。</w:t>
            </w:r>
          </w:p>
        </w:tc>
      </w:tr>
      <w:tr w14:paraId="08EA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940" w:type="dxa"/>
            <w:vMerge w:val="continue"/>
            <w:noWrap/>
            <w:vAlign w:val="center"/>
          </w:tcPr>
          <w:p w14:paraId="7343355D">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595619FA">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2865" w:type="dxa"/>
            <w:shd w:val="clear" w:color="auto" w:fill="auto"/>
            <w:noWrap/>
            <w:vAlign w:val="center"/>
          </w:tcPr>
          <w:p w14:paraId="588378A6">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设备制造商同类型项目业绩</w:t>
            </w:r>
          </w:p>
        </w:tc>
        <w:tc>
          <w:tcPr>
            <w:tcW w:w="885" w:type="dxa"/>
            <w:shd w:val="clear" w:color="auto" w:fill="auto"/>
            <w:noWrap/>
            <w:vAlign w:val="center"/>
          </w:tcPr>
          <w:p w14:paraId="429F093C">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shd w:val="clear" w:color="auto" w:fill="auto"/>
            <w:noWrap/>
            <w:vAlign w:val="center"/>
          </w:tcPr>
          <w:p w14:paraId="3773EB56">
            <w:pPr>
              <w:tabs>
                <w:tab w:val="left" w:pos="13965"/>
              </w:tabs>
              <w:spacing w:line="420" w:lineRule="exact"/>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业绩数量进行赋分，相同业绩每一个得1分，类似业绩,每一个得0.5分。本条款得分最高10分。同类型业绩:投标人在2024年1月1日（时间以签订日期为准）以来在中国与本标同类型且参数规格相符的产品,以合同复印件加盖公章为准（须有客户联系方式及联系人以供招标人核实确认）。与本标同类型但参数规格明显不同的产品,属于类似业绩。</w:t>
            </w:r>
          </w:p>
        </w:tc>
      </w:tr>
      <w:tr w14:paraId="6E10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940" w:type="dxa"/>
            <w:vMerge w:val="continue"/>
            <w:noWrap/>
            <w:vAlign w:val="center"/>
          </w:tcPr>
          <w:p w14:paraId="6B667B98">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370AE879">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2865" w:type="dxa"/>
            <w:noWrap/>
            <w:vAlign w:val="center"/>
          </w:tcPr>
          <w:p w14:paraId="6B4DF267">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供货周期及工期进度计划</w:t>
            </w:r>
          </w:p>
        </w:tc>
        <w:tc>
          <w:tcPr>
            <w:tcW w:w="885" w:type="dxa"/>
            <w:noWrap/>
            <w:vAlign w:val="center"/>
          </w:tcPr>
          <w:p w14:paraId="0C4A3445">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noWrap/>
            <w:vAlign w:val="center"/>
          </w:tcPr>
          <w:p w14:paraId="0AA61333">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由评标委员会成员独立进行客观、公正的评价，按照到货周期进行赋分，到货期≤</w:t>
            </w: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个月得10分，</w:t>
            </w:r>
            <w:r>
              <w:rPr>
                <w:rFonts w:hint="eastAsia" w:ascii="宋体" w:hAnsi="宋体" w:cs="宋体"/>
                <w:color w:val="auto"/>
                <w:sz w:val="18"/>
                <w:szCs w:val="18"/>
                <w:highlight w:val="none"/>
                <w:lang w:val="en-US" w:eastAsia="zh-CN"/>
              </w:rPr>
              <w:t>每延长一周扣一分，</w:t>
            </w:r>
            <w:r>
              <w:rPr>
                <w:rFonts w:hint="eastAsia" w:ascii="宋体" w:hAnsi="宋体" w:cs="宋体"/>
                <w:color w:val="auto"/>
                <w:sz w:val="18"/>
                <w:szCs w:val="18"/>
                <w:highlight w:val="none"/>
              </w:rPr>
              <w:t>最低0分。</w:t>
            </w:r>
          </w:p>
        </w:tc>
      </w:tr>
      <w:tr w14:paraId="37FF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940" w:type="dxa"/>
            <w:vMerge w:val="continue"/>
            <w:noWrap/>
            <w:vAlign w:val="center"/>
          </w:tcPr>
          <w:p w14:paraId="3D7FA887">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6605E8E9">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2865" w:type="dxa"/>
            <w:noWrap/>
            <w:vAlign w:val="center"/>
          </w:tcPr>
          <w:p w14:paraId="72BBFBD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现场答疑</w:t>
            </w:r>
          </w:p>
        </w:tc>
        <w:tc>
          <w:tcPr>
            <w:tcW w:w="885" w:type="dxa"/>
            <w:noWrap/>
            <w:vAlign w:val="center"/>
          </w:tcPr>
          <w:p w14:paraId="1FDC707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noWrap/>
            <w:vAlign w:val="center"/>
          </w:tcPr>
          <w:p w14:paraId="4E796BD4">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由评标委员会成员独立进行客观、公正的评价，针对投标人代表对方案、技术优势的讲解，以及就该项目难点对于评标专家现场提问的回答，打分1-10分。</w:t>
            </w:r>
          </w:p>
        </w:tc>
      </w:tr>
      <w:tr w14:paraId="62FA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atLeast"/>
        </w:trPr>
        <w:tc>
          <w:tcPr>
            <w:tcW w:w="940" w:type="dxa"/>
            <w:vMerge w:val="continue"/>
            <w:noWrap/>
            <w:vAlign w:val="center"/>
          </w:tcPr>
          <w:p w14:paraId="4983F1F5">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4B98E7AA">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2865" w:type="dxa"/>
            <w:noWrap/>
            <w:vAlign w:val="center"/>
          </w:tcPr>
          <w:p w14:paraId="5F855CF6">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产品方案技术先进、各系统完善、性能可靠，设备主要核心部件具备自身技术优势</w:t>
            </w:r>
          </w:p>
        </w:tc>
        <w:tc>
          <w:tcPr>
            <w:tcW w:w="885" w:type="dxa"/>
            <w:noWrap/>
            <w:vAlign w:val="center"/>
          </w:tcPr>
          <w:p w14:paraId="17BFBE1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30</w:t>
            </w:r>
          </w:p>
        </w:tc>
        <w:tc>
          <w:tcPr>
            <w:tcW w:w="9369" w:type="dxa"/>
            <w:noWrap/>
            <w:vAlign w:val="center"/>
          </w:tcPr>
          <w:p w14:paraId="4E43C448">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（1）定制系统方案达到招标要求，设备主要部件或核心部件，具备自身技术优势，打分1-10分。</w:t>
            </w:r>
          </w:p>
          <w:p w14:paraId="5BC94281">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（2）达到招标要求的前提下，系统配置更加周全，其精度、参数、技术水平、可靠性等优势明显，打分1-10分。</w:t>
            </w:r>
          </w:p>
          <w:p w14:paraId="3848EC83">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（3）关键系统技术支持资料、数据处理说明、方案说明详细完整，打分1-10分。</w:t>
            </w:r>
          </w:p>
        </w:tc>
      </w:tr>
      <w:tr w14:paraId="2E3D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trPr>
        <w:tc>
          <w:tcPr>
            <w:tcW w:w="940" w:type="dxa"/>
            <w:vMerge w:val="continue"/>
            <w:noWrap/>
            <w:vAlign w:val="center"/>
          </w:tcPr>
          <w:p w14:paraId="4A6C677B">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645D8B80">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7</w:t>
            </w:r>
          </w:p>
        </w:tc>
        <w:tc>
          <w:tcPr>
            <w:tcW w:w="2865" w:type="dxa"/>
            <w:noWrap/>
            <w:vAlign w:val="center"/>
          </w:tcPr>
          <w:p w14:paraId="1E13BE47">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技术偏离</w:t>
            </w:r>
          </w:p>
        </w:tc>
        <w:tc>
          <w:tcPr>
            <w:tcW w:w="885" w:type="dxa"/>
            <w:noWrap/>
            <w:vAlign w:val="center"/>
          </w:tcPr>
          <w:p w14:paraId="3D9F16EF">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15</w:t>
            </w:r>
          </w:p>
        </w:tc>
        <w:tc>
          <w:tcPr>
            <w:tcW w:w="9369" w:type="dxa"/>
            <w:noWrap/>
            <w:vAlign w:val="center"/>
          </w:tcPr>
          <w:p w14:paraId="6D03B134">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根据各投标单位的核心产品的配置参数、技术偏离情况，在满足我司技术基本要求的前提下偏离，无偏离得满分15分，较大偏离每一项扣2分，一般偏离每一项扣1分，最低0分。</w:t>
            </w:r>
          </w:p>
        </w:tc>
      </w:tr>
      <w:tr w14:paraId="5964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940" w:type="dxa"/>
            <w:vMerge w:val="continue"/>
            <w:noWrap/>
            <w:vAlign w:val="center"/>
          </w:tcPr>
          <w:p w14:paraId="40F851C1">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09FD8E22">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8</w:t>
            </w:r>
          </w:p>
        </w:tc>
        <w:tc>
          <w:tcPr>
            <w:tcW w:w="2865" w:type="dxa"/>
            <w:noWrap/>
            <w:vAlign w:val="center"/>
          </w:tcPr>
          <w:p w14:paraId="32CD06B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在济南有常驻的专业技术力量的维保机构及专业技术人员</w:t>
            </w:r>
          </w:p>
        </w:tc>
        <w:tc>
          <w:tcPr>
            <w:tcW w:w="885" w:type="dxa"/>
            <w:noWrap/>
            <w:vAlign w:val="center"/>
          </w:tcPr>
          <w:p w14:paraId="5F746F38">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9369" w:type="dxa"/>
            <w:noWrap/>
            <w:vAlign w:val="center"/>
          </w:tcPr>
          <w:p w14:paraId="5AFC226B">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由评标委员会成员独立进行客观、公正的评价，按照优、良、一般进行赋分，优得5分，良得3分，一般得2分。</w:t>
            </w:r>
          </w:p>
        </w:tc>
      </w:tr>
      <w:tr w14:paraId="6005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940" w:type="dxa"/>
            <w:vMerge w:val="continue"/>
            <w:noWrap/>
            <w:vAlign w:val="center"/>
          </w:tcPr>
          <w:p w14:paraId="3B63FD94">
            <w:pPr>
              <w:spacing w:line="360" w:lineRule="auto"/>
              <w:jc w:val="center"/>
              <w:rPr>
                <w:rFonts w:ascii="宋体" w:hAnsi="宋体" w:cs="宋体"/>
                <w:color w:val="auto"/>
                <w:sz w:val="18"/>
                <w:szCs w:val="18"/>
                <w:highlight w:val="none"/>
              </w:rPr>
            </w:pPr>
          </w:p>
        </w:tc>
        <w:tc>
          <w:tcPr>
            <w:tcW w:w="615" w:type="dxa"/>
            <w:noWrap/>
            <w:vAlign w:val="center"/>
          </w:tcPr>
          <w:p w14:paraId="27E088B8">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9</w:t>
            </w:r>
          </w:p>
        </w:tc>
        <w:tc>
          <w:tcPr>
            <w:tcW w:w="2865" w:type="dxa"/>
            <w:noWrap/>
            <w:vAlign w:val="center"/>
          </w:tcPr>
          <w:p w14:paraId="12531D03">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售后服务及时周到，有相应的服务承诺和具体的保证措施</w:t>
            </w:r>
          </w:p>
        </w:tc>
        <w:tc>
          <w:tcPr>
            <w:tcW w:w="885" w:type="dxa"/>
            <w:noWrap/>
            <w:vAlign w:val="center"/>
          </w:tcPr>
          <w:p w14:paraId="44440FEC">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9369" w:type="dxa"/>
            <w:noWrap/>
            <w:vAlign w:val="center"/>
          </w:tcPr>
          <w:p w14:paraId="2E6D1CE5">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由评标委员会成员独立进行客观、公正的评价，按照优、良、一般进行赋分，优得5分，良得3分，一般得2分。</w:t>
            </w:r>
          </w:p>
        </w:tc>
      </w:tr>
    </w:tbl>
    <w:p w14:paraId="146DBA77">
      <w:pPr>
        <w:rPr>
          <w:color w:val="auto"/>
          <w:highlight w:val="none"/>
        </w:rPr>
      </w:pPr>
    </w:p>
    <w:p w14:paraId="1528F740">
      <w:pPr>
        <w:tabs>
          <w:tab w:val="left" w:pos="666"/>
        </w:tabs>
        <w:jc w:val="left"/>
        <w:rPr>
          <w:rFonts w:ascii="宋体" w:hAnsi="宋体" w:cs="宋体"/>
          <w:b/>
          <w:color w:val="auto"/>
          <w:sz w:val="24"/>
          <w:szCs w:val="24"/>
          <w:highlight w:val="none"/>
        </w:rPr>
      </w:pPr>
      <w:r>
        <w:rPr>
          <w:rFonts w:hint="eastAsia" w:ascii="宋体" w:hAnsi="宋体" w:cs="宋体"/>
          <w:b/>
          <w:color w:val="auto"/>
          <w:sz w:val="24"/>
          <w:szCs w:val="24"/>
          <w:highlight w:val="none"/>
        </w:rPr>
        <w:t>商务标评分标准：</w:t>
      </w:r>
    </w:p>
    <w:p w14:paraId="15CF12DA">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评标基准价:</w:t>
      </w:r>
    </w:p>
    <w:p w14:paraId="78CBC689">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1、评标基准价为所有合理有效的最终投标报价的最低价。</w:t>
      </w:r>
    </w:p>
    <w:p w14:paraId="485E4E88">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2、有效的评标基准价得 100分;其他投标人的价格得分按下列公式计算:投标价格得分=100x(评标基准价/投标报价)。</w:t>
      </w:r>
    </w:p>
    <w:p w14:paraId="7D9A2B2D">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注:得分值取小数点后两位，不足一个百分点的，按照四舍五入法计算。</w:t>
      </w:r>
    </w:p>
    <w:p w14:paraId="427D2E30">
      <w:pPr>
        <w:tabs>
          <w:tab w:val="left" w:pos="666"/>
        </w:tabs>
        <w:jc w:val="left"/>
        <w:rPr>
          <w:rFonts w:ascii="宋体" w:hAnsi="宋体" w:cs="宋体"/>
          <w:b/>
          <w:color w:val="auto"/>
          <w:sz w:val="24"/>
          <w:szCs w:val="24"/>
          <w:highlight w:val="none"/>
        </w:rPr>
      </w:pPr>
    </w:p>
    <w:p w14:paraId="54FFA919">
      <w:pPr>
        <w:tabs>
          <w:tab w:val="left" w:pos="666"/>
        </w:tabs>
        <w:jc w:val="left"/>
        <w:rPr>
          <w:rFonts w:ascii="宋体" w:hAnsi="宋体" w:cs="宋体"/>
          <w:b/>
          <w:color w:val="auto"/>
          <w:sz w:val="24"/>
          <w:szCs w:val="24"/>
          <w:highlight w:val="none"/>
        </w:rPr>
      </w:pPr>
      <w:r>
        <w:rPr>
          <w:rFonts w:ascii="宋体" w:hAnsi="宋体" w:cs="宋体"/>
          <w:b/>
          <w:color w:val="auto"/>
          <w:sz w:val="24"/>
          <w:szCs w:val="24"/>
          <w:highlight w:val="none"/>
        </w:rPr>
        <w:t>综合得分</w:t>
      </w:r>
      <w:r>
        <w:rPr>
          <w:rFonts w:hint="eastAsia" w:ascii="宋体" w:hAnsi="宋体" w:cs="宋体"/>
          <w:b/>
          <w:color w:val="auto"/>
          <w:sz w:val="24"/>
          <w:szCs w:val="24"/>
          <w:highlight w:val="none"/>
        </w:rPr>
        <w:t>：</w:t>
      </w:r>
    </w:p>
    <w:p w14:paraId="657DB1C4">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综合得分=技术标得分x40%十商务标得分x60%</w:t>
      </w:r>
    </w:p>
    <w:p w14:paraId="5A841075">
      <w:pPr>
        <w:rPr>
          <w:color w:val="auto"/>
          <w:highlight w:val="none"/>
        </w:rPr>
        <w:sectPr>
          <w:headerReference r:id="rId18" w:type="first"/>
          <w:footerReference r:id="rId20" w:type="first"/>
          <w:headerReference r:id="rId17" w:type="default"/>
          <w:footerReference r:id="rId19" w:type="default"/>
          <w:pgSz w:w="16838" w:h="11906" w:orient="landscape"/>
          <w:pgMar w:top="1418" w:right="1588" w:bottom="1418" w:left="1134" w:header="851" w:footer="992" w:gutter="0"/>
          <w:cols w:space="720" w:num="1"/>
          <w:titlePg/>
          <w:docGrid w:type="lines" w:linePitch="312" w:charSpace="0"/>
        </w:sectPr>
      </w:pPr>
    </w:p>
    <w:p w14:paraId="37182D32">
      <w:pPr>
        <w:pStyle w:val="25"/>
        <w:overflowPunct/>
        <w:outlineLvl w:val="2"/>
        <w:rPr>
          <w:rFonts w:hAnsi="宋体" w:eastAsia="宋体" w:cs="宋体"/>
          <w:b/>
          <w:bCs/>
          <w:color w:val="auto"/>
          <w:szCs w:val="24"/>
          <w:highlight w:val="none"/>
        </w:rPr>
      </w:pPr>
      <w:r>
        <w:rPr>
          <w:rFonts w:hint="eastAsia" w:hAnsi="宋体" w:eastAsia="宋体" w:cs="宋体"/>
          <w:b/>
          <w:bCs/>
          <w:color w:val="auto"/>
          <w:szCs w:val="24"/>
          <w:highlight w:val="none"/>
          <w:lang w:val="en-US"/>
        </w:rPr>
        <w:t>附件一：</w:t>
      </w:r>
      <w:r>
        <w:rPr>
          <w:rFonts w:hint="eastAsia" w:hAnsi="宋体" w:eastAsia="宋体" w:cs="宋体"/>
          <w:b/>
          <w:bCs/>
          <w:color w:val="auto"/>
          <w:szCs w:val="24"/>
          <w:highlight w:val="none"/>
        </w:rPr>
        <w:t>SRM非生产供应商注册操作手册</w:t>
      </w:r>
    </w:p>
    <w:p w14:paraId="05B24ADA">
      <w:pPr>
        <w:adjustRightInd w:val="0"/>
        <w:snapToGrid w:val="0"/>
        <w:spacing w:line="360" w:lineRule="auto"/>
        <w:jc w:val="left"/>
        <w:rPr>
          <w:rFonts w:ascii="宋体" w:hAnsi="宋体" w:cs="宋体"/>
          <w:color w:val="auto"/>
          <w:sz w:val="24"/>
          <w:szCs w:val="24"/>
          <w:highlight w:val="none"/>
        </w:rPr>
      </w:pPr>
      <w:r>
        <w:rPr>
          <w:rFonts w:ascii="宋体" w:hAnsi="宋体" w:cs="宋体"/>
          <w:color w:val="auto"/>
          <w:sz w:val="24"/>
          <w:szCs w:val="24"/>
          <w:highlight w:val="none"/>
        </w:rPr>
        <w:t>浏览器中输入地址;</w:t>
      </w:r>
    </w:p>
    <w:p w14:paraId="2611C150">
      <w:pPr>
        <w:adjustRightInd w:val="0"/>
        <w:snapToGrid w:val="0"/>
        <w:spacing w:line="360" w:lineRule="auto"/>
        <w:jc w:val="left"/>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"http://ecaitong.sinotruk.com:8012/" \l "/login" \t "dlt" </w:instrText>
      </w:r>
      <w:r>
        <w:rPr>
          <w:color w:val="auto"/>
          <w:highlight w:val="none"/>
        </w:rPr>
        <w:fldChar w:fldCharType="separate"/>
      </w:r>
      <w:r>
        <w:rPr>
          <w:rFonts w:ascii="宋体" w:hAnsi="宋体" w:cs="宋体"/>
          <w:color w:val="auto"/>
          <w:sz w:val="24"/>
          <w:szCs w:val="24"/>
          <w:highlight w:val="none"/>
        </w:rPr>
        <w:t>http</w:t>
      </w:r>
      <w:r>
        <w:rPr>
          <w:rFonts w:hint="eastAsia" w:ascii="宋体" w:hAnsi="宋体" w:cs="宋体"/>
          <w:color w:val="auto"/>
          <w:sz w:val="24"/>
          <w:szCs w:val="24"/>
          <w:highlight w:val="none"/>
        </w:rPr>
        <w:t>s</w:t>
      </w:r>
      <w:r>
        <w:rPr>
          <w:rFonts w:ascii="宋体" w:hAnsi="宋体" w:cs="宋体"/>
          <w:color w:val="auto"/>
          <w:sz w:val="24"/>
          <w:szCs w:val="24"/>
          <w:highlight w:val="none"/>
        </w:rPr>
        <w:t>://ecaitong.sinotruk.com:8012/#/login</w:t>
      </w:r>
      <w:r>
        <w:rPr>
          <w:rFonts w:ascii="宋体" w:hAnsi="宋体" w:cs="宋体"/>
          <w:color w:val="auto"/>
          <w:sz w:val="24"/>
          <w:szCs w:val="24"/>
          <w:highlight w:val="none"/>
        </w:rPr>
        <w:fldChar w:fldCharType="end"/>
      </w:r>
    </w:p>
    <w:p w14:paraId="234BA857">
      <w:pPr>
        <w:adjustRightInd w:val="0"/>
        <w:snapToGrid w:val="0"/>
        <w:spacing w:line="360" w:lineRule="auto"/>
        <w:jc w:val="left"/>
        <w:rPr>
          <w:rFonts w:ascii="宋体" w:hAnsi="宋体" w:cs="宋体"/>
          <w:b/>
          <w:bCs/>
          <w:color w:val="auto"/>
          <w:sz w:val="24"/>
          <w:szCs w:val="24"/>
          <w:highlight w:val="none"/>
        </w:rPr>
      </w:pPr>
      <w:r>
        <w:rPr>
          <w:rFonts w:hint="eastAsia" w:ascii="宋体" w:hAnsi="宋体" w:cs="宋体"/>
          <w:color w:val="auto"/>
          <w:sz w:val="24"/>
          <w:szCs w:val="24"/>
          <w:highlight w:val="none"/>
        </w:rPr>
        <w:t>1.下载《供应商用户手册》</w:t>
      </w:r>
    </w:p>
    <w:p w14:paraId="23CCD28B">
      <w:pPr>
        <w:adjustRightInd w:val="0"/>
        <w:snapToGrid w:val="0"/>
        <w:spacing w:line="360" w:lineRule="auto"/>
        <w:jc w:val="left"/>
        <w:rPr>
          <w:rFonts w:ascii="宋体" w:hAnsi="宋体" w:cs="宋体"/>
          <w:color w:val="auto"/>
          <w:sz w:val="24"/>
          <w:szCs w:val="24"/>
          <w:highlight w:val="none"/>
        </w:rPr>
      </w:pPr>
      <w:r>
        <w:rPr>
          <w:color w:val="auto"/>
          <w:highlight w:val="none"/>
        </w:rPr>
        <w:drawing>
          <wp:inline distT="0" distB="0" distL="114300" distR="114300">
            <wp:extent cx="5758815" cy="2764790"/>
            <wp:effectExtent l="0" t="0" r="698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stretch>
                      <a:fillRect/>
                    </a:stretch>
                  </pic:blipFill>
                  <pic:spPr>
                    <a:xfrm>
                      <a:off x="0" y="0"/>
                      <a:ext cx="5758815" cy="2764790"/>
                    </a:xfrm>
                    <a:prstGeom prst="rect">
                      <a:avLst/>
                    </a:prstGeom>
                    <a:noFill/>
                    <a:ln>
                      <a:noFill/>
                    </a:ln>
                  </pic:spPr>
                </pic:pic>
              </a:graphicData>
            </a:graphic>
          </wp:inline>
        </w:drawing>
      </w:r>
    </w:p>
    <w:p w14:paraId="5EC129D0">
      <w:pPr>
        <w:adjustRightInd w:val="0"/>
        <w:snapToGrid w:val="0"/>
        <w:spacing w:beforeLines="100" w:afterLines="50" w:line="440" w:lineRule="exact"/>
        <w:jc w:val="left"/>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一、首次注册</w:t>
      </w:r>
    </w:p>
    <w:p w14:paraId="2B75D7F1">
      <w:pPr>
        <w:adjustRightInd w:val="0"/>
        <w:snapToGrid w:val="0"/>
        <w:spacing w:line="360" w:lineRule="auto"/>
        <w:jc w:val="left"/>
        <w:rPr>
          <w:rFonts w:ascii="宋体" w:hAnsi="宋体" w:cs="宋体"/>
          <w:color w:val="auto"/>
          <w:sz w:val="24"/>
          <w:szCs w:val="24"/>
          <w:highlight w:val="none"/>
        </w:rPr>
      </w:pPr>
      <w:r>
        <w:rPr>
          <w:rFonts w:ascii="宋体" w:hAnsi="宋体" w:cs="宋体"/>
          <w:color w:val="auto"/>
          <w:sz w:val="24"/>
          <w:szCs w:val="24"/>
          <w:highlight w:val="none"/>
        </w:rPr>
        <w:t>1.点击立即注册</w:t>
      </w:r>
    </w:p>
    <w:p w14:paraId="34B6EB3F">
      <w:pPr>
        <w:snapToGrid w:val="0"/>
        <w:spacing w:line="312" w:lineRule="auto"/>
        <w:rPr>
          <w:color w:val="auto"/>
          <w:highlight w:val="none"/>
        </w:rPr>
      </w:pPr>
      <w:r>
        <w:rPr>
          <w:color w:val="auto"/>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23"/>
                    <a:stretch>
                      <a:fillRect/>
                    </a:stretch>
                  </pic:blipFill>
                  <pic:spPr>
                    <a:xfrm>
                      <a:off x="0" y="0"/>
                      <a:ext cx="5760085" cy="2933377"/>
                    </a:xfrm>
                    <a:prstGeom prst="rect">
                      <a:avLst/>
                    </a:prstGeom>
                  </pic:spPr>
                </pic:pic>
              </a:graphicData>
            </a:graphic>
          </wp:inline>
        </w:drawing>
      </w:r>
    </w:p>
    <w:p w14:paraId="10C203A9">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2.</w:t>
      </w:r>
      <w:r>
        <w:rPr>
          <w:rFonts w:ascii="宋体" w:hAnsi="宋体" w:cs="宋体"/>
          <w:color w:val="auto"/>
          <w:sz w:val="24"/>
          <w:szCs w:val="28"/>
          <w:highlight w:val="none"/>
        </w:rPr>
        <w:t>填写</w:t>
      </w:r>
      <w:r>
        <w:rPr>
          <w:rFonts w:hint="eastAsia" w:ascii="宋体" w:hAnsi="宋体" w:cs="宋体"/>
          <w:color w:val="auto"/>
          <w:sz w:val="24"/>
          <w:szCs w:val="28"/>
          <w:highlight w:val="none"/>
        </w:rPr>
        <w:t>姓名、</w:t>
      </w:r>
      <w:r>
        <w:rPr>
          <w:rFonts w:ascii="宋体" w:hAnsi="宋体" w:cs="宋体"/>
          <w:color w:val="auto"/>
          <w:sz w:val="24"/>
          <w:szCs w:val="28"/>
          <w:highlight w:val="none"/>
        </w:rPr>
        <w:t>手机号码（没有注册过的）</w:t>
      </w:r>
      <w:r>
        <w:rPr>
          <w:rFonts w:hint="eastAsia" w:ascii="宋体" w:hAnsi="宋体" w:cs="宋体"/>
          <w:color w:val="auto"/>
          <w:sz w:val="24"/>
          <w:szCs w:val="28"/>
          <w:highlight w:val="none"/>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cs="宋体"/>
          <w:color w:val="auto"/>
          <w:kern w:val="0"/>
          <w:sz w:val="20"/>
          <w:highlight w:val="none"/>
        </w:rPr>
        <w:t>。</w:t>
      </w:r>
    </w:p>
    <w:p w14:paraId="069C78AD">
      <w:pPr>
        <w:snapToGrid w:val="0"/>
        <w:spacing w:line="312" w:lineRule="auto"/>
        <w:rPr>
          <w:color w:val="auto"/>
          <w:highlight w:val="none"/>
        </w:rPr>
      </w:pPr>
      <w:r>
        <w:rPr>
          <w:color w:val="auto"/>
          <w:highlight w:val="none"/>
        </w:rPr>
        <w:drawing>
          <wp:inline distT="0" distB="0" distL="0" distR="0">
            <wp:extent cx="5760085" cy="2766695"/>
            <wp:effectExtent l="0" t="0" r="12065" b="1460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4"/>
                    <a:stretch>
                      <a:fillRect/>
                    </a:stretch>
                  </pic:blipFill>
                  <pic:spPr>
                    <a:xfrm>
                      <a:off x="0" y="0"/>
                      <a:ext cx="5760085" cy="2766707"/>
                    </a:xfrm>
                    <a:prstGeom prst="rect">
                      <a:avLst/>
                    </a:prstGeom>
                  </pic:spPr>
                </pic:pic>
              </a:graphicData>
            </a:graphic>
          </wp:inline>
        </w:drawing>
      </w:r>
    </w:p>
    <w:p w14:paraId="45B975B2">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3.</w:t>
      </w:r>
      <w:r>
        <w:rPr>
          <w:rFonts w:ascii="宋体" w:hAnsi="宋体" w:cs="宋体"/>
          <w:color w:val="auto"/>
          <w:sz w:val="24"/>
          <w:szCs w:val="28"/>
          <w:highlight w:val="none"/>
        </w:rPr>
        <w:t>注册成功登录这个手机号码的账号进入系统，点击供应商注册</w:t>
      </w:r>
    </w:p>
    <w:p w14:paraId="3BB81E71">
      <w:pPr>
        <w:snapToGrid w:val="0"/>
        <w:spacing w:line="312" w:lineRule="auto"/>
        <w:rPr>
          <w:color w:val="auto"/>
          <w:highlight w:val="none"/>
        </w:rPr>
      </w:pPr>
      <w:r>
        <w:rPr>
          <w:color w:val="auto"/>
          <w:highlight w:val="none"/>
        </w:rP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5"/>
                    <a:stretch>
                      <a:fillRect/>
                    </a:stretch>
                  </pic:blipFill>
                  <pic:spPr>
                    <a:xfrm>
                      <a:off x="0" y="0"/>
                      <a:ext cx="5760085" cy="2870054"/>
                    </a:xfrm>
                    <a:prstGeom prst="rect">
                      <a:avLst/>
                    </a:prstGeom>
                  </pic:spPr>
                </pic:pic>
              </a:graphicData>
            </a:graphic>
          </wp:inline>
        </w:drawing>
      </w:r>
    </w:p>
    <w:p w14:paraId="4DCA5A65">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4.</w:t>
      </w:r>
      <w:r>
        <w:rPr>
          <w:rFonts w:ascii="宋体" w:hAnsi="宋体" w:cs="宋体"/>
          <w:color w:val="auto"/>
          <w:sz w:val="24"/>
          <w:szCs w:val="28"/>
          <w:highlight w:val="none"/>
        </w:rPr>
        <w:t>点击新增</w:t>
      </w:r>
    </w:p>
    <w:p w14:paraId="2F2007DC">
      <w:pPr>
        <w:snapToGrid w:val="0"/>
        <w:spacing w:line="312" w:lineRule="auto"/>
        <w:rPr>
          <w:color w:val="auto"/>
          <w:highlight w:val="none"/>
        </w:rPr>
      </w:pPr>
      <w:r>
        <w:rPr>
          <w:color w:val="auto"/>
          <w:highlight w:val="none"/>
        </w:rP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26"/>
                    <a:stretch>
                      <a:fillRect/>
                    </a:stretch>
                  </pic:blipFill>
                  <pic:spPr>
                    <a:xfrm>
                      <a:off x="0" y="0"/>
                      <a:ext cx="5760085" cy="2853375"/>
                    </a:xfrm>
                    <a:prstGeom prst="rect">
                      <a:avLst/>
                    </a:prstGeom>
                  </pic:spPr>
                </pic:pic>
              </a:graphicData>
            </a:graphic>
          </wp:inline>
        </w:drawing>
      </w:r>
    </w:p>
    <w:p w14:paraId="69DD2C15">
      <w:pPr>
        <w:numPr>
          <w:ilvl w:val="0"/>
          <w:numId w:val="16"/>
        </w:numPr>
        <w:spacing w:line="360" w:lineRule="auto"/>
        <w:rPr>
          <w:rFonts w:ascii="宋体" w:hAnsi="宋体" w:cs="宋体"/>
          <w:color w:val="auto"/>
          <w:sz w:val="24"/>
          <w:szCs w:val="28"/>
          <w:highlight w:val="none"/>
        </w:rPr>
      </w:pPr>
      <w:r>
        <w:rPr>
          <w:rFonts w:ascii="宋体" w:hAnsi="宋体" w:cs="宋体"/>
          <w:color w:val="auto"/>
          <w:sz w:val="24"/>
          <w:szCs w:val="28"/>
          <w:highlight w:val="none"/>
        </w:rPr>
        <w:t>按要求填写所有信息，注意非生产类要填写合作单位，最后提交审批</w:t>
      </w:r>
    </w:p>
    <w:p w14:paraId="690B3852">
      <w:pPr>
        <w:spacing w:line="360" w:lineRule="auto"/>
        <w:rPr>
          <w:color w:val="auto"/>
          <w:highlight w:val="none"/>
        </w:rPr>
      </w:pPr>
      <w:r>
        <w:rPr>
          <w:color w:val="auto"/>
          <w:highlight w:val="none"/>
        </w:rPr>
        <w:drawing>
          <wp:inline distT="0" distB="0" distL="114300" distR="114300">
            <wp:extent cx="5758180" cy="3058795"/>
            <wp:effectExtent l="0" t="0" r="762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7"/>
                    <a:stretch>
                      <a:fillRect/>
                    </a:stretch>
                  </pic:blipFill>
                  <pic:spPr>
                    <a:xfrm>
                      <a:off x="0" y="0"/>
                      <a:ext cx="5758180" cy="3058795"/>
                    </a:xfrm>
                    <a:prstGeom prst="rect">
                      <a:avLst/>
                    </a:prstGeom>
                    <a:noFill/>
                    <a:ln>
                      <a:noFill/>
                    </a:ln>
                  </pic:spPr>
                </pic:pic>
              </a:graphicData>
            </a:graphic>
          </wp:inline>
        </w:drawing>
      </w:r>
    </w:p>
    <w:p w14:paraId="042D246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非生产-直管-直管</w:t>
      </w:r>
      <w:r>
        <w:rPr>
          <w:rFonts w:hint="eastAsia" w:ascii="宋体" w:hAnsi="宋体" w:cs="宋体"/>
          <w:color w:val="auto"/>
          <w:sz w:val="24"/>
          <w:szCs w:val="24"/>
          <w:highlight w:val="none"/>
        </w:rPr>
        <w:t>）</w:t>
      </w:r>
    </w:p>
    <w:p w14:paraId="2C292D2C">
      <w:pPr>
        <w:pStyle w:val="25"/>
        <w:rPr>
          <w:rFonts w:hAnsi="宋体" w:eastAsia="宋体" w:cs="宋体"/>
          <w:b/>
          <w:bCs/>
          <w:color w:val="auto"/>
          <w:szCs w:val="24"/>
          <w:highlight w:val="none"/>
          <w:lang w:val="en-US"/>
        </w:rPr>
      </w:pPr>
      <w:r>
        <w:rPr>
          <w:rFonts w:hint="eastAsia" w:hAnsi="宋体" w:eastAsia="宋体" w:cs="宋体"/>
          <w:b/>
          <w:bCs/>
          <w:color w:val="auto"/>
          <w:szCs w:val="24"/>
          <w:highlight w:val="none"/>
          <w:lang w:val="en-US"/>
        </w:rPr>
        <w:t>注：</w:t>
      </w:r>
    </w:p>
    <w:p w14:paraId="64A98264">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基本信息</w:t>
      </w:r>
      <w:r>
        <w:rPr>
          <w:rFonts w:hint="eastAsia" w:hAnsi="宋体" w:cs="宋体"/>
          <w:b/>
          <w:bCs/>
          <w:color w:val="auto"/>
          <w:szCs w:val="28"/>
          <w:highlight w:val="none"/>
          <w:lang w:val="en-US"/>
        </w:rPr>
        <w:t>的填写应填必填，</w:t>
      </w:r>
      <w:r>
        <w:rPr>
          <w:rFonts w:hint="eastAsia" w:hAnsi="宋体" w:eastAsia="宋体" w:cs="宋体"/>
          <w:b/>
          <w:bCs/>
          <w:color w:val="auto"/>
          <w:szCs w:val="28"/>
          <w:highlight w:val="none"/>
          <w:lang w:val="en-US"/>
        </w:rPr>
        <w:t>尽可能完整；“采购形式编号”、“投标项目名称”见上文公告。</w:t>
      </w:r>
    </w:p>
    <w:p w14:paraId="05C4744A">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配套能力：</w:t>
      </w:r>
      <w:r>
        <w:rPr>
          <w:rFonts w:hint="eastAsia" w:hAnsi="宋体" w:eastAsia="宋体" w:cs="宋体"/>
          <w:b/>
          <w:bCs/>
          <w:color w:val="auto"/>
          <w:szCs w:val="28"/>
          <w:highlight w:val="none"/>
        </w:rPr>
        <w:t>管理单位选择【直管单位】、意向配套单位选择【直管单位】，配套能力“供货类别”填“直管单位非生产招标 / 工艺设备 / 工艺设备”，</w:t>
      </w:r>
      <w:r>
        <w:rPr>
          <w:rFonts w:hint="eastAsia" w:hAnsi="宋体" w:eastAsia="宋体" w:cs="宋体"/>
          <w:b/>
          <w:bCs/>
          <w:color w:val="auto"/>
          <w:szCs w:val="28"/>
          <w:highlight w:val="none"/>
          <w:lang w:val="en-US"/>
        </w:rPr>
        <w:t>供应商类别据实填写，代理商需要上传文件。</w:t>
      </w:r>
    </w:p>
    <w:p w14:paraId="775417D0">
      <w:pPr>
        <w:pStyle w:val="25"/>
        <w:numPr>
          <w:ilvl w:val="0"/>
          <w:numId w:val="17"/>
        </w:numPr>
        <w:rPr>
          <w:rFonts w:hAnsi="宋体" w:eastAsia="宋体" w:cs="宋体"/>
          <w:b/>
          <w:bCs/>
          <w:color w:val="auto"/>
          <w:szCs w:val="28"/>
          <w:highlight w:val="none"/>
          <w:lang w:val="en-US"/>
        </w:rPr>
      </w:pPr>
      <w:r>
        <w:rPr>
          <w:rFonts w:hint="eastAsia" w:hAnsi="宋体" w:cs="宋体"/>
          <w:b/>
          <w:bCs/>
          <w:color w:val="auto"/>
          <w:szCs w:val="28"/>
          <w:highlight w:val="none"/>
          <w:lang w:val="en-US"/>
        </w:rPr>
        <w:t>联系人：据实填写，需上传授权书。</w:t>
      </w:r>
    </w:p>
    <w:p w14:paraId="7364B4D7">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证件信息：营业执照：据实填写，注意有效期开始和结束时间，需上传附件。生产许可如上（制造商必填）。</w:t>
      </w:r>
    </w:p>
    <w:p w14:paraId="782AA95B">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资质信息选填。</w:t>
      </w:r>
    </w:p>
    <w:p w14:paraId="4CBFB572">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经营概况：据实填写，能提供，原则上要求供应商必须填写近三年财务指标情况。</w:t>
      </w:r>
    </w:p>
    <w:p w14:paraId="2E15A9A8">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信息化系统选填。</w:t>
      </w:r>
    </w:p>
    <w:p w14:paraId="06A31493">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银行账户：据实填写，开户许可证扫描文件需提交。</w:t>
      </w:r>
    </w:p>
    <w:p w14:paraId="775FE012">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材料有问题会驳回，在审批信息中查看原因；提交完成后，多登录系统查看流程，即使修改，确保顺利注册。</w:t>
      </w:r>
    </w:p>
    <w:p w14:paraId="69A2B6E9">
      <w:pPr>
        <w:numPr>
          <w:ilvl w:val="0"/>
          <w:numId w:val="18"/>
        </w:numPr>
        <w:adjustRightInd w:val="0"/>
        <w:snapToGrid w:val="0"/>
        <w:spacing w:beforeLines="100" w:afterLines="50" w:line="440" w:lineRule="exact"/>
        <w:jc w:val="left"/>
        <w:outlineLvl w:val="3"/>
        <w:rPr>
          <w:color w:val="auto"/>
          <w:sz w:val="24"/>
          <w:szCs w:val="24"/>
          <w:highlight w:val="none"/>
        </w:rPr>
      </w:pPr>
      <w:r>
        <w:rPr>
          <w:rFonts w:hint="eastAsia"/>
          <w:b/>
          <w:bCs/>
          <w:color w:val="auto"/>
          <w:sz w:val="24"/>
          <w:szCs w:val="24"/>
          <w:highlight w:val="none"/>
        </w:rPr>
        <w:t>维护近三年财务指标</w:t>
      </w:r>
    </w:p>
    <w:p w14:paraId="52E16A5C">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1.供应商使用业务账号登录系统后，通过菜单路径：供应商中心→供应商变更→供应商财务数据变更管理，点击【发起变更】按钮，进入供应商财务数据变更填写界面。</w:t>
      </w:r>
    </w:p>
    <w:p w14:paraId="10D1FEE9">
      <w:pPr>
        <w:rPr>
          <w:color w:val="auto"/>
          <w:highlight w:val="none"/>
        </w:rPr>
      </w:pPr>
      <w:r>
        <w:rPr>
          <w:color w:val="auto"/>
          <w:highlight w:val="none"/>
        </w:rPr>
        <w:br w:type="textWrapping"/>
      </w:r>
      <w:r>
        <w:rPr>
          <w:color w:val="auto"/>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8"/>
                    <a:stretch>
                      <a:fillRect/>
                    </a:stretch>
                  </pic:blipFill>
                  <pic:spPr>
                    <a:xfrm>
                      <a:off x="0" y="0"/>
                      <a:ext cx="5486400" cy="2661285"/>
                    </a:xfrm>
                    <a:prstGeom prst="rect">
                      <a:avLst/>
                    </a:prstGeom>
                    <a:noFill/>
                    <a:ln>
                      <a:noFill/>
                    </a:ln>
                  </pic:spPr>
                </pic:pic>
              </a:graphicData>
            </a:graphic>
          </wp:inline>
        </w:drawing>
      </w:r>
    </w:p>
    <w:p w14:paraId="461B07F9">
      <w:pPr>
        <w:rPr>
          <w:color w:val="auto"/>
          <w:highlight w:val="none"/>
        </w:rPr>
      </w:pPr>
      <w:r>
        <w:rPr>
          <w:color w:val="auto"/>
          <w:highlight w:val="none"/>
        </w:rPr>
        <w:br w:type="page"/>
      </w:r>
    </w:p>
    <w:p w14:paraId="1CB64F0B">
      <w:pPr>
        <w:rPr>
          <w:rFonts w:hAnsi="宋体"/>
          <w:b/>
          <w:color w:val="auto"/>
          <w:sz w:val="24"/>
          <w:szCs w:val="24"/>
          <w:highlight w:val="none"/>
        </w:rPr>
      </w:pPr>
      <w:r>
        <w:rPr>
          <w:rFonts w:hint="eastAsia" w:hAnsi="宋体" w:cs="宋体"/>
          <w:b/>
          <w:bCs/>
          <w:color w:val="auto"/>
          <w:sz w:val="24"/>
          <w:szCs w:val="24"/>
          <w:highlight w:val="none"/>
        </w:rPr>
        <w:t>附件二</w:t>
      </w:r>
      <w:r>
        <w:rPr>
          <w:rFonts w:hint="eastAsia" w:hAnsi="宋体"/>
          <w:b/>
          <w:color w:val="auto"/>
          <w:sz w:val="24"/>
          <w:szCs w:val="24"/>
          <w:highlight w:val="none"/>
        </w:rPr>
        <w:t>SRM系统供应商用户手册</w:t>
      </w:r>
    </w:p>
    <w:p w14:paraId="21E1048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系统网址：</w:t>
      </w:r>
      <w:r>
        <w:rPr>
          <w:color w:val="auto"/>
          <w:highlight w:val="none"/>
        </w:rPr>
        <w:fldChar w:fldCharType="begin"/>
      </w:r>
      <w:r>
        <w:rPr>
          <w:color w:val="auto"/>
          <w:highlight w:val="none"/>
        </w:rPr>
        <w:instrText xml:space="preserve"> HYPERLINK "http://ecaitong.sinotruk.com:8012/" \t "dlt" </w:instrText>
      </w:r>
      <w:r>
        <w:rPr>
          <w:color w:val="auto"/>
          <w:highlight w:val="none"/>
        </w:rPr>
        <w:fldChar w:fldCharType="separate"/>
      </w:r>
      <w:r>
        <w:rPr>
          <w:rStyle w:val="55"/>
          <w:rFonts w:hint="eastAsia" w:ascii="宋体" w:hAnsi="宋体" w:cs="宋体"/>
          <w:color w:val="auto"/>
          <w:sz w:val="24"/>
          <w:szCs w:val="24"/>
          <w:highlight w:val="none"/>
        </w:rPr>
        <w:t>https://ecaitong.sinotruk.com:8012/</w:t>
      </w:r>
      <w:r>
        <w:rPr>
          <w:rStyle w:val="55"/>
          <w:rFonts w:hint="eastAsia" w:ascii="宋体" w:hAnsi="宋体" w:cs="宋体"/>
          <w:color w:val="auto"/>
          <w:sz w:val="24"/>
          <w:szCs w:val="24"/>
          <w:highlight w:val="none"/>
        </w:rPr>
        <w:fldChar w:fldCharType="end"/>
      </w:r>
    </w:p>
    <w:p w14:paraId="4A62E2C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用 户 名：gys+供应商代码（注意：注册完毕后，会收到成功的短信，用户名不要用手机号登录）</w:t>
      </w:r>
    </w:p>
    <w:p w14:paraId="3662DFB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初始密码：自己设置的密码</w:t>
      </w:r>
    </w:p>
    <w:p w14:paraId="5470C727">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1.供应商应标</w:t>
      </w:r>
    </w:p>
    <w:p w14:paraId="39413C13">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供应商应标</w:t>
      </w:r>
    </w:p>
    <w:p w14:paraId="4FDA8BEA">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点击应标，上传文件之后点击提交。</w:t>
      </w:r>
    </w:p>
    <w:p w14:paraId="4A2BA792">
      <w:pPr>
        <w:rPr>
          <w:color w:val="auto"/>
          <w:highlight w:val="none"/>
        </w:rPr>
      </w:pPr>
      <w:r>
        <w:rPr>
          <w:color w:val="auto"/>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9"/>
                    <a:stretch>
                      <a:fillRect/>
                    </a:stretch>
                  </pic:blipFill>
                  <pic:spPr>
                    <a:xfrm>
                      <a:off x="0" y="0"/>
                      <a:ext cx="5760085" cy="2269864"/>
                    </a:xfrm>
                    <a:prstGeom prst="rect">
                      <a:avLst/>
                    </a:prstGeom>
                  </pic:spPr>
                </pic:pic>
              </a:graphicData>
            </a:graphic>
          </wp:inline>
        </w:drawing>
      </w:r>
    </w:p>
    <w:p w14:paraId="0993F9BC">
      <w:pPr>
        <w:rPr>
          <w:b/>
          <w:bCs/>
          <w:color w:val="auto"/>
          <w:highlight w:val="none"/>
        </w:rPr>
      </w:pPr>
      <w:r>
        <w:rPr>
          <w:rFonts w:hint="eastAsia"/>
          <w:b/>
          <w:bCs/>
          <w:color w:val="auto"/>
          <w:sz w:val="24"/>
          <w:szCs w:val="24"/>
          <w:highlight w:val="none"/>
        </w:rPr>
        <w:t>应标页面否为代理商请如实选择，若为代理商应标，请在应标后联系商务联系人。</w:t>
      </w:r>
    </w:p>
    <w:p w14:paraId="520B51C4">
      <w:pPr>
        <w:pStyle w:val="25"/>
        <w:rPr>
          <w:color w:val="auto"/>
          <w:highlight w:val="none"/>
        </w:rPr>
      </w:pPr>
    </w:p>
    <w:p w14:paraId="2CE8721B">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2.供应商投标</w:t>
      </w:r>
    </w:p>
    <w:p w14:paraId="6E5430BB">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供应商投标</w:t>
      </w:r>
    </w:p>
    <w:p w14:paraId="3513CBAC">
      <w:pPr>
        <w:rPr>
          <w:rFonts w:ascii="宋体" w:hAnsi="宋体" w:cs="宋体"/>
          <w:color w:val="auto"/>
          <w:highlight w:val="none"/>
        </w:rPr>
      </w:pPr>
      <w:r>
        <w:rPr>
          <w:rFonts w:ascii="宋体" w:hAnsi="宋体" w:cs="宋体"/>
          <w:color w:val="auto"/>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30"/>
                    <a:stretch>
                      <a:fillRect/>
                    </a:stretch>
                  </pic:blipFill>
                  <pic:spPr>
                    <a:xfrm>
                      <a:off x="0" y="0"/>
                      <a:ext cx="5760085" cy="2125673"/>
                    </a:xfrm>
                    <a:prstGeom prst="rect">
                      <a:avLst/>
                    </a:prstGeom>
                  </pic:spPr>
                </pic:pic>
              </a:graphicData>
            </a:graphic>
          </wp:inline>
        </w:drawing>
      </w:r>
    </w:p>
    <w:p w14:paraId="6D2DBF49">
      <w:pPr>
        <w:spacing w:line="360" w:lineRule="auto"/>
        <w:rPr>
          <w:rFonts w:ascii="宋体" w:hAnsi="宋体" w:cs="宋体"/>
          <w:color w:val="auto"/>
          <w:sz w:val="24"/>
          <w:szCs w:val="28"/>
          <w:highlight w:val="none"/>
        </w:rPr>
      </w:pPr>
      <w:r>
        <w:rPr>
          <w:rFonts w:ascii="宋体" w:hAnsi="宋体" w:cs="宋体"/>
          <w:color w:val="auto"/>
          <w:sz w:val="24"/>
          <w:szCs w:val="28"/>
          <w:highlight w:val="none"/>
        </w:rPr>
        <w:t>点击投标按钮，进入详情页，输入投标报价并上传相应的附件。</w:t>
      </w:r>
    </w:p>
    <w:p w14:paraId="00005641">
      <w:pPr>
        <w:pStyle w:val="25"/>
        <w:rPr>
          <w:b/>
          <w:bCs/>
          <w:color w:val="auto"/>
          <w:highlight w:val="none"/>
        </w:rPr>
      </w:pPr>
      <w:r>
        <w:rPr>
          <w:rFonts w:hint="eastAsia" w:hAnsi="宋体" w:eastAsia="宋体" w:cs="宋体"/>
          <w:b/>
          <w:bCs/>
          <w:color w:val="auto"/>
          <w:szCs w:val="28"/>
          <w:highlight w:val="none"/>
        </w:rPr>
        <w:t>注意：系统内的投标报价单位为“万元”，如开标现场发现填错报价，</w:t>
      </w:r>
      <w:r>
        <w:rPr>
          <w:rFonts w:hint="eastAsia" w:hAnsi="宋体" w:eastAsia="宋体" w:cs="宋体"/>
          <w:b/>
          <w:bCs/>
          <w:color w:val="auto"/>
          <w:szCs w:val="28"/>
          <w:highlight w:val="none"/>
          <w:lang w:val="en-US"/>
        </w:rPr>
        <w:t>可能导致</w:t>
      </w:r>
      <w:r>
        <w:rPr>
          <w:rFonts w:hint="eastAsia" w:hAnsi="宋体" w:eastAsia="宋体" w:cs="宋体"/>
          <w:b/>
          <w:bCs/>
          <w:color w:val="auto"/>
          <w:szCs w:val="28"/>
          <w:highlight w:val="none"/>
        </w:rPr>
        <w:t>直接淘汰。</w:t>
      </w:r>
    </w:p>
    <w:p w14:paraId="5730B0FC">
      <w:pPr>
        <w:pStyle w:val="5"/>
        <w:ind w:left="425" w:hanging="425"/>
        <w:rPr>
          <w:rFonts w:eastAsia="Arial" w:cs="Arial"/>
          <w:color w:val="auto"/>
          <w:highlight w:val="none"/>
        </w:rPr>
      </w:pPr>
      <w:r>
        <w:rPr>
          <w:rFonts w:eastAsia="Arial" w:cs="Arial"/>
          <w:color w:val="auto"/>
          <w:highlight w:val="none"/>
          <w:lang w:val="en-US"/>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31"/>
                    <a:stretch>
                      <a:fillRect/>
                    </a:stretch>
                  </pic:blipFill>
                  <pic:spPr>
                    <a:xfrm>
                      <a:off x="0" y="0"/>
                      <a:ext cx="5490210" cy="2669498"/>
                    </a:xfrm>
                    <a:prstGeom prst="rect">
                      <a:avLst/>
                    </a:prstGeom>
                  </pic:spPr>
                </pic:pic>
              </a:graphicData>
            </a:graphic>
          </wp:inline>
        </w:drawing>
      </w:r>
    </w:p>
    <w:p w14:paraId="66F35F9D">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3.供应商技术标澄清函</w:t>
      </w:r>
    </w:p>
    <w:p w14:paraId="0FFBFAE7">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供应商技术标澄清函</w:t>
      </w:r>
    </w:p>
    <w:p w14:paraId="435CE8F0">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点击编辑按钮进入系统，上传技术标澄清函。</w:t>
      </w:r>
    </w:p>
    <w:p w14:paraId="18F0F487">
      <w:pPr>
        <w:spacing w:line="360" w:lineRule="auto"/>
        <w:rPr>
          <w:rFonts w:ascii="宋体" w:hAnsi="宋体" w:cs="宋体"/>
          <w:color w:val="auto"/>
          <w:sz w:val="24"/>
          <w:szCs w:val="24"/>
          <w:highlight w:val="none"/>
        </w:rPr>
      </w:pPr>
      <w:r>
        <w:rPr>
          <w:rFonts w:ascii="宋体" w:hAnsi="宋体" w:cs="宋体"/>
          <w:color w:val="auto"/>
          <w:sz w:val="24"/>
          <w:szCs w:val="24"/>
          <w:highlight w:val="none"/>
        </w:rPr>
        <w:t>开标之后所有投标的供应商都可编辑提交，技术标入围之后都不可编辑</w:t>
      </w:r>
    </w:p>
    <w:p w14:paraId="1DBA5CB7">
      <w:pPr>
        <w:spacing w:line="360" w:lineRule="auto"/>
        <w:rPr>
          <w:rFonts w:ascii="Arial" w:hAnsi="Arial" w:eastAsia="Arial" w:cs="Arial"/>
          <w:color w:val="auto"/>
          <w:sz w:val="28"/>
          <w:highlight w:val="none"/>
        </w:rPr>
      </w:pPr>
      <w:r>
        <w:rPr>
          <w:rFonts w:ascii="Arial" w:hAnsi="Arial" w:eastAsia="Arial" w:cs="Arial"/>
          <w:color w:val="auto"/>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32"/>
                    <a:stretch>
                      <a:fillRect/>
                    </a:stretch>
                  </pic:blipFill>
                  <pic:spPr>
                    <a:xfrm>
                      <a:off x="0" y="0"/>
                      <a:ext cx="5490210" cy="1992743"/>
                    </a:xfrm>
                    <a:prstGeom prst="rect">
                      <a:avLst/>
                    </a:prstGeom>
                  </pic:spPr>
                </pic:pic>
              </a:graphicData>
            </a:graphic>
          </wp:inline>
        </w:drawing>
      </w:r>
    </w:p>
    <w:p w14:paraId="64CE5E49">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4.供应商报价</w:t>
      </w:r>
    </w:p>
    <w:p w14:paraId="7E69E827">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供应商报价</w:t>
      </w:r>
    </w:p>
    <w:p w14:paraId="64907587">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点击报价按钮进入报价详情界面，请在此轮报价起止时间内报价，否则无法报价。</w:t>
      </w:r>
    </w:p>
    <w:p w14:paraId="441AF5A4">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5.供应商澄清报价</w:t>
      </w:r>
    </w:p>
    <w:p w14:paraId="470567A8">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供应商澄清报价</w:t>
      </w:r>
    </w:p>
    <w:p w14:paraId="0A855AF5">
      <w:pPr>
        <w:spacing w:line="360" w:lineRule="auto"/>
        <w:rPr>
          <w:rFonts w:ascii="宋体" w:hAnsi="宋体" w:cs="宋体"/>
          <w:color w:val="auto"/>
          <w:sz w:val="24"/>
          <w:szCs w:val="24"/>
          <w:highlight w:val="none"/>
        </w:rPr>
      </w:pPr>
      <w:r>
        <w:rPr>
          <w:rFonts w:ascii="宋体" w:hAnsi="宋体" w:cs="宋体"/>
          <w:color w:val="auto"/>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4C5D6277">
      <w:pPr>
        <w:pStyle w:val="5"/>
        <w:ind w:left="425" w:hanging="425"/>
        <w:rPr>
          <w:rFonts w:eastAsia="Arial" w:cs="Arial"/>
          <w:color w:val="auto"/>
          <w:highlight w:val="none"/>
        </w:rPr>
      </w:pPr>
      <w:r>
        <w:rPr>
          <w:rFonts w:eastAsia="Arial" w:cs="Arial"/>
          <w:color w:val="auto"/>
          <w:highlight w:val="none"/>
          <w:lang w:val="en-US"/>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3"/>
                    <a:stretch>
                      <a:fillRect/>
                    </a:stretch>
                  </pic:blipFill>
                  <pic:spPr>
                    <a:xfrm>
                      <a:off x="0" y="0"/>
                      <a:ext cx="5490210" cy="2544669"/>
                    </a:xfrm>
                    <a:prstGeom prst="rect">
                      <a:avLst/>
                    </a:prstGeom>
                  </pic:spPr>
                </pic:pic>
              </a:graphicData>
            </a:graphic>
          </wp:inline>
        </w:drawing>
      </w:r>
    </w:p>
    <w:p w14:paraId="1AC7B487">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6.供应商查看中标通知</w:t>
      </w:r>
    </w:p>
    <w:p w14:paraId="4A627CAD">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中标项目</w:t>
      </w:r>
    </w:p>
    <w:p w14:paraId="3FA48FF5">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点击查看进入查看中标项目详情</w:t>
      </w:r>
      <w:r>
        <w:rPr>
          <w:rFonts w:hint="eastAsia" w:ascii="宋体" w:hAnsi="宋体" w:cs="宋体"/>
          <w:color w:val="auto"/>
          <w:sz w:val="24"/>
          <w:szCs w:val="24"/>
          <w:highlight w:val="none"/>
        </w:rPr>
        <w:t>（开标会议结束后流程大约需要一周左右）</w:t>
      </w:r>
    </w:p>
    <w:p w14:paraId="5F61D51B">
      <w:pPr>
        <w:rPr>
          <w:color w:val="auto"/>
          <w:highlight w:val="none"/>
        </w:rPr>
      </w:pPr>
      <w:r>
        <w:rPr>
          <w:color w:val="auto"/>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4"/>
                    <a:stretch>
                      <a:fillRect/>
                    </a:stretch>
                  </pic:blipFill>
                  <pic:spPr>
                    <a:xfrm>
                      <a:off x="0" y="0"/>
                      <a:ext cx="5760085" cy="1956600"/>
                    </a:xfrm>
                    <a:prstGeom prst="rect">
                      <a:avLst/>
                    </a:prstGeom>
                  </pic:spPr>
                </pic:pic>
              </a:graphicData>
            </a:graphic>
          </wp:inline>
        </w:drawing>
      </w:r>
    </w:p>
    <w:p w14:paraId="1C32AC21">
      <w:pPr>
        <w:pStyle w:val="25"/>
        <w:rPr>
          <w:rFonts w:hAnsi="宋体" w:eastAsia="宋体"/>
          <w:b/>
          <w:color w:val="auto"/>
          <w:szCs w:val="24"/>
          <w:highlight w:val="none"/>
        </w:rPr>
      </w:pPr>
    </w:p>
    <w:p w14:paraId="42C7E189">
      <w:pPr>
        <w:pStyle w:val="25"/>
        <w:rPr>
          <w:rFonts w:hAnsi="宋体" w:eastAsia="宋体"/>
          <w:b/>
          <w:color w:val="auto"/>
          <w:szCs w:val="24"/>
          <w:highlight w:val="none"/>
        </w:rPr>
      </w:pPr>
    </w:p>
    <w:p w14:paraId="40747D52">
      <w:pPr>
        <w:pStyle w:val="224"/>
        <w:ind w:right="960" w:firstLine="0" w:firstLineChars="0"/>
        <w:jc w:val="both"/>
        <w:rPr>
          <w:rFonts w:asciiTheme="minorEastAsia" w:hAnsiTheme="minorEastAsia" w:eastAsiaTheme="minorEastAsia" w:cstheme="minorEastAsia"/>
          <w:color w:val="auto"/>
          <w:highlight w:val="none"/>
        </w:rPr>
      </w:pPr>
    </w:p>
    <w:sectPr>
      <w:pgSz w:w="11906" w:h="16838"/>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汉仪中圆B5"/>
    <w:panose1 w:val="02010609000101010101"/>
    <w:charset w:val="88"/>
    <w:family w:val="modern"/>
    <w:pitch w:val="default"/>
    <w:sig w:usb0="00000000" w:usb1="00000000" w:usb2="00000010" w:usb3="00000000" w:csb0="00100000" w:csb1="00000000"/>
  </w:font>
  <w:font w:name="汉仪中圆B5">
    <w:panose1 w:val="02010600000101010101"/>
    <w:charset w:val="88"/>
    <w:family w:val="auto"/>
    <w:pitch w:val="default"/>
    <w:sig w:usb0="00000001" w:usb1="080E0800" w:usb2="00000002" w:usb3="00000000" w:csb0="00100000"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E9FE">
    <w:pPr>
      <w:pStyle w:val="31"/>
    </w:pPr>
    <w:r>
      <w:pict>
        <v:shape id="文本框 100" o:spid="_x0000_s409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path/>
          <v:fill on="f" focussize="0,0"/>
          <v:stroke on="f" weight="0.5pt" joinstyle="miter"/>
          <v:imagedata o:title=""/>
          <o:lock v:ext="edit"/>
          <v:textbox inset="0mm,0mm,0mm,0mm" style="mso-fit-shape-to-text:t;">
            <w:txbxContent>
              <w:p w14:paraId="6C40293B">
                <w:pPr>
                  <w:pStyle w:val="31"/>
                </w:pPr>
                <w:r>
                  <w:fldChar w:fldCharType="begin"/>
                </w:r>
                <w:r>
                  <w:instrText xml:space="preserve"> PAGE  \* MERGEFORMAT </w:instrText>
                </w:r>
                <w:r>
                  <w:fldChar w:fldCharType="separate"/>
                </w:r>
                <w:r>
                  <w:t>3</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C3429">
    <w:pPr>
      <w:spacing w:line="179" w:lineRule="auto"/>
      <w:ind w:left="6868"/>
      <w:rPr>
        <w:rFonts w:ascii="宋体" w:hAnsi="宋体" w:cs="宋体"/>
        <w:sz w:val="17"/>
        <w:szCs w:val="17"/>
      </w:rPr>
    </w:pPr>
    <w:r>
      <w:rPr>
        <w:sz w:val="17"/>
      </w:rPr>
      <w:pict>
        <v:shape id="文本框 115" o:spid="_x0000_s410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U8bYvAgAAWAQAAA4AAABkcnMvZTJvRG9jLnhtbK1US27bMBDdF+gd&#10;CO5ryS6S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1dTxti8CAABYBAAADgAAAAAAAAABACAAAAAfAQAAZHJzL2Uyb0RvYy54bWxQSwUGAAAA&#10;AAYABgBZAQAAwAUAAAAA&#10;">
          <v:path/>
          <v:fill on="f" focussize="0,0"/>
          <v:stroke on="f" weight="0.5pt" joinstyle="miter"/>
          <v:imagedata o:title=""/>
          <o:lock v:ext="edit"/>
          <v:textbox inset="0mm,0mm,0mm,0mm" style="mso-fit-shape-to-text:t;">
            <w:txbxContent>
              <w:p w14:paraId="30AE7385">
                <w:pPr>
                  <w:pStyle w:val="31"/>
                </w:pPr>
                <w:r>
                  <w:fldChar w:fldCharType="begin"/>
                </w:r>
                <w:r>
                  <w:instrText xml:space="preserve"> PAGE  \* MERGEFORMAT </w:instrText>
                </w:r>
                <w:r>
                  <w:fldChar w:fldCharType="separate"/>
                </w:r>
                <w:r>
                  <w:t>44</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6F20C">
    <w:r>
      <w:pict>
        <v:shape id="_x0000_s4107" o:spid="_x0000_s410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4F01CCC6">
                <w:pPr>
                  <w:pStyle w:val="31"/>
                </w:pPr>
                <w:r>
                  <w:t xml:space="preserve">第 </w:t>
                </w:r>
                <w:r>
                  <w:fldChar w:fldCharType="begin"/>
                </w:r>
                <w:r>
                  <w:instrText xml:space="preserve"> PAGE  \* MERGEFORMAT </w:instrText>
                </w:r>
                <w:r>
                  <w:fldChar w:fldCharType="separate"/>
                </w:r>
                <w:r>
                  <w:t>46</w:t>
                </w:r>
                <w:r>
                  <w:fldChar w:fldCharType="end"/>
                </w:r>
                <w:r>
                  <w:t xml:space="preserve"> 页</w:t>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3E45">
    <w:pPr>
      <w:pStyle w:val="31"/>
      <w:jc w:val="center"/>
    </w:pPr>
    <w:r>
      <w:pict>
        <v:shape id="_x0000_s4109" o:spid="_x0000_s410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path/>
          <v:fill on="f" focussize="0,0"/>
          <v:stroke on="f" weight="0.5pt" joinstyle="miter"/>
          <v:imagedata o:title=""/>
          <o:lock v:ext="edit"/>
          <v:textbox inset="0mm,0mm,0mm,0mm" style="mso-fit-shape-to-text:t;">
            <w:txbxContent>
              <w:p w14:paraId="30A1204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55</w:t>
                </w:r>
                <w:r>
                  <w:rPr>
                    <w:rFonts w:hint="eastAsia"/>
                    <w:sz w:val="18"/>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7AC19">
    <w:pPr>
      <w:pStyle w:val="31"/>
      <w:jc w:val="center"/>
    </w:pPr>
    <w:r>
      <w:pict>
        <v:shape id="_x0000_s4108" o:spid="_x0000_s410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path/>
          <v:fill on="f" focussize="0,0"/>
          <v:stroke on="f" weight="0.5pt" joinstyle="miter"/>
          <v:imagedata o:title=""/>
          <o:lock v:ext="edit"/>
          <v:textbox inset="0mm,0mm,0mm,0mm" style="mso-fit-shape-to-text:t;">
            <w:txbxContent>
              <w:p w14:paraId="48ACCCD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47</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050B">
    <w:pPr>
      <w:pStyle w:val="31"/>
      <w:jc w:val="center"/>
    </w:pPr>
    <w:r>
      <w:pict>
        <v:shape id="文本框 101" o:spid="_x0000_s4097"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path/>
          <v:fill on="f" focussize="0,0"/>
          <v:stroke on="f" weight="0.5pt" joinstyle="miter"/>
          <v:imagedata o:title=""/>
          <o:lock v:ext="edit"/>
          <v:textbox inset="0mm,0mm,0mm,0mm" style="mso-fit-shape-to-text:t;">
            <w:txbxContent>
              <w:p w14:paraId="7606AE1C">
                <w:pPr>
                  <w:pStyle w:val="31"/>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1C2D7">
    <w:pPr>
      <w:pStyle w:val="31"/>
    </w:pPr>
    <w:r>
      <w:pict>
        <v:shape id="文本框 102" o:spid="_x0000_s4100"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TWguAgAAWA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J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0P01oLgIAAFgEAAAOAAAAAAAAAAEAIAAAAB8BAABkcnMvZTJvRG9jLnhtbFBLBQYAAAAA&#10;BgAGAFkBAAC/BQAAAAA=&#10;">
          <v:path/>
          <v:fill on="f" focussize="0,0"/>
          <v:stroke on="f" weight="0.5pt" joinstyle="miter"/>
          <v:imagedata o:title=""/>
          <o:lock v:ext="edit"/>
          <v:textbox inset="0mm,0mm,0mm,0mm" style="mso-fit-shape-to-text:t;">
            <w:txbxContent>
              <w:p w14:paraId="1DB3E246">
                <w:pPr>
                  <w:pStyle w:val="31"/>
                </w:pPr>
                <w:r>
                  <w:fldChar w:fldCharType="begin"/>
                </w:r>
                <w:r>
                  <w:instrText xml:space="preserve"> PAGE  \* MERGEFORMAT </w:instrText>
                </w:r>
                <w:r>
                  <w:fldChar w:fldCharType="separate"/>
                </w:r>
                <w:r>
                  <w:t>36</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448E3">
    <w:pPr>
      <w:pStyle w:val="31"/>
      <w:jc w:val="center"/>
    </w:pPr>
    <w:r>
      <w:pict>
        <v:shape id="文本框 103" o:spid="_x0000_s4099"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DxhuQtAgAAWAQAAA4AAAAAAAAAAQAgAAAAHwEAAGRycy9lMm9Eb2MueG1sUEsFBgAAAAAG&#10;AAYAWQEAAL4FAAAAAA==&#10;">
          <v:path/>
          <v:fill on="f" focussize="0,0"/>
          <v:stroke on="f" weight="0.5pt" joinstyle="miter"/>
          <v:imagedata o:title=""/>
          <o:lock v:ext="edit"/>
          <v:textbox inset="0mm,0mm,0mm,0mm" style="mso-fit-shape-to-text:t;">
            <w:txbxContent>
              <w:p w14:paraId="45AE6121">
                <w:pPr>
                  <w:pStyle w:val="31"/>
                </w:pPr>
                <w:r>
                  <w:fldChar w:fldCharType="begin"/>
                </w:r>
                <w:r>
                  <w:instrText xml:space="preserve"> PAGE  \* MERGEFORMAT </w:instrText>
                </w:r>
                <w:r>
                  <w:fldChar w:fldCharType="separate"/>
                </w:r>
                <w:r>
                  <w:t>35</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6404">
    <w:pPr>
      <w:pStyle w:val="31"/>
    </w:pPr>
    <w:r>
      <w:pict>
        <v:shape id="文本框 104" o:spid="_x0000_s4102"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1CvktAgAAWA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L1CvktAgAAWAQAAA4AAAAAAAAAAQAgAAAAHwEAAGRycy9lMm9Eb2MueG1sUEsFBgAAAAAG&#10;AAYAWQEAAL4FAAAAAA==&#10;">
          <v:path/>
          <v:fill on="f" focussize="0,0"/>
          <v:stroke on="f" weight="0.5pt" joinstyle="miter"/>
          <v:imagedata o:title=""/>
          <o:lock v:ext="edit"/>
          <v:textbox inset="0mm,0mm,0mm,0mm" style="mso-fit-shape-to-text:t;">
            <w:txbxContent>
              <w:p w14:paraId="224EF7F9">
                <w:pPr>
                  <w:pStyle w:val="31"/>
                </w:pPr>
                <w:r>
                  <w:fldChar w:fldCharType="begin"/>
                </w:r>
                <w:r>
                  <w:instrText xml:space="preserve"> PAGE  \* MERGEFORMAT </w:instrText>
                </w:r>
                <w:r>
                  <w:fldChar w:fldCharType="separate"/>
                </w:r>
                <w:r>
                  <w:t>1</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42010">
    <w:pPr>
      <w:pStyle w:val="31"/>
      <w:jc w:val="center"/>
    </w:pPr>
    <w:r>
      <w:pict>
        <v:shape id="文本框 105" o:spid="_x0000_s4101"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sZAgtAgAAWA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VsZAgtAgAAWAQAAA4AAAAAAAAAAQAgAAAAHwEAAGRycy9lMm9Eb2MueG1sUEsFBgAAAAAG&#10;AAYAWQEAAL4FAAAAAA==&#10;">
          <v:path/>
          <v:fill on="f" focussize="0,0"/>
          <v:stroke on="f" weight="0.5pt" joinstyle="miter"/>
          <v:imagedata o:title=""/>
          <o:lock v:ext="edit"/>
          <v:textbox inset="0mm,0mm,0mm,0mm" style="mso-fit-shape-to-text:t;">
            <w:txbxContent>
              <w:p w14:paraId="481FD4EC">
                <w:pPr>
                  <w:pStyle w:val="31"/>
                </w:pPr>
                <w:r>
                  <w:fldChar w:fldCharType="begin"/>
                </w:r>
                <w:r>
                  <w:instrText xml:space="preserve"> PAGE  \* MERGEFORMAT </w:instrText>
                </w:r>
                <w:r>
                  <w:fldChar w:fldCharType="separate"/>
                </w:r>
                <w:r>
                  <w:t>37</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5319C">
    <w:pPr>
      <w:pStyle w:val="31"/>
    </w:pPr>
    <w:r>
      <w:pict>
        <v:shape id="文本框 108" o:spid="_x0000_s4104"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xAItAgAAWA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mSxAItAgAAWAQAAA4AAAAAAAAAAQAgAAAAHwEAAGRycy9lMm9Eb2MueG1sUEsFBgAAAAAG&#10;AAYAWQEAAL4FAAAAAA==&#10;">
          <v:path/>
          <v:fill on="f" focussize="0,0"/>
          <v:stroke on="f" weight="0.5pt" joinstyle="miter"/>
          <v:imagedata o:title=""/>
          <o:lock v:ext="edit"/>
          <v:textbox inset="0mm,0mm,0mm,0mm" style="mso-fit-shape-to-text:t;">
            <w:txbxContent>
              <w:p w14:paraId="04E9BB63">
                <w:pPr>
                  <w:pStyle w:val="31"/>
                </w:pPr>
                <w:r>
                  <w:fldChar w:fldCharType="begin"/>
                </w:r>
                <w:r>
                  <w:instrText xml:space="preserve"> PAGE  \* MERGEFORMAT </w:instrText>
                </w:r>
                <w:r>
                  <w:fldChar w:fldCharType="separate"/>
                </w:r>
                <w:r>
                  <w:t>40</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B41D9">
    <w:pPr>
      <w:pStyle w:val="31"/>
      <w:jc w:val="center"/>
    </w:pPr>
    <w:r>
      <w:pict>
        <v:shape id="文本框 109" o:spid="_x0000_s4103"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Ik7QtAgAAWA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OIk7QtAgAAWAQAAA4AAAAAAAAAAQAgAAAAHwEAAGRycy9lMm9Eb2MueG1sUEsFBgAAAAAG&#10;AAYAWQEAAL4FAAAAAA==&#10;">
          <v:path/>
          <v:fill on="f" focussize="0,0"/>
          <v:stroke on="f" weight="0.5pt" joinstyle="miter"/>
          <v:imagedata o:title=""/>
          <o:lock v:ext="edit"/>
          <v:textbox inset="0mm,0mm,0mm,0mm" style="mso-fit-shape-to-text:t;">
            <w:txbxContent>
              <w:p w14:paraId="11F9746C">
                <w:pPr>
                  <w:pStyle w:val="31"/>
                </w:pPr>
                <w:r>
                  <w:fldChar w:fldCharType="begin"/>
                </w:r>
                <w:r>
                  <w:instrText xml:space="preserve"> PAGE  \* MERGEFORMAT </w:instrText>
                </w:r>
                <w:r>
                  <w:fldChar w:fldCharType="separate"/>
                </w:r>
                <w:r>
                  <w:t>43</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0B4B">
    <w:pPr>
      <w:spacing w:line="182" w:lineRule="auto"/>
      <w:ind w:left="6857"/>
      <w:rPr>
        <w:rFonts w:ascii="宋体" w:hAnsi="宋体" w:cs="宋体"/>
        <w:sz w:val="18"/>
        <w:szCs w:val="18"/>
      </w:rPr>
    </w:pPr>
    <w:r>
      <w:rPr>
        <w:sz w:val="18"/>
      </w:rPr>
      <w:pict>
        <v:shape id="文本框 20" o:spid="_x0000_s4105"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wJ8tctAgAAVwQAAA4AAAAAAAAAAQAgAAAAHwEAAGRycy9lMm9Eb2MueG1sUEsFBgAAAAAG&#10;AAYAWQEAAL4FAAAAAA==&#10;">
          <v:path/>
          <v:fill on="f" focussize="0,0"/>
          <v:stroke on="f" weight="0.5pt" joinstyle="miter"/>
          <v:imagedata o:title=""/>
          <o:lock v:ext="edit"/>
          <v:textbox inset="0mm,0mm,0mm,0mm" style="mso-fit-shape-to-text:t;">
            <w:txbxContent>
              <w:p w14:paraId="2A7748A7">
                <w:pPr>
                  <w:pStyle w:val="31"/>
                </w:pPr>
                <w:r>
                  <w:fldChar w:fldCharType="begin"/>
                </w:r>
                <w:r>
                  <w:instrText xml:space="preserve"> PAGE  \* MERGEFORMAT </w:instrText>
                </w:r>
                <w:r>
                  <w:fldChar w:fldCharType="separate"/>
                </w:r>
                <w:r>
                  <w:t>108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081BE">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BEDFE">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FC661">
    <w:pPr>
      <w:pStyle w:val="32"/>
      <w:pBdr>
        <w:bottom w:val="single" w:color="auto" w:sz="6" w:space="0"/>
      </w:pBdr>
      <w:jc w:val="both"/>
      <w:rPr>
        <w:sz w:val="16"/>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3E1F7">
    <w:pPr>
      <w:pStyle w:val="32"/>
    </w:pPr>
  </w:p>
  <w:p w14:paraId="7ED314A1">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3741F">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A53CF982"/>
    <w:multiLevelType w:val="singleLevel"/>
    <w:tmpl w:val="A53CF982"/>
    <w:lvl w:ilvl="0" w:tentative="0">
      <w:start w:val="1"/>
      <w:numFmt w:val="bullet"/>
      <w:lvlText w:val=""/>
      <w:lvlJc w:val="left"/>
      <w:pPr>
        <w:ind w:left="420" w:hanging="420"/>
      </w:pPr>
      <w:rPr>
        <w:rFonts w:hint="default" w:ascii="Wingdings" w:hAnsi="Wingdings"/>
      </w:rPr>
    </w:lvl>
  </w:abstractNum>
  <w:abstractNum w:abstractNumId="2">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3">
    <w:nsid w:val="06882CE3"/>
    <w:multiLevelType w:val="multilevel"/>
    <w:tmpl w:val="06882CE3"/>
    <w:lvl w:ilvl="0" w:tentative="0">
      <w:start w:val="1"/>
      <w:numFmt w:val="decimal"/>
      <w:pStyle w:val="231"/>
      <w:suff w:val="nothing"/>
      <w:lvlText w:val="（%1）"/>
      <w:lvlJc w:val="left"/>
      <w:pPr>
        <w:ind w:left="1270" w:hanging="420"/>
      </w:pPr>
      <w:rPr>
        <w:b w:val="0"/>
        <w:bCs w:val="0"/>
        <w:i w:val="0"/>
        <w:iCs w:val="0"/>
        <w:caps w:val="0"/>
        <w:smallCaps w:val="0"/>
        <w:strike w:val="0"/>
        <w:dstrike w:val="0"/>
        <w:vanish w:val="0"/>
        <w:spacing w:val="0"/>
        <w:position w:val="0"/>
        <w:u w:val="none"/>
        <w:vertAlign w:val="baseline"/>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06DF48CC"/>
    <w:multiLevelType w:val="multilevel"/>
    <w:tmpl w:val="06DF48CC"/>
    <w:lvl w:ilvl="0" w:tentative="0">
      <w:start w:val="1"/>
      <w:numFmt w:val="japaneseCounting"/>
      <w:lvlText w:val="%1、"/>
      <w:lvlJc w:val="left"/>
      <w:pPr>
        <w:ind w:left="500" w:hanging="50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26A001F"/>
    <w:multiLevelType w:val="singleLevel"/>
    <w:tmpl w:val="226A001F"/>
    <w:lvl w:ilvl="0" w:tentative="0">
      <w:start w:val="5"/>
      <w:numFmt w:val="decimal"/>
      <w:lvlText w:val="%1."/>
      <w:lvlJc w:val="left"/>
      <w:pPr>
        <w:tabs>
          <w:tab w:val="left" w:pos="312"/>
        </w:tabs>
      </w:pPr>
    </w:lvl>
  </w:abstractNum>
  <w:abstractNum w:abstractNumId="7">
    <w:nsid w:val="26728E47"/>
    <w:multiLevelType w:val="singleLevel"/>
    <w:tmpl w:val="26728E47"/>
    <w:lvl w:ilvl="0" w:tentative="0">
      <w:start w:val="1"/>
      <w:numFmt w:val="bullet"/>
      <w:lvlText w:val=""/>
      <w:lvlJc w:val="left"/>
      <w:pPr>
        <w:ind w:left="420" w:hanging="420"/>
      </w:pPr>
      <w:rPr>
        <w:rFonts w:hint="default" w:ascii="Wingdings" w:hAnsi="Wingdings"/>
      </w:rPr>
    </w:lvl>
  </w:abstractNum>
  <w:abstractNum w:abstractNumId="8">
    <w:nsid w:val="32B2BE1D"/>
    <w:multiLevelType w:val="singleLevel"/>
    <w:tmpl w:val="32B2BE1D"/>
    <w:lvl w:ilvl="0" w:tentative="0">
      <w:start w:val="1"/>
      <w:numFmt w:val="bullet"/>
      <w:lvlText w:val=""/>
      <w:lvlJc w:val="left"/>
      <w:pPr>
        <w:ind w:left="420" w:hanging="420"/>
      </w:pPr>
      <w:rPr>
        <w:rFonts w:hint="default" w:ascii="Wingdings" w:hAnsi="Wingdings"/>
      </w:rPr>
    </w:lvl>
  </w:abstractNum>
  <w:abstractNum w:abstractNumId="9">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11">
    <w:nsid w:val="4AF0723E"/>
    <w:multiLevelType w:val="singleLevel"/>
    <w:tmpl w:val="4AF0723E"/>
    <w:lvl w:ilvl="0" w:tentative="0">
      <w:start w:val="2"/>
      <w:numFmt w:val="chineseCounting"/>
      <w:suff w:val="nothing"/>
      <w:lvlText w:val="%1、"/>
      <w:lvlJc w:val="left"/>
      <w:rPr>
        <w:rFonts w:hint="eastAsia"/>
      </w:rPr>
    </w:lvl>
  </w:abstractNum>
  <w:abstractNum w:abstractNumId="12">
    <w:nsid w:val="56D20133"/>
    <w:multiLevelType w:val="multilevel"/>
    <w:tmpl w:val="56D20133"/>
    <w:lvl w:ilvl="0" w:tentative="0">
      <w:start w:val="1"/>
      <w:numFmt w:val="chineseCountingThousand"/>
      <w:pStyle w:val="229"/>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3">
    <w:nsid w:val="656A6EAE"/>
    <w:multiLevelType w:val="multilevel"/>
    <w:tmpl w:val="656A6EAE"/>
    <w:lvl w:ilvl="0" w:tentative="0">
      <w:start w:val="1"/>
      <w:numFmt w:val="chineseCountingThousand"/>
      <w:pStyle w:val="23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67CA585D"/>
    <w:multiLevelType w:val="singleLevel"/>
    <w:tmpl w:val="67CA585D"/>
    <w:lvl w:ilvl="0" w:tentative="0">
      <w:start w:val="1"/>
      <w:numFmt w:val="decimal"/>
      <w:suff w:val="nothing"/>
      <w:lvlText w:val="%1、"/>
      <w:lvlJc w:val="left"/>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8DED5D6"/>
    <w:multiLevelType w:val="singleLevel"/>
    <w:tmpl w:val="78DED5D6"/>
    <w:lvl w:ilvl="0" w:tentative="0">
      <w:start w:val="2"/>
      <w:numFmt w:val="decimal"/>
      <w:suff w:val="nothing"/>
      <w:lvlText w:val="%1、"/>
      <w:lvlJc w:val="left"/>
    </w:lvl>
  </w:abstractNum>
  <w:num w:numId="1">
    <w:abstractNumId w:val="12"/>
  </w:num>
  <w:num w:numId="2">
    <w:abstractNumId w:val="3"/>
  </w:num>
  <w:num w:numId="3">
    <w:abstractNumId w:val="13"/>
  </w:num>
  <w:num w:numId="4">
    <w:abstractNumId w:val="2"/>
  </w:num>
  <w:num w:numId="5">
    <w:abstractNumId w:val="16"/>
  </w:num>
  <w:num w:numId="6">
    <w:abstractNumId w:val="9"/>
  </w:num>
  <w:num w:numId="7">
    <w:abstractNumId w:val="5"/>
  </w:num>
  <w:num w:numId="8">
    <w:abstractNumId w:val="15"/>
  </w:num>
  <w:num w:numId="9">
    <w:abstractNumId w:val="4"/>
  </w:num>
  <w:num w:numId="10">
    <w:abstractNumId w:val="10"/>
  </w:num>
  <w:num w:numId="11">
    <w:abstractNumId w:val="7"/>
  </w:num>
  <w:num w:numId="12">
    <w:abstractNumId w:val="8"/>
  </w:num>
  <w:num w:numId="13">
    <w:abstractNumId w:val="1"/>
  </w:num>
  <w:num w:numId="14">
    <w:abstractNumId w:val="17"/>
  </w:num>
  <w:num w:numId="15">
    <w:abstractNumId w:val="0"/>
  </w:num>
  <w:num w:numId="16">
    <w:abstractNumId w:val="6"/>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hideSpellingErrors/>
  <w:documentProtection w:enforcement="0"/>
  <w:defaultTabStop w:val="720"/>
  <w:drawingGridHorizontalSpacing w:val="100"/>
  <w:drawingGridVerticalSpacing w:val="156"/>
  <w:noPunctuationKerning w:val="1"/>
  <w:characterSpacingControl w:val="doNotCompress"/>
  <w:doNotValidateAgainstSchema/>
  <w:doNotDemarcateInvalidXml/>
  <w:hdrShapeDefaults>
    <o:shapelayout v:ext="edit">
      <o:idmap v:ext="edit" data="3,4"/>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2"/>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2C65"/>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5B3"/>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58D"/>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5C593A"/>
    <w:rsid w:val="02E74D14"/>
    <w:rsid w:val="02FC5AB3"/>
    <w:rsid w:val="035E6B0B"/>
    <w:rsid w:val="046668A8"/>
    <w:rsid w:val="04826D2E"/>
    <w:rsid w:val="04B15209"/>
    <w:rsid w:val="04D70225"/>
    <w:rsid w:val="05160EF2"/>
    <w:rsid w:val="06F4371B"/>
    <w:rsid w:val="0776054C"/>
    <w:rsid w:val="09BB7FA5"/>
    <w:rsid w:val="0A26079A"/>
    <w:rsid w:val="0BEB0202"/>
    <w:rsid w:val="0C6735F9"/>
    <w:rsid w:val="0CB054B1"/>
    <w:rsid w:val="0D326CC2"/>
    <w:rsid w:val="0DD35977"/>
    <w:rsid w:val="0EA03360"/>
    <w:rsid w:val="1378147A"/>
    <w:rsid w:val="13C93760"/>
    <w:rsid w:val="14BD34D2"/>
    <w:rsid w:val="15561167"/>
    <w:rsid w:val="15D41B8A"/>
    <w:rsid w:val="16EB3A89"/>
    <w:rsid w:val="1868332D"/>
    <w:rsid w:val="1943060F"/>
    <w:rsid w:val="1DA82577"/>
    <w:rsid w:val="1DAB37BF"/>
    <w:rsid w:val="1E1170AC"/>
    <w:rsid w:val="20260C5D"/>
    <w:rsid w:val="209D487B"/>
    <w:rsid w:val="224775E5"/>
    <w:rsid w:val="22A44CDF"/>
    <w:rsid w:val="25C46CDA"/>
    <w:rsid w:val="29C928E7"/>
    <w:rsid w:val="2A7C02EC"/>
    <w:rsid w:val="2A8F7CD5"/>
    <w:rsid w:val="2B3F4DD2"/>
    <w:rsid w:val="2B9654FA"/>
    <w:rsid w:val="2E7345D1"/>
    <w:rsid w:val="300746D5"/>
    <w:rsid w:val="353F5A8C"/>
    <w:rsid w:val="36DE1355"/>
    <w:rsid w:val="38FB05D7"/>
    <w:rsid w:val="393D26BB"/>
    <w:rsid w:val="39565AB7"/>
    <w:rsid w:val="3A5B7C10"/>
    <w:rsid w:val="3AB31BE9"/>
    <w:rsid w:val="3BCA5C37"/>
    <w:rsid w:val="3C972E12"/>
    <w:rsid w:val="3D9C2881"/>
    <w:rsid w:val="3F801B0E"/>
    <w:rsid w:val="413C1020"/>
    <w:rsid w:val="41A55A6F"/>
    <w:rsid w:val="429D2840"/>
    <w:rsid w:val="43936176"/>
    <w:rsid w:val="461D1E0F"/>
    <w:rsid w:val="48A82A9E"/>
    <w:rsid w:val="49D23393"/>
    <w:rsid w:val="4A082E0A"/>
    <w:rsid w:val="4AC268B8"/>
    <w:rsid w:val="4CC51E60"/>
    <w:rsid w:val="4CD949FD"/>
    <w:rsid w:val="4F4A4FC8"/>
    <w:rsid w:val="508341B3"/>
    <w:rsid w:val="51266A33"/>
    <w:rsid w:val="51654692"/>
    <w:rsid w:val="5444374C"/>
    <w:rsid w:val="54D7260C"/>
    <w:rsid w:val="577F3D9E"/>
    <w:rsid w:val="57E02431"/>
    <w:rsid w:val="58055C15"/>
    <w:rsid w:val="58AE4B70"/>
    <w:rsid w:val="5B0C1A7E"/>
    <w:rsid w:val="5B13320B"/>
    <w:rsid w:val="5CEB3BAF"/>
    <w:rsid w:val="5E9F1486"/>
    <w:rsid w:val="5F377063"/>
    <w:rsid w:val="5FF411EE"/>
    <w:rsid w:val="612739FC"/>
    <w:rsid w:val="62846A92"/>
    <w:rsid w:val="62E50A5D"/>
    <w:rsid w:val="633A3E82"/>
    <w:rsid w:val="63F94D9C"/>
    <w:rsid w:val="65E3187B"/>
    <w:rsid w:val="673F2C72"/>
    <w:rsid w:val="683F4F79"/>
    <w:rsid w:val="68C06BDA"/>
    <w:rsid w:val="69F8009E"/>
    <w:rsid w:val="6AB76068"/>
    <w:rsid w:val="6B0C102F"/>
    <w:rsid w:val="6C9132F0"/>
    <w:rsid w:val="6CD2160A"/>
    <w:rsid w:val="6D5B701C"/>
    <w:rsid w:val="6DBA679E"/>
    <w:rsid w:val="6FDA087D"/>
    <w:rsid w:val="736A2597"/>
    <w:rsid w:val="73ED5D0C"/>
    <w:rsid w:val="74995770"/>
    <w:rsid w:val="75005A9F"/>
    <w:rsid w:val="75CB4B5C"/>
    <w:rsid w:val="75CD3E17"/>
    <w:rsid w:val="764F3356"/>
    <w:rsid w:val="774E6E46"/>
    <w:rsid w:val="78190401"/>
    <w:rsid w:val="785D1992"/>
    <w:rsid w:val="7A8F4EBB"/>
    <w:rsid w:val="7B802C44"/>
    <w:rsid w:val="7B9B06AA"/>
    <w:rsid w:val="7C7F6824"/>
    <w:rsid w:val="7DA423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2"/>
    <w:qFormat/>
    <w:uiPriority w:val="0"/>
    <w:pPr>
      <w:keepNext/>
      <w:keepLines/>
      <w:spacing w:before="340" w:after="330" w:line="576" w:lineRule="auto"/>
      <w:outlineLvl w:val="0"/>
    </w:pPr>
    <w:rPr>
      <w:b/>
      <w:kern w:val="44"/>
      <w:sz w:val="44"/>
      <w:lang w:val="zh-CN"/>
    </w:rPr>
  </w:style>
  <w:style w:type="paragraph" w:styleId="3">
    <w:name w:val="heading 2"/>
    <w:basedOn w:val="1"/>
    <w:next w:val="1"/>
    <w:link w:val="63"/>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4"/>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6"/>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7"/>
    <w:qFormat/>
    <w:uiPriority w:val="0"/>
    <w:pPr>
      <w:keepNext/>
      <w:keepLines/>
      <w:spacing w:before="280" w:after="290" w:line="372" w:lineRule="auto"/>
      <w:outlineLvl w:val="4"/>
    </w:pPr>
    <w:rPr>
      <w:b/>
      <w:sz w:val="28"/>
      <w:lang w:val="zh-CN"/>
    </w:rPr>
  </w:style>
  <w:style w:type="paragraph" w:styleId="8">
    <w:name w:val="heading 6"/>
    <w:basedOn w:val="1"/>
    <w:next w:val="7"/>
    <w:link w:val="68"/>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9"/>
    <w:qFormat/>
    <w:uiPriority w:val="0"/>
    <w:pPr>
      <w:keepNext/>
      <w:keepLines/>
      <w:spacing w:before="240" w:after="64" w:line="317" w:lineRule="auto"/>
      <w:outlineLvl w:val="6"/>
    </w:pPr>
    <w:rPr>
      <w:b/>
      <w:sz w:val="24"/>
      <w:lang w:val="zh-CN"/>
    </w:rPr>
  </w:style>
  <w:style w:type="paragraph" w:styleId="10">
    <w:name w:val="heading 8"/>
    <w:basedOn w:val="1"/>
    <w:next w:val="7"/>
    <w:link w:val="70"/>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1"/>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5"/>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6"/>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2"/>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6"/>
    <w:qFormat/>
    <w:uiPriority w:val="0"/>
    <w:pPr>
      <w:adjustRightInd w:val="0"/>
      <w:spacing w:line="360" w:lineRule="atLeast"/>
      <w:textAlignment w:val="baseline"/>
    </w:pPr>
    <w:rPr>
      <w:kern w:val="0"/>
      <w:sz w:val="24"/>
      <w:lang w:val="zh-CN"/>
    </w:rPr>
  </w:style>
  <w:style w:type="paragraph" w:styleId="18">
    <w:name w:val="index 6"/>
    <w:basedOn w:val="1"/>
    <w:next w:val="1"/>
    <w:qFormat/>
    <w:uiPriority w:val="0"/>
    <w:pPr>
      <w:spacing w:line="360" w:lineRule="auto"/>
      <w:ind w:firstLine="400" w:firstLineChars="400"/>
    </w:pPr>
  </w:style>
  <w:style w:type="paragraph" w:styleId="19">
    <w:name w:val="Body Text 3"/>
    <w:basedOn w:val="1"/>
    <w:link w:val="83"/>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next w:val="1"/>
    <w:link w:val="78"/>
    <w:qFormat/>
    <w:uiPriority w:val="99"/>
    <w:rPr>
      <w:sz w:val="24"/>
    </w:rPr>
  </w:style>
  <w:style w:type="paragraph" w:styleId="21">
    <w:name w:val="Body Text Indent"/>
    <w:basedOn w:val="1"/>
    <w:link w:val="111"/>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9"/>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7"/>
    <w:qFormat/>
    <w:uiPriority w:val="99"/>
    <w:rPr>
      <w:kern w:val="0"/>
      <w:sz w:val="24"/>
    </w:rPr>
  </w:style>
  <w:style w:type="paragraph" w:styleId="28">
    <w:name w:val="Body Text Indent 2"/>
    <w:basedOn w:val="1"/>
    <w:link w:val="77"/>
    <w:qFormat/>
    <w:uiPriority w:val="0"/>
    <w:pPr>
      <w:spacing w:before="60" w:after="60"/>
      <w:ind w:left="720" w:hanging="720"/>
    </w:pPr>
    <w:rPr>
      <w:color w:val="000000"/>
      <w:kern w:val="0"/>
      <w:sz w:val="24"/>
    </w:rPr>
  </w:style>
  <w:style w:type="paragraph" w:styleId="29">
    <w:name w:val="endnote text"/>
    <w:basedOn w:val="1"/>
    <w:link w:val="207"/>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8"/>
    <w:qFormat/>
    <w:uiPriority w:val="0"/>
    <w:rPr>
      <w:sz w:val="18"/>
      <w:szCs w:val="18"/>
      <w:lang w:val="zh-CN"/>
    </w:rPr>
  </w:style>
  <w:style w:type="paragraph" w:styleId="31">
    <w:name w:val="footer"/>
    <w:basedOn w:val="1"/>
    <w:link w:val="176"/>
    <w:qFormat/>
    <w:uiPriority w:val="99"/>
    <w:pPr>
      <w:tabs>
        <w:tab w:val="center" w:pos="4153"/>
        <w:tab w:val="right" w:pos="8306"/>
      </w:tabs>
      <w:snapToGrid w:val="0"/>
    </w:pPr>
    <w:rPr>
      <w:sz w:val="18"/>
      <w:lang w:val="zh-CN"/>
    </w:rPr>
  </w:style>
  <w:style w:type="paragraph" w:styleId="32">
    <w:name w:val="header"/>
    <w:basedOn w:val="1"/>
    <w:link w:val="163"/>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100"/>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30"/>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4"/>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1"/>
    <w:qFormat/>
    <w:uiPriority w:val="0"/>
    <w:pPr>
      <w:spacing w:before="60" w:after="60"/>
    </w:pPr>
    <w:rPr>
      <w:color w:val="0000FF"/>
      <w:kern w:val="0"/>
      <w:sz w:val="24"/>
    </w:rPr>
  </w:style>
  <w:style w:type="paragraph" w:styleId="43">
    <w:name w:val="HTML Preformatted"/>
    <w:basedOn w:val="1"/>
    <w:link w:val="13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7"/>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1"/>
    <w:qFormat/>
    <w:uiPriority w:val="0"/>
    <w:pPr>
      <w:adjustRightInd/>
      <w:spacing w:line="240" w:lineRule="auto"/>
      <w:textAlignment w:val="auto"/>
    </w:pPr>
  </w:style>
  <w:style w:type="paragraph" w:styleId="47">
    <w:name w:val="Body Text First Indent"/>
    <w:basedOn w:val="20"/>
    <w:link w:val="122"/>
    <w:qFormat/>
    <w:uiPriority w:val="0"/>
    <w:pPr>
      <w:spacing w:after="120"/>
      <w:ind w:firstLine="420" w:firstLineChars="100"/>
    </w:pPr>
    <w:rPr>
      <w:rFonts w:ascii="宋体" w:hAnsi="宋体"/>
      <w:color w:val="000000"/>
      <w:lang w:val="zh-CN"/>
    </w:rPr>
  </w:style>
  <w:style w:type="paragraph" w:styleId="48">
    <w:name w:val="Body Text First Indent 2"/>
    <w:basedOn w:val="21"/>
    <w:link w:val="110"/>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
    <w:name w:val="一级条标题"/>
    <w:basedOn w:val="60"/>
    <w:next w:val="61"/>
    <w:qFormat/>
    <w:uiPriority w:val="0"/>
    <w:pPr>
      <w:ind w:hanging="840"/>
    </w:pPr>
  </w:style>
  <w:style w:type="paragraph" w:customStyle="1" w:styleId="60">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61">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2">
    <w:name w:val="标题 1 Char"/>
    <w:link w:val="2"/>
    <w:qFormat/>
    <w:uiPriority w:val="0"/>
    <w:rPr>
      <w:b/>
      <w:kern w:val="44"/>
      <w:sz w:val="44"/>
      <w:lang w:val="zh-CN" w:eastAsia="zh-CN"/>
    </w:rPr>
  </w:style>
  <w:style w:type="character" w:customStyle="1" w:styleId="63">
    <w:name w:val="标题 2 Char"/>
    <w:link w:val="3"/>
    <w:qFormat/>
    <w:uiPriority w:val="0"/>
    <w:rPr>
      <w:rFonts w:ascii="Arial" w:hAnsi="Arial" w:eastAsia="黑体"/>
      <w:b/>
      <w:sz w:val="32"/>
      <w:lang w:val="zh-CN" w:eastAsia="zh-CN"/>
    </w:rPr>
  </w:style>
  <w:style w:type="character" w:customStyle="1" w:styleId="64">
    <w:name w:val="标题 3 Char"/>
    <w:link w:val="4"/>
    <w:qFormat/>
    <w:uiPriority w:val="0"/>
    <w:rPr>
      <w:b/>
      <w:sz w:val="32"/>
      <w:lang w:val="zh-CN" w:eastAsia="zh-CN"/>
    </w:rPr>
  </w:style>
  <w:style w:type="character" w:customStyle="1" w:styleId="65">
    <w:name w:val="正文缩进 Char"/>
    <w:link w:val="7"/>
    <w:qFormat/>
    <w:uiPriority w:val="0"/>
    <w:rPr>
      <w:rFonts w:eastAsia="宋体"/>
      <w:lang w:val="en-US" w:eastAsia="zh-CN" w:bidi="ar-SA"/>
    </w:rPr>
  </w:style>
  <w:style w:type="character" w:customStyle="1" w:styleId="66">
    <w:name w:val="标题 4 Char"/>
    <w:link w:val="5"/>
    <w:qFormat/>
    <w:uiPriority w:val="0"/>
    <w:rPr>
      <w:rFonts w:ascii="Arial" w:hAnsi="Arial" w:eastAsia="黑体"/>
      <w:b/>
      <w:kern w:val="2"/>
      <w:sz w:val="28"/>
      <w:lang w:val="zh-CN" w:eastAsia="zh-CN"/>
    </w:rPr>
  </w:style>
  <w:style w:type="character" w:customStyle="1" w:styleId="67">
    <w:name w:val="标题 5 Char"/>
    <w:link w:val="6"/>
    <w:qFormat/>
    <w:uiPriority w:val="0"/>
    <w:rPr>
      <w:b/>
      <w:kern w:val="2"/>
      <w:sz w:val="28"/>
      <w:lang w:val="zh-CN" w:eastAsia="zh-CN"/>
    </w:rPr>
  </w:style>
  <w:style w:type="character" w:customStyle="1" w:styleId="68">
    <w:name w:val="标题 6 Char"/>
    <w:link w:val="8"/>
    <w:qFormat/>
    <w:uiPriority w:val="0"/>
    <w:rPr>
      <w:rFonts w:ascii="Arial" w:hAnsi="Arial" w:eastAsia="黑体"/>
      <w:b/>
      <w:kern w:val="2"/>
      <w:sz w:val="24"/>
      <w:lang w:val="zh-CN" w:eastAsia="zh-CN"/>
    </w:rPr>
  </w:style>
  <w:style w:type="character" w:customStyle="1" w:styleId="69">
    <w:name w:val="标题 7 Char"/>
    <w:link w:val="9"/>
    <w:qFormat/>
    <w:uiPriority w:val="0"/>
    <w:rPr>
      <w:b/>
      <w:kern w:val="2"/>
      <w:sz w:val="24"/>
      <w:lang w:val="zh-CN" w:eastAsia="zh-CN"/>
    </w:rPr>
  </w:style>
  <w:style w:type="character" w:customStyle="1" w:styleId="70">
    <w:name w:val="标题 8 Char"/>
    <w:link w:val="10"/>
    <w:qFormat/>
    <w:uiPriority w:val="0"/>
    <w:rPr>
      <w:rFonts w:ascii="Arial" w:hAnsi="Arial" w:eastAsia="黑体"/>
      <w:kern w:val="2"/>
      <w:sz w:val="24"/>
      <w:lang w:val="zh-CN" w:eastAsia="zh-CN"/>
    </w:rPr>
  </w:style>
  <w:style w:type="character" w:customStyle="1" w:styleId="71">
    <w:name w:val="标题 9 Char"/>
    <w:link w:val="11"/>
    <w:qFormat/>
    <w:uiPriority w:val="0"/>
    <w:rPr>
      <w:rFonts w:ascii="Arial" w:hAnsi="Arial" w:eastAsia="黑体"/>
      <w:kern w:val="2"/>
      <w:sz w:val="21"/>
      <w:lang w:val="zh-CN" w:eastAsia="zh-CN"/>
    </w:rPr>
  </w:style>
  <w:style w:type="character" w:customStyle="1" w:styleId="72">
    <w:name w:val="已访问的超链接1"/>
    <w:qFormat/>
    <w:uiPriority w:val="99"/>
    <w:rPr>
      <w:color w:val="800080"/>
      <w:u w:val="single"/>
    </w:rPr>
  </w:style>
  <w:style w:type="character" w:customStyle="1" w:styleId="73">
    <w:name w:val="Char Char9"/>
    <w:qFormat/>
    <w:uiPriority w:val="0"/>
    <w:rPr>
      <w:rFonts w:ascii="Arial" w:hAnsi="Arial" w:eastAsia="黑体"/>
      <w:sz w:val="21"/>
      <w:lang w:val="en-US" w:eastAsia="zh-CN" w:bidi="ar-SA"/>
    </w:rPr>
  </w:style>
  <w:style w:type="character" w:customStyle="1" w:styleId="74">
    <w:name w:val="页脚 Char Char"/>
    <w:qFormat/>
    <w:uiPriority w:val="0"/>
    <w:rPr>
      <w:sz w:val="18"/>
    </w:rPr>
  </w:style>
  <w:style w:type="character" w:customStyle="1" w:styleId="75">
    <w:name w:val="Char Char14"/>
    <w:qFormat/>
    <w:uiPriority w:val="0"/>
    <w:rPr>
      <w:kern w:val="2"/>
      <w:sz w:val="18"/>
      <w:szCs w:val="18"/>
      <w:lang w:bidi="ar-SA"/>
    </w:rPr>
  </w:style>
  <w:style w:type="character" w:customStyle="1" w:styleId="76">
    <w:name w:val="Comment Text Char"/>
    <w:qFormat/>
    <w:uiPriority w:val="0"/>
    <w:rPr>
      <w:rFonts w:cs="Times New Roman"/>
      <w:kern w:val="2"/>
      <w:sz w:val="28"/>
      <w:szCs w:val="28"/>
    </w:rPr>
  </w:style>
  <w:style w:type="character" w:customStyle="1" w:styleId="77">
    <w:name w:val="正文文本缩进 2 Char"/>
    <w:link w:val="28"/>
    <w:qFormat/>
    <w:uiPriority w:val="0"/>
    <w:rPr>
      <w:rFonts w:eastAsia="宋体"/>
      <w:color w:val="000000"/>
      <w:sz w:val="24"/>
      <w:lang w:val="en-US" w:eastAsia="zh-CN" w:bidi="ar-SA"/>
    </w:rPr>
  </w:style>
  <w:style w:type="character" w:customStyle="1" w:styleId="78">
    <w:name w:val="正文文本 Char"/>
    <w:link w:val="20"/>
    <w:qFormat/>
    <w:uiPriority w:val="99"/>
    <w:rPr>
      <w:rFonts w:eastAsia="宋体"/>
      <w:kern w:val="2"/>
      <w:sz w:val="24"/>
      <w:lang w:val="en-US" w:eastAsia="zh-CN" w:bidi="ar-SA"/>
    </w:rPr>
  </w:style>
  <w:style w:type="character" w:customStyle="1" w:styleId="79">
    <w:name w:val="No Spacing Char"/>
    <w:link w:val="80"/>
    <w:qFormat/>
    <w:uiPriority w:val="0"/>
    <w:rPr>
      <w:rFonts w:ascii="Calibri" w:hAnsi="Calibri"/>
      <w:sz w:val="22"/>
      <w:szCs w:val="22"/>
      <w:lang w:val="en-US" w:eastAsia="zh-CN" w:bidi="ar-SA"/>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Char Char111"/>
    <w:qFormat/>
    <w:uiPriority w:val="0"/>
    <w:rPr>
      <w:rFonts w:eastAsia="黑体"/>
      <w:kern w:val="2"/>
      <w:sz w:val="44"/>
      <w:szCs w:val="44"/>
      <w:lang w:val="en-US" w:eastAsia="zh-CN" w:bidi="ar-SA"/>
    </w:rPr>
  </w:style>
  <w:style w:type="character" w:customStyle="1" w:styleId="82">
    <w:name w:val="Char Char26"/>
    <w:qFormat/>
    <w:uiPriority w:val="0"/>
    <w:rPr>
      <w:rFonts w:eastAsia="宋体"/>
      <w:b/>
      <w:bCs/>
      <w:kern w:val="44"/>
      <w:sz w:val="44"/>
      <w:szCs w:val="44"/>
      <w:lang w:val="en-US" w:eastAsia="zh-CN" w:bidi="ar-SA"/>
    </w:rPr>
  </w:style>
  <w:style w:type="character" w:customStyle="1" w:styleId="83">
    <w:name w:val="正文文本 3 Char"/>
    <w:link w:val="19"/>
    <w:qFormat/>
    <w:uiPriority w:val="0"/>
    <w:rPr>
      <w:rFonts w:ascii="Arial" w:hAnsi="Arial"/>
      <w:color w:val="FF0000"/>
      <w:spacing w:val="-3"/>
      <w:sz w:val="22"/>
      <w:lang w:val="en-GB" w:eastAsia="en-US" w:bidi="ar-SA"/>
    </w:rPr>
  </w:style>
  <w:style w:type="character" w:customStyle="1" w:styleId="84">
    <w:name w:val="正文文本缩进 3 Char"/>
    <w:link w:val="38"/>
    <w:qFormat/>
    <w:uiPriority w:val="0"/>
    <w:rPr>
      <w:rFonts w:eastAsia="宋体"/>
      <w:sz w:val="24"/>
      <w:lang w:val="en-US" w:eastAsia="zh-CN" w:bidi="ar-SA"/>
    </w:rPr>
  </w:style>
  <w:style w:type="character" w:customStyle="1" w:styleId="85">
    <w:name w:val="正文缩进 Char2"/>
    <w:qFormat/>
    <w:uiPriority w:val="0"/>
    <w:rPr>
      <w:rFonts w:eastAsia="楷体_GB2312"/>
      <w:kern w:val="2"/>
      <w:sz w:val="28"/>
    </w:rPr>
  </w:style>
  <w:style w:type="character" w:customStyle="1" w:styleId="86">
    <w:name w:val="apple-style-span"/>
    <w:basedOn w:val="51"/>
    <w:qFormat/>
    <w:uiPriority w:val="0"/>
  </w:style>
  <w:style w:type="character" w:customStyle="1" w:styleId="87">
    <w:name w:val="Char Char15"/>
    <w:qFormat/>
    <w:uiPriority w:val="0"/>
    <w:rPr>
      <w:rFonts w:eastAsia="宋体"/>
      <w:b/>
      <w:sz w:val="28"/>
      <w:lang w:val="en-US" w:eastAsia="zh-CN" w:bidi="ar-SA"/>
    </w:rPr>
  </w:style>
  <w:style w:type="character" w:customStyle="1" w:styleId="88">
    <w:name w:val="Char Char19"/>
    <w:qFormat/>
    <w:uiPriority w:val="0"/>
    <w:rPr>
      <w:rFonts w:ascii="仿宋_GB2312" w:eastAsia="仿宋_GB2312" w:cs="MingLiU"/>
      <w:b/>
      <w:spacing w:val="1"/>
      <w:w w:val="99"/>
      <w:sz w:val="28"/>
      <w:szCs w:val="32"/>
    </w:rPr>
  </w:style>
  <w:style w:type="character" w:customStyle="1" w:styleId="89">
    <w:name w:val="纯文本 Char"/>
    <w:link w:val="25"/>
    <w:qFormat/>
    <w:uiPriority w:val="99"/>
    <w:rPr>
      <w:rFonts w:ascii="宋体" w:hAnsi="Courier New" w:eastAsia="仿宋_GB2312"/>
      <w:kern w:val="2"/>
      <w:sz w:val="24"/>
    </w:rPr>
  </w:style>
  <w:style w:type="character" w:customStyle="1" w:styleId="90">
    <w:name w:val="批注主题 Char1"/>
    <w:qFormat/>
    <w:uiPriority w:val="0"/>
    <w:rPr>
      <w:rFonts w:cs="Times New Roman"/>
      <w:b/>
      <w:bCs/>
      <w:kern w:val="2"/>
      <w:sz w:val="21"/>
      <w:szCs w:val="24"/>
      <w:lang w:val="en-US" w:eastAsia="zh-CN"/>
    </w:rPr>
  </w:style>
  <w:style w:type="character" w:customStyle="1" w:styleId="91">
    <w:name w:val="正文文字2 Char Char Char"/>
    <w:qFormat/>
    <w:uiPriority w:val="0"/>
    <w:rPr>
      <w:rFonts w:ascii="Arial" w:eastAsia="黑体"/>
      <w:sz w:val="21"/>
    </w:rPr>
  </w:style>
  <w:style w:type="character" w:customStyle="1" w:styleId="92">
    <w:name w:val="Char Char6"/>
    <w:qFormat/>
    <w:uiPriority w:val="0"/>
    <w:rPr>
      <w:kern w:val="2"/>
      <w:sz w:val="18"/>
      <w:szCs w:val="18"/>
    </w:rPr>
  </w:style>
  <w:style w:type="character" w:customStyle="1" w:styleId="93">
    <w:name w:val="cucd-0 Char Char Char"/>
    <w:qFormat/>
    <w:uiPriority w:val="0"/>
    <w:rPr>
      <w:kern w:val="2"/>
      <w:sz w:val="24"/>
      <w:szCs w:val="24"/>
      <w:lang w:bidi="ar-SA"/>
    </w:rPr>
  </w:style>
  <w:style w:type="character" w:customStyle="1" w:styleId="94">
    <w:name w:val="页脚 Char Char Char"/>
    <w:qFormat/>
    <w:uiPriority w:val="0"/>
    <w:rPr>
      <w:sz w:val="18"/>
    </w:rPr>
  </w:style>
  <w:style w:type="character" w:customStyle="1" w:styleId="95">
    <w:name w:val="无间隔 Char"/>
    <w:link w:val="96"/>
    <w:qFormat/>
    <w:uiPriority w:val="0"/>
    <w:rPr>
      <w:rFonts w:ascii="Calibri" w:hAnsi="Calibri"/>
      <w:sz w:val="22"/>
      <w:szCs w:val="22"/>
      <w:lang w:val="en-US" w:eastAsia="zh-CN" w:bidi="ar-SA"/>
    </w:rPr>
  </w:style>
  <w:style w:type="paragraph" w:styleId="96">
    <w:name w:val="No Spacing"/>
    <w:link w:val="95"/>
    <w:qFormat/>
    <w:uiPriority w:val="0"/>
    <w:rPr>
      <w:rFonts w:ascii="Calibri" w:hAnsi="Calibri" w:eastAsia="宋体" w:cs="Times New Roman"/>
      <w:sz w:val="22"/>
      <w:szCs w:val="22"/>
      <w:lang w:val="en-US" w:eastAsia="zh-CN" w:bidi="ar-SA"/>
    </w:rPr>
  </w:style>
  <w:style w:type="character" w:customStyle="1" w:styleId="97">
    <w:name w:val="标题 Char"/>
    <w:link w:val="45"/>
    <w:qFormat/>
    <w:uiPriority w:val="0"/>
    <w:rPr>
      <w:rFonts w:ascii="Cambria" w:hAnsi="Cambria" w:cs="Times New Roman"/>
      <w:b/>
      <w:bCs/>
      <w:sz w:val="32"/>
      <w:szCs w:val="32"/>
    </w:rPr>
  </w:style>
  <w:style w:type="character" w:customStyle="1" w:styleId="98">
    <w:name w:val="页脚 Char1"/>
    <w:qFormat/>
    <w:uiPriority w:val="0"/>
    <w:rPr>
      <w:sz w:val="18"/>
    </w:rPr>
  </w:style>
  <w:style w:type="character" w:customStyle="1" w:styleId="99">
    <w:name w:val="正文文本缩进 Char1"/>
    <w:qFormat/>
    <w:uiPriority w:val="0"/>
    <w:rPr>
      <w:rFonts w:ascii="宋体" w:hAnsi="宋体"/>
      <w:color w:val="000000"/>
      <w:sz w:val="24"/>
      <w:szCs w:val="24"/>
      <w:lang w:val="en-US" w:eastAsia="zh-CN"/>
    </w:rPr>
  </w:style>
  <w:style w:type="character" w:customStyle="1" w:styleId="100">
    <w:name w:val="副标题 Char"/>
    <w:link w:val="35"/>
    <w:qFormat/>
    <w:uiPriority w:val="0"/>
    <w:rPr>
      <w:rFonts w:ascii="Cambria" w:hAnsi="Cambria"/>
      <w:b/>
      <w:bCs/>
      <w:kern w:val="28"/>
      <w:sz w:val="32"/>
      <w:szCs w:val="32"/>
      <w:lang w:val="en-US" w:eastAsia="zh-CN"/>
    </w:rPr>
  </w:style>
  <w:style w:type="character" w:customStyle="1" w:styleId="101">
    <w:name w:val="正文文本 2 Char"/>
    <w:link w:val="42"/>
    <w:qFormat/>
    <w:uiPriority w:val="0"/>
    <w:rPr>
      <w:rFonts w:eastAsia="宋体"/>
      <w:color w:val="0000FF"/>
      <w:sz w:val="24"/>
      <w:lang w:val="en-US" w:eastAsia="zh-CN" w:bidi="ar-SA"/>
    </w:rPr>
  </w:style>
  <w:style w:type="character" w:customStyle="1" w:styleId="102">
    <w:name w:val="h4 Char Char1"/>
    <w:qFormat/>
    <w:uiPriority w:val="0"/>
    <w:rPr>
      <w:rFonts w:ascii="仿宋_GB2312" w:eastAsia="仿宋_GB2312" w:cs="MingLiU"/>
      <w:b/>
      <w:sz w:val="24"/>
      <w:szCs w:val="28"/>
    </w:rPr>
  </w:style>
  <w:style w:type="character" w:customStyle="1" w:styleId="103">
    <w:name w:val="Char Char24"/>
    <w:qFormat/>
    <w:uiPriority w:val="0"/>
    <w:rPr>
      <w:rFonts w:eastAsia="宋体"/>
      <w:b/>
      <w:bCs/>
      <w:kern w:val="2"/>
      <w:sz w:val="28"/>
      <w:szCs w:val="32"/>
      <w:lang w:val="en-US" w:eastAsia="zh-CN" w:bidi="ar-SA"/>
    </w:rPr>
  </w:style>
  <w:style w:type="character" w:customStyle="1" w:styleId="104">
    <w:name w:val="Char Char13"/>
    <w:qFormat/>
    <w:uiPriority w:val="0"/>
    <w:rPr>
      <w:rFonts w:ascii="Arial" w:hAnsi="Arial"/>
      <w:spacing w:val="-3"/>
      <w:sz w:val="22"/>
      <w:lang w:val="en-GB" w:eastAsia="en-US" w:bidi="ar-SA"/>
    </w:rPr>
  </w:style>
  <w:style w:type="character" w:customStyle="1" w:styleId="105">
    <w:name w:val="Char Char23"/>
    <w:qFormat/>
    <w:uiPriority w:val="0"/>
    <w:rPr>
      <w:rFonts w:ascii="Arial" w:hAnsi="Arial" w:eastAsia="黑体"/>
      <w:b/>
      <w:bCs/>
      <w:kern w:val="2"/>
      <w:sz w:val="28"/>
      <w:szCs w:val="28"/>
      <w:lang w:val="en-US" w:eastAsia="zh-CN" w:bidi="ar-SA"/>
    </w:rPr>
  </w:style>
  <w:style w:type="character" w:customStyle="1" w:styleId="106">
    <w:name w:val="批注文字 Char"/>
    <w:link w:val="17"/>
    <w:qFormat/>
    <w:uiPriority w:val="0"/>
    <w:rPr>
      <w:sz w:val="24"/>
    </w:rPr>
  </w:style>
  <w:style w:type="character" w:customStyle="1" w:styleId="107">
    <w:name w:val="Char Char12"/>
    <w:qFormat/>
    <w:uiPriority w:val="0"/>
    <w:rPr>
      <w:rFonts w:ascii="Arial" w:hAnsi="Arial" w:eastAsia="黑体"/>
      <w:b/>
      <w:sz w:val="24"/>
      <w:lang w:val="en-US" w:eastAsia="zh-CN" w:bidi="ar-SA"/>
    </w:rPr>
  </w:style>
  <w:style w:type="character" w:customStyle="1" w:styleId="108">
    <w:name w:val="批注框文本 Char"/>
    <w:link w:val="30"/>
    <w:qFormat/>
    <w:uiPriority w:val="0"/>
    <w:rPr>
      <w:kern w:val="2"/>
      <w:sz w:val="18"/>
      <w:szCs w:val="18"/>
    </w:rPr>
  </w:style>
  <w:style w:type="character" w:customStyle="1" w:styleId="109">
    <w:name w:val="Char Char16"/>
    <w:qFormat/>
    <w:uiPriority w:val="0"/>
    <w:rPr>
      <w:rFonts w:ascii="Calibri" w:hAnsi="Calibri" w:eastAsia="宋体"/>
      <w:kern w:val="2"/>
      <w:sz w:val="18"/>
      <w:szCs w:val="18"/>
      <w:lang w:val="en-US" w:eastAsia="zh-CN" w:bidi="ar-SA"/>
    </w:rPr>
  </w:style>
  <w:style w:type="character" w:customStyle="1" w:styleId="110">
    <w:name w:val="正文首行缩进 2 Char"/>
    <w:link w:val="48"/>
    <w:qFormat/>
    <w:uiPriority w:val="0"/>
    <w:rPr>
      <w:rFonts w:eastAsia="宋体"/>
      <w:kern w:val="2"/>
      <w:sz w:val="21"/>
      <w:szCs w:val="24"/>
      <w:lang w:val="en-US" w:eastAsia="zh-CN" w:bidi="ar-SA"/>
    </w:rPr>
  </w:style>
  <w:style w:type="character" w:customStyle="1" w:styleId="111">
    <w:name w:val="正文文本缩进 Char"/>
    <w:link w:val="21"/>
    <w:qFormat/>
    <w:uiPriority w:val="0"/>
    <w:rPr>
      <w:rFonts w:eastAsia="宋体"/>
      <w:sz w:val="28"/>
      <w:szCs w:val="24"/>
      <w:lang w:val="en-US" w:eastAsia="zh-CN" w:bidi="ar-SA"/>
    </w:rPr>
  </w:style>
  <w:style w:type="character" w:customStyle="1" w:styleId="112">
    <w:name w:val="文档结构图 Char"/>
    <w:link w:val="15"/>
    <w:qFormat/>
    <w:uiPriority w:val="0"/>
    <w:rPr>
      <w:rFonts w:eastAsia="宋体"/>
      <w:lang w:val="en-US" w:eastAsia="zh-CN" w:bidi="ar-SA"/>
    </w:rPr>
  </w:style>
  <w:style w:type="character" w:customStyle="1" w:styleId="113">
    <w:name w:val="Char Char17"/>
    <w:qFormat/>
    <w:uiPriority w:val="0"/>
    <w:rPr>
      <w:rFonts w:ascii="Calibri" w:hAnsi="Calibri" w:eastAsia="宋体"/>
      <w:kern w:val="2"/>
      <w:sz w:val="18"/>
      <w:szCs w:val="18"/>
      <w:lang w:val="en-US" w:eastAsia="zh-CN" w:bidi="ar-SA"/>
    </w:rPr>
  </w:style>
  <w:style w:type="character" w:customStyle="1" w:styleId="114">
    <w:name w:val="Char Char10"/>
    <w:qFormat/>
    <w:uiPriority w:val="0"/>
    <w:rPr>
      <w:rFonts w:ascii="Arial" w:hAnsi="Arial" w:eastAsia="黑体"/>
      <w:sz w:val="24"/>
      <w:lang w:val="en-US" w:eastAsia="zh-CN" w:bidi="ar-SA"/>
    </w:rPr>
  </w:style>
  <w:style w:type="character" w:customStyle="1" w:styleId="115">
    <w:name w:val="Char Char18"/>
    <w:qFormat/>
    <w:uiPriority w:val="0"/>
    <w:rPr>
      <w:rFonts w:ascii="仿宋_GB2312" w:eastAsia="仿宋_GB2312" w:cs="MingLiU"/>
      <w:b/>
      <w:sz w:val="24"/>
      <w:szCs w:val="28"/>
    </w:rPr>
  </w:style>
  <w:style w:type="character" w:customStyle="1" w:styleId="116">
    <w:name w:val="注释标题 Char"/>
    <w:link w:val="13"/>
    <w:qFormat/>
    <w:uiPriority w:val="0"/>
    <w:rPr>
      <w:kern w:val="2"/>
      <w:sz w:val="21"/>
      <w:lang w:eastAsia="zh-TW"/>
    </w:rPr>
  </w:style>
  <w:style w:type="character" w:customStyle="1" w:styleId="117">
    <w:name w:val="h4 Char Char"/>
    <w:qFormat/>
    <w:uiPriority w:val="0"/>
    <w:rPr>
      <w:rFonts w:ascii="仿宋_GB2312" w:eastAsia="仿宋_GB2312" w:cs="MingLiU"/>
      <w:b/>
      <w:sz w:val="24"/>
      <w:szCs w:val="28"/>
    </w:rPr>
  </w:style>
  <w:style w:type="character" w:customStyle="1" w:styleId="118">
    <w:name w:val="纯文本 Char1"/>
    <w:qFormat/>
    <w:uiPriority w:val="0"/>
    <w:rPr>
      <w:rFonts w:ascii="宋体" w:hAnsi="Courier New"/>
      <w:kern w:val="2"/>
      <w:sz w:val="21"/>
      <w:lang w:val="en-US" w:eastAsia="zh-CN"/>
    </w:rPr>
  </w:style>
  <w:style w:type="character" w:customStyle="1" w:styleId="119">
    <w:name w:val="Char Char11"/>
    <w:qFormat/>
    <w:uiPriority w:val="0"/>
    <w:rPr>
      <w:rFonts w:eastAsia="宋体"/>
      <w:b/>
      <w:sz w:val="24"/>
      <w:lang w:val="en-US" w:eastAsia="zh-CN" w:bidi="ar-SA"/>
    </w:rPr>
  </w:style>
  <w:style w:type="character" w:customStyle="1" w:styleId="120">
    <w:name w:val="页眉 Char1"/>
    <w:qFormat/>
    <w:uiPriority w:val="0"/>
    <w:rPr>
      <w:sz w:val="18"/>
    </w:rPr>
  </w:style>
  <w:style w:type="character" w:customStyle="1" w:styleId="121">
    <w:name w:val="批注主题 Char"/>
    <w:basedOn w:val="106"/>
    <w:link w:val="46"/>
    <w:qFormat/>
    <w:uiPriority w:val="0"/>
    <w:rPr>
      <w:sz w:val="24"/>
    </w:rPr>
  </w:style>
  <w:style w:type="character" w:customStyle="1" w:styleId="122">
    <w:name w:val="正文首行缩进 Char"/>
    <w:link w:val="47"/>
    <w:qFormat/>
    <w:uiPriority w:val="0"/>
    <w:rPr>
      <w:rFonts w:ascii="宋体" w:hAnsi="宋体"/>
      <w:color w:val="000000"/>
      <w:kern w:val="2"/>
      <w:sz w:val="24"/>
    </w:rPr>
  </w:style>
  <w:style w:type="character" w:customStyle="1" w:styleId="123">
    <w:name w:val="Char Char8"/>
    <w:qFormat/>
    <w:uiPriority w:val="0"/>
    <w:rPr>
      <w:kern w:val="2"/>
      <w:sz w:val="18"/>
      <w:szCs w:val="18"/>
    </w:rPr>
  </w:style>
  <w:style w:type="character" w:customStyle="1" w:styleId="124">
    <w:name w:val="页脚2 Char Char Char"/>
    <w:qFormat/>
    <w:uiPriority w:val="0"/>
    <w:rPr>
      <w:rFonts w:ascii="宋体" w:hAnsi="宋体"/>
      <w:sz w:val="18"/>
      <w:szCs w:val="18"/>
    </w:rPr>
  </w:style>
  <w:style w:type="character" w:customStyle="1" w:styleId="125">
    <w:name w:val="普通文字 Char2"/>
    <w:qFormat/>
    <w:uiPriority w:val="0"/>
    <w:rPr>
      <w:rFonts w:ascii="宋体" w:hAnsi="Courier New"/>
      <w:kern w:val="2"/>
      <w:sz w:val="28"/>
      <w:szCs w:val="28"/>
    </w:rPr>
  </w:style>
  <w:style w:type="character" w:customStyle="1" w:styleId="126">
    <w:name w:val="章 Char"/>
    <w:qFormat/>
    <w:uiPriority w:val="0"/>
    <w:rPr>
      <w:rFonts w:eastAsia="宋体"/>
      <w:b/>
      <w:kern w:val="44"/>
      <w:sz w:val="44"/>
      <w:lang w:val="en-US" w:eastAsia="zh-CN" w:bidi="ar-SA"/>
    </w:rPr>
  </w:style>
  <w:style w:type="character" w:customStyle="1" w:styleId="127">
    <w:name w:val="日期 Char"/>
    <w:link w:val="27"/>
    <w:qFormat/>
    <w:uiPriority w:val="99"/>
    <w:rPr>
      <w:rFonts w:eastAsia="宋体"/>
      <w:sz w:val="24"/>
      <w:lang w:val="en-US" w:eastAsia="zh-CN" w:bidi="ar-SA"/>
    </w:rPr>
  </w:style>
  <w:style w:type="character" w:customStyle="1" w:styleId="128">
    <w:name w:val="Char Char25"/>
    <w:qFormat/>
    <w:uiPriority w:val="0"/>
    <w:rPr>
      <w:rFonts w:ascii="Arial" w:hAnsi="Arial" w:eastAsia="黑体"/>
      <w:b/>
      <w:bCs/>
      <w:kern w:val="2"/>
      <w:sz w:val="30"/>
      <w:szCs w:val="32"/>
      <w:lang w:val="en-US" w:eastAsia="zh-CN" w:bidi="ar-SA"/>
    </w:rPr>
  </w:style>
  <w:style w:type="character" w:customStyle="1" w:styleId="129">
    <w:name w:val="正文文本 3 Char1"/>
    <w:qFormat/>
    <w:uiPriority w:val="0"/>
    <w:rPr>
      <w:kern w:val="2"/>
      <w:sz w:val="16"/>
      <w:szCs w:val="16"/>
      <w:lang w:val="en-US" w:eastAsia="zh-CN"/>
    </w:rPr>
  </w:style>
  <w:style w:type="character" w:customStyle="1" w:styleId="130">
    <w:name w:val="脚注文本 Char"/>
    <w:link w:val="36"/>
    <w:qFormat/>
    <w:uiPriority w:val="0"/>
    <w:rPr>
      <w:kern w:val="2"/>
      <w:sz w:val="18"/>
      <w:szCs w:val="18"/>
    </w:rPr>
  </w:style>
  <w:style w:type="character" w:customStyle="1" w:styleId="131">
    <w:name w:val="Char Char41"/>
    <w:qFormat/>
    <w:uiPriority w:val="0"/>
    <w:rPr>
      <w:rFonts w:ascii="Arial" w:hAnsi="Arial" w:eastAsia="黑体"/>
      <w:b/>
      <w:sz w:val="32"/>
      <w:lang w:val="en-US" w:eastAsia="zh-CN" w:bidi="ar-SA"/>
    </w:rPr>
  </w:style>
  <w:style w:type="character" w:customStyle="1" w:styleId="132">
    <w:name w:val="页眉 Char Char Char"/>
    <w:qFormat/>
    <w:uiPriority w:val="0"/>
    <w:rPr>
      <w:sz w:val="18"/>
    </w:rPr>
  </w:style>
  <w:style w:type="character" w:customStyle="1" w:styleId="133">
    <w:name w:val="HTML 预设格式 Char"/>
    <w:link w:val="43"/>
    <w:qFormat/>
    <w:uiPriority w:val="0"/>
    <w:rPr>
      <w:rFonts w:ascii="Arial" w:hAnsi="Arial" w:eastAsia="宋体" w:cs="Arial"/>
      <w:sz w:val="24"/>
      <w:szCs w:val="24"/>
      <w:lang w:val="en-US" w:eastAsia="zh-CN" w:bidi="ar-SA"/>
    </w:rPr>
  </w:style>
  <w:style w:type="character" w:customStyle="1" w:styleId="134">
    <w:name w:val="页脚2 Char Char"/>
    <w:link w:val="135"/>
    <w:qFormat/>
    <w:uiPriority w:val="0"/>
    <w:rPr>
      <w:rFonts w:ascii="宋体" w:hAnsi="宋体"/>
      <w:sz w:val="18"/>
      <w:szCs w:val="18"/>
    </w:rPr>
  </w:style>
  <w:style w:type="paragraph" w:customStyle="1" w:styleId="135">
    <w:name w:val="页脚2"/>
    <w:basedOn w:val="1"/>
    <w:link w:val="134"/>
    <w:qFormat/>
    <w:uiPriority w:val="0"/>
    <w:pPr>
      <w:pBdr>
        <w:top w:val="single" w:color="auto" w:sz="6" w:space="0"/>
      </w:pBdr>
      <w:jc w:val="right"/>
      <w:textAlignment w:val="center"/>
    </w:pPr>
    <w:rPr>
      <w:rFonts w:ascii="宋体" w:hAnsi="宋体"/>
      <w:kern w:val="0"/>
      <w:sz w:val="18"/>
      <w:szCs w:val="18"/>
      <w:lang w:val="zh-CN"/>
    </w:rPr>
  </w:style>
  <w:style w:type="character" w:customStyle="1" w:styleId="136">
    <w:name w:val="页眉 Char Char"/>
    <w:qFormat/>
    <w:uiPriority w:val="0"/>
    <w:rPr>
      <w:sz w:val="18"/>
    </w:rPr>
  </w:style>
  <w:style w:type="character" w:customStyle="1" w:styleId="137">
    <w:name w:val="Char Char20"/>
    <w:qFormat/>
    <w:uiPriority w:val="0"/>
    <w:rPr>
      <w:rFonts w:eastAsia="黑体"/>
      <w:kern w:val="2"/>
      <w:sz w:val="44"/>
      <w:szCs w:val="44"/>
      <w:lang w:val="en-US" w:eastAsia="zh-CN" w:bidi="ar-SA"/>
    </w:rPr>
  </w:style>
  <w:style w:type="character" w:customStyle="1" w:styleId="138">
    <w:name w:val="cucd-2 Char1"/>
    <w:link w:val="139"/>
    <w:qFormat/>
    <w:uiPriority w:val="0"/>
    <w:rPr>
      <w:rFonts w:ascii="宋体" w:hAnsi="宋体"/>
      <w:b/>
      <w:kern w:val="2"/>
      <w:sz w:val="28"/>
      <w:szCs w:val="28"/>
      <w:lang w:val="en-US" w:eastAsia="zh-CN" w:bidi="ar-SA"/>
    </w:rPr>
  </w:style>
  <w:style w:type="paragraph" w:customStyle="1" w:styleId="139">
    <w:name w:val="cucd-2"/>
    <w:next w:val="1"/>
    <w:link w:val="138"/>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40">
    <w:name w:val="Char Char231"/>
    <w:qFormat/>
    <w:uiPriority w:val="0"/>
    <w:rPr>
      <w:rFonts w:ascii="Arial" w:hAnsi="Arial" w:eastAsia="黑体"/>
      <w:b/>
      <w:sz w:val="32"/>
      <w:lang w:val="en-US" w:eastAsia="zh-CN" w:bidi="ar-SA"/>
    </w:rPr>
  </w:style>
  <w:style w:type="character" w:customStyle="1" w:styleId="141">
    <w:name w:val="cucd-0 Char Char"/>
    <w:link w:val="142"/>
    <w:qFormat/>
    <w:uiPriority w:val="0"/>
    <w:rPr>
      <w:kern w:val="2"/>
      <w:sz w:val="24"/>
      <w:szCs w:val="24"/>
      <w:lang w:val="en-US" w:eastAsia="zh-CN" w:bidi="ar-SA"/>
    </w:rPr>
  </w:style>
  <w:style w:type="paragraph" w:customStyle="1" w:styleId="142">
    <w:name w:val="cucd-0"/>
    <w:link w:val="141"/>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3">
    <w:name w:val="正文文字2 Char Char"/>
    <w:link w:val="144"/>
    <w:qFormat/>
    <w:uiPriority w:val="0"/>
    <w:rPr>
      <w:rFonts w:ascii="Arial" w:eastAsia="黑体"/>
      <w:sz w:val="21"/>
      <w:lang w:val="en-US" w:eastAsia="zh-CN" w:bidi="ar-SA"/>
    </w:rPr>
  </w:style>
  <w:style w:type="paragraph" w:customStyle="1" w:styleId="144">
    <w:name w:val="正文文字2"/>
    <w:basedOn w:val="20"/>
    <w:link w:val="143"/>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5">
    <w:name w:val="CM23"/>
    <w:basedOn w:val="58"/>
    <w:next w:val="58"/>
    <w:qFormat/>
    <w:uiPriority w:val="0"/>
    <w:pPr>
      <w:spacing w:after="120"/>
    </w:pPr>
    <w:rPr>
      <w:color w:val="auto"/>
    </w:rPr>
  </w:style>
  <w:style w:type="paragraph" w:customStyle="1" w:styleId="146">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7">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8">
    <w:name w:val="1"/>
    <w:basedOn w:val="1"/>
    <w:qFormat/>
    <w:uiPriority w:val="0"/>
    <w:pPr>
      <w:spacing w:afterLines="50" w:line="360" w:lineRule="auto"/>
      <w:jc w:val="center"/>
    </w:pPr>
    <w:rPr>
      <w:rFonts w:ascii="宋体" w:hAnsi="宋体"/>
      <w:b/>
      <w:sz w:val="28"/>
      <w:szCs w:val="28"/>
    </w:rPr>
  </w:style>
  <w:style w:type="paragraph" w:customStyle="1" w:styleId="149">
    <w:name w:val="CM24"/>
    <w:basedOn w:val="58"/>
    <w:next w:val="58"/>
    <w:qFormat/>
    <w:uiPriority w:val="0"/>
    <w:pPr>
      <w:spacing w:after="218"/>
    </w:pPr>
    <w:rPr>
      <w:color w:val="auto"/>
    </w:rPr>
  </w:style>
  <w:style w:type="paragraph" w:customStyle="1" w:styleId="150">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1">
    <w:name w:val="正文缩进1"/>
    <w:basedOn w:val="1"/>
    <w:qFormat/>
    <w:uiPriority w:val="0"/>
    <w:pPr>
      <w:ind w:firstLine="420"/>
    </w:pPr>
    <w:rPr>
      <w:szCs w:val="24"/>
    </w:rPr>
  </w:style>
  <w:style w:type="paragraph" w:styleId="152">
    <w:name w:val="List Paragraph"/>
    <w:basedOn w:val="1"/>
    <w:qFormat/>
    <w:uiPriority w:val="34"/>
    <w:pPr>
      <w:ind w:firstLine="420" w:firstLineChars="200"/>
    </w:pPr>
  </w:style>
  <w:style w:type="paragraph" w:customStyle="1" w:styleId="153">
    <w:name w:val="空半行"/>
    <w:basedOn w:val="1"/>
    <w:qFormat/>
    <w:uiPriority w:val="0"/>
    <w:pPr>
      <w:adjustRightInd w:val="0"/>
      <w:spacing w:line="120" w:lineRule="exact"/>
      <w:textAlignment w:val="baseline"/>
    </w:pPr>
    <w:rPr>
      <w:rFonts w:eastAsia="仿宋_GB2312"/>
      <w:color w:val="FFFFFF"/>
      <w:sz w:val="30"/>
    </w:rPr>
  </w:style>
  <w:style w:type="paragraph" w:customStyle="1" w:styleId="154">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5">
    <w:name w:val="普通(Web)23"/>
    <w:basedOn w:val="1"/>
    <w:qFormat/>
    <w:uiPriority w:val="0"/>
    <w:pPr>
      <w:spacing w:after="75" w:line="360" w:lineRule="atLeast"/>
    </w:pPr>
    <w:rPr>
      <w:rFonts w:ascii="宋体" w:hAnsi="宋体" w:cs="宋体"/>
      <w:sz w:val="24"/>
      <w:szCs w:val="24"/>
    </w:rPr>
  </w:style>
  <w:style w:type="paragraph" w:customStyle="1" w:styleId="156">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7">
    <w:name w:val="批注框文本1"/>
    <w:basedOn w:val="1"/>
    <w:qFormat/>
    <w:uiPriority w:val="0"/>
    <w:rPr>
      <w:sz w:val="18"/>
      <w:szCs w:val="18"/>
    </w:rPr>
  </w:style>
  <w:style w:type="paragraph" w:customStyle="1" w:styleId="158">
    <w:name w:val="注"/>
    <w:basedOn w:val="1"/>
    <w:qFormat/>
    <w:uiPriority w:val="0"/>
    <w:pPr>
      <w:adjustRightInd w:val="0"/>
      <w:spacing w:line="360" w:lineRule="atLeast"/>
      <w:ind w:left="840" w:hanging="420"/>
      <w:textAlignment w:val="baseline"/>
    </w:pPr>
  </w:style>
  <w:style w:type="paragraph" w:customStyle="1" w:styleId="159">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60">
    <w:name w:val="表格"/>
    <w:basedOn w:val="1"/>
    <w:qFormat/>
    <w:uiPriority w:val="0"/>
    <w:pPr>
      <w:adjustRightInd w:val="0"/>
      <w:spacing w:before="160" w:line="400" w:lineRule="exact"/>
      <w:jc w:val="center"/>
      <w:textAlignment w:val="baseline"/>
    </w:pPr>
    <w:rPr>
      <w:spacing w:val="20"/>
      <w:sz w:val="24"/>
    </w:rPr>
  </w:style>
  <w:style w:type="paragraph" w:customStyle="1" w:styleId="161">
    <w:name w:val="Zchn Zchn Char Char"/>
    <w:basedOn w:val="1"/>
    <w:qFormat/>
    <w:uiPriority w:val="0"/>
    <w:pPr>
      <w:adjustRightInd w:val="0"/>
      <w:spacing w:line="360" w:lineRule="auto"/>
    </w:pPr>
    <w:rPr>
      <w:sz w:val="24"/>
    </w:rPr>
  </w:style>
  <w:style w:type="paragraph" w:customStyle="1" w:styleId="162">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3">
    <w:name w:val="页眉 Char"/>
    <w:link w:val="32"/>
    <w:qFormat/>
    <w:uiPriority w:val="99"/>
    <w:rPr>
      <w:kern w:val="2"/>
      <w:sz w:val="18"/>
    </w:rPr>
  </w:style>
  <w:style w:type="paragraph" w:customStyle="1" w:styleId="164">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5">
    <w:name w:val="panj"/>
    <w:basedOn w:val="1"/>
    <w:qFormat/>
    <w:uiPriority w:val="0"/>
    <w:pPr>
      <w:spacing w:line="440" w:lineRule="exact"/>
      <w:ind w:firstLine="200" w:firstLineChars="200"/>
    </w:pPr>
    <w:rPr>
      <w:sz w:val="24"/>
      <w:szCs w:val="24"/>
    </w:rPr>
  </w:style>
  <w:style w:type="paragraph" w:customStyle="1" w:styleId="166">
    <w:name w:val="Char Char Char Char Char Char Char"/>
    <w:basedOn w:val="1"/>
    <w:qFormat/>
    <w:uiPriority w:val="0"/>
    <w:pPr>
      <w:snapToGrid w:val="0"/>
      <w:spacing w:after="160" w:line="360" w:lineRule="auto"/>
    </w:pPr>
    <w:rPr>
      <w:sz w:val="24"/>
      <w:szCs w:val="24"/>
      <w:lang w:eastAsia="en-US"/>
    </w:rPr>
  </w:style>
  <w:style w:type="paragraph" w:customStyle="1" w:styleId="167">
    <w:name w:val="样式 cucd-0 + 宋体"/>
    <w:basedOn w:val="1"/>
    <w:qFormat/>
    <w:uiPriority w:val="0"/>
    <w:pPr>
      <w:spacing w:line="360" w:lineRule="auto"/>
      <w:ind w:firstLine="480" w:firstLineChars="200"/>
    </w:pPr>
    <w:rPr>
      <w:rFonts w:ascii="宋体" w:hAnsi="宋体"/>
      <w:sz w:val="24"/>
      <w:szCs w:val="24"/>
    </w:rPr>
  </w:style>
  <w:style w:type="paragraph" w:customStyle="1" w:styleId="168">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9">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70">
    <w:name w:val="标题2.2.1"/>
    <w:basedOn w:val="1"/>
    <w:qFormat/>
    <w:uiPriority w:val="0"/>
    <w:pPr>
      <w:tabs>
        <w:tab w:val="left" w:pos="-164"/>
      </w:tabs>
      <w:ind w:left="1418" w:hanging="1582"/>
    </w:pPr>
    <w:rPr>
      <w:szCs w:val="24"/>
    </w:rPr>
  </w:style>
  <w:style w:type="paragraph" w:customStyle="1" w:styleId="171">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2">
    <w:name w:val="CM21"/>
    <w:basedOn w:val="58"/>
    <w:next w:val="58"/>
    <w:qFormat/>
    <w:uiPriority w:val="0"/>
    <w:pPr>
      <w:spacing w:line="228" w:lineRule="atLeast"/>
    </w:pPr>
    <w:rPr>
      <w:color w:val="auto"/>
    </w:rPr>
  </w:style>
  <w:style w:type="paragraph" w:customStyle="1" w:styleId="173">
    <w:name w:val="表文字"/>
    <w:basedOn w:val="1"/>
    <w:qFormat/>
    <w:uiPriority w:val="0"/>
    <w:pPr>
      <w:wordWrap w:val="0"/>
      <w:adjustRightInd w:val="0"/>
      <w:snapToGrid w:val="0"/>
    </w:pPr>
  </w:style>
  <w:style w:type="paragraph" w:customStyle="1" w:styleId="174">
    <w:name w:val="列出段落1"/>
    <w:basedOn w:val="1"/>
    <w:qFormat/>
    <w:uiPriority w:val="0"/>
    <w:pPr>
      <w:ind w:firstLine="420" w:firstLineChars="200"/>
    </w:pPr>
    <w:rPr>
      <w:szCs w:val="24"/>
    </w:rPr>
  </w:style>
  <w:style w:type="paragraph" w:customStyle="1" w:styleId="175">
    <w:name w:val="纯文本1"/>
    <w:basedOn w:val="1"/>
    <w:qFormat/>
    <w:uiPriority w:val="0"/>
    <w:pPr>
      <w:adjustRightInd w:val="0"/>
      <w:textAlignment w:val="baseline"/>
    </w:pPr>
    <w:rPr>
      <w:rFonts w:ascii="宋体" w:hAnsi="Courier New"/>
    </w:rPr>
  </w:style>
  <w:style w:type="character" w:customStyle="1" w:styleId="176">
    <w:name w:val="页脚 Char"/>
    <w:link w:val="31"/>
    <w:qFormat/>
    <w:uiPriority w:val="99"/>
    <w:rPr>
      <w:kern w:val="2"/>
      <w:sz w:val="18"/>
    </w:rPr>
  </w:style>
  <w:style w:type="paragraph" w:customStyle="1" w:styleId="177">
    <w:name w:val="Char Char Char Char Char Char Char Char Char"/>
    <w:basedOn w:val="1"/>
    <w:qFormat/>
    <w:uiPriority w:val="0"/>
    <w:pPr>
      <w:spacing w:after="160" w:line="240" w:lineRule="exact"/>
    </w:pPr>
    <w:rPr>
      <w:szCs w:val="24"/>
    </w:rPr>
  </w:style>
  <w:style w:type="paragraph" w:customStyle="1" w:styleId="178">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9">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80">
    <w:name w:val="note 2"/>
    <w:basedOn w:val="178"/>
    <w:qFormat/>
    <w:uiPriority w:val="0"/>
    <w:pPr>
      <w:ind w:left="1260" w:hanging="1080"/>
      <w:jc w:val="left"/>
    </w:pPr>
    <w:rPr>
      <w:b/>
    </w:rPr>
  </w:style>
  <w:style w:type="paragraph" w:customStyle="1" w:styleId="181">
    <w:name w:val="CM1"/>
    <w:basedOn w:val="58"/>
    <w:next w:val="58"/>
    <w:qFormat/>
    <w:uiPriority w:val="0"/>
    <w:pPr>
      <w:spacing w:line="191" w:lineRule="atLeast"/>
    </w:pPr>
    <w:rPr>
      <w:color w:val="auto"/>
    </w:rPr>
  </w:style>
  <w:style w:type="paragraph" w:customStyle="1" w:styleId="182">
    <w:name w:val="Text"/>
    <w:basedOn w:val="1"/>
    <w:qFormat/>
    <w:uiPriority w:val="0"/>
    <w:rPr>
      <w:rFonts w:ascii="Arial" w:hAnsi="Arial"/>
      <w:lang w:val="en-GB" w:eastAsia="de-DE"/>
    </w:rPr>
  </w:style>
  <w:style w:type="paragraph" w:customStyle="1" w:styleId="183">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4">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5">
    <w:name w:val="修订1"/>
    <w:qFormat/>
    <w:uiPriority w:val="99"/>
    <w:rPr>
      <w:rFonts w:ascii="Times New Roman" w:hAnsi="Times New Roman" w:eastAsia="宋体" w:cs="Times New Roman"/>
      <w:kern w:val="2"/>
      <w:sz w:val="21"/>
      <w:szCs w:val="24"/>
      <w:lang w:val="en-US" w:eastAsia="zh-CN" w:bidi="ar-SA"/>
    </w:rPr>
  </w:style>
  <w:style w:type="paragraph" w:customStyle="1" w:styleId="186">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7">
    <w:name w:val="List Paragraph1"/>
    <w:basedOn w:val="1"/>
    <w:qFormat/>
    <w:uiPriority w:val="0"/>
    <w:pPr>
      <w:ind w:firstLine="420" w:firstLineChars="200"/>
    </w:pPr>
    <w:rPr>
      <w:rFonts w:ascii="Calibri" w:hAnsi="Calibri"/>
      <w:szCs w:val="22"/>
    </w:rPr>
  </w:style>
  <w:style w:type="paragraph" w:customStyle="1" w:styleId="188">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9">
    <w:name w:val="Char"/>
    <w:basedOn w:val="1"/>
    <w:qFormat/>
    <w:uiPriority w:val="0"/>
    <w:rPr>
      <w:rFonts w:ascii="Tahoma" w:hAnsi="Tahoma"/>
      <w:sz w:val="24"/>
    </w:rPr>
  </w:style>
  <w:style w:type="paragraph" w:customStyle="1" w:styleId="190">
    <w:name w:val="cucd-1"/>
    <w:next w:val="139"/>
    <w:qFormat/>
    <w:uiPriority w:val="0"/>
    <w:pPr>
      <w:pageBreakBefore/>
      <w:tabs>
        <w:tab w:val="left" w:pos="425"/>
      </w:tabs>
      <w:spacing w:beforeLines="100"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1">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2">
    <w:name w:val="Char11"/>
    <w:basedOn w:val="1"/>
    <w:qFormat/>
    <w:uiPriority w:val="0"/>
    <w:pPr>
      <w:spacing w:after="160" w:line="240" w:lineRule="exact"/>
    </w:pPr>
  </w:style>
  <w:style w:type="paragraph" w:customStyle="1" w:styleId="193">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4">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5">
    <w:name w:val="2"/>
    <w:basedOn w:val="1"/>
    <w:next w:val="7"/>
    <w:qFormat/>
    <w:uiPriority w:val="0"/>
    <w:pPr>
      <w:ind w:left="708"/>
    </w:pPr>
    <w:rPr>
      <w:rFonts w:ascii="CG Times (WN)" w:hAnsi="CG Times (WN)"/>
      <w:sz w:val="24"/>
      <w:lang w:val="de-DE" w:eastAsia="de-DE"/>
    </w:rPr>
  </w:style>
  <w:style w:type="paragraph" w:customStyle="1" w:styleId="196">
    <w:name w:val="Char Char Char1 Char Char Char Char Char Char Char"/>
    <w:basedOn w:val="1"/>
    <w:qFormat/>
    <w:uiPriority w:val="0"/>
    <w:pPr>
      <w:autoSpaceDE w:val="0"/>
      <w:autoSpaceDN w:val="0"/>
    </w:pPr>
    <w:rPr>
      <w:rFonts w:ascii="Tahoma" w:hAnsi="Tahoma"/>
      <w:sz w:val="24"/>
    </w:rPr>
  </w:style>
  <w:style w:type="paragraph" w:customStyle="1" w:styleId="197">
    <w:name w:val="目录文字"/>
    <w:basedOn w:val="1"/>
    <w:qFormat/>
    <w:uiPriority w:val="0"/>
    <w:pPr>
      <w:spacing w:line="480" w:lineRule="auto"/>
    </w:pPr>
    <w:rPr>
      <w:rFonts w:ascii="宋体" w:hAnsi="宋体"/>
      <w:sz w:val="24"/>
    </w:rPr>
  </w:style>
  <w:style w:type="paragraph" w:customStyle="1" w:styleId="198">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9">
    <w:name w:val="Char Char2"/>
    <w:basedOn w:val="1"/>
    <w:qFormat/>
    <w:uiPriority w:val="0"/>
    <w:pPr>
      <w:jc w:val="center"/>
    </w:pPr>
    <w:rPr>
      <w:rFonts w:ascii="宋体"/>
      <w:szCs w:val="21"/>
    </w:rPr>
  </w:style>
  <w:style w:type="paragraph" w:customStyle="1" w:styleId="200">
    <w:name w:val="Robot List Items 2"/>
    <w:basedOn w:val="1"/>
    <w:qFormat/>
    <w:uiPriority w:val="0"/>
    <w:pPr>
      <w:tabs>
        <w:tab w:val="left" w:pos="1068"/>
      </w:tabs>
      <w:ind w:left="1068" w:hanging="360"/>
    </w:pPr>
    <w:rPr>
      <w:rFonts w:ascii="Arial" w:hAnsi="Arial"/>
      <w:sz w:val="18"/>
      <w:lang w:eastAsia="en-US"/>
    </w:rPr>
  </w:style>
  <w:style w:type="paragraph" w:customStyle="1" w:styleId="201">
    <w:name w:val="样式2"/>
    <w:basedOn w:val="1"/>
    <w:qFormat/>
    <w:uiPriority w:val="0"/>
    <w:pPr>
      <w:adjustRightInd w:val="0"/>
      <w:spacing w:line="410" w:lineRule="atLeast"/>
      <w:textAlignment w:val="baseline"/>
    </w:pPr>
  </w:style>
  <w:style w:type="paragraph" w:customStyle="1" w:styleId="202">
    <w:name w:val="Char Char1 Char Char Char Char"/>
    <w:basedOn w:val="1"/>
    <w:qFormat/>
    <w:uiPriority w:val="0"/>
    <w:rPr>
      <w:rFonts w:eastAsia="楷体_GB2312"/>
      <w:sz w:val="32"/>
    </w:rPr>
  </w:style>
  <w:style w:type="paragraph" w:customStyle="1" w:styleId="203">
    <w:name w:val="1 Char Char Char Char"/>
    <w:basedOn w:val="1"/>
    <w:qFormat/>
    <w:uiPriority w:val="0"/>
    <w:rPr>
      <w:rFonts w:ascii="Tahoma" w:hAnsi="Tahoma"/>
      <w:sz w:val="24"/>
    </w:rPr>
  </w:style>
  <w:style w:type="paragraph" w:customStyle="1" w:styleId="204">
    <w:name w:val="Char1"/>
    <w:basedOn w:val="1"/>
    <w:qFormat/>
    <w:uiPriority w:val="0"/>
    <w:rPr>
      <w:rFonts w:ascii="Tahoma" w:hAnsi="Tahoma"/>
      <w:sz w:val="24"/>
    </w:rPr>
  </w:style>
  <w:style w:type="paragraph" w:customStyle="1" w:styleId="205">
    <w:name w:val="Char Char Char Char"/>
    <w:basedOn w:val="1"/>
    <w:qFormat/>
    <w:uiPriority w:val="0"/>
    <w:rPr>
      <w:szCs w:val="24"/>
    </w:rPr>
  </w:style>
  <w:style w:type="paragraph" w:customStyle="1" w:styleId="206">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7">
    <w:name w:val="尾注文本 Char1"/>
    <w:link w:val="29"/>
    <w:semiHidden/>
    <w:qFormat/>
    <w:locked/>
    <w:uiPriority w:val="0"/>
    <w:rPr>
      <w:rFonts w:eastAsia="??"/>
      <w:color w:val="000000"/>
      <w:sz w:val="24"/>
      <w:szCs w:val="24"/>
    </w:rPr>
  </w:style>
  <w:style w:type="character" w:customStyle="1" w:styleId="208">
    <w:name w:val="尾注文本 Char"/>
    <w:semiHidden/>
    <w:qFormat/>
    <w:uiPriority w:val="0"/>
    <w:rPr>
      <w:kern w:val="2"/>
      <w:sz w:val="21"/>
    </w:rPr>
  </w:style>
  <w:style w:type="character" w:customStyle="1" w:styleId="209">
    <w:name w:val="签名 Char"/>
    <w:link w:val="210"/>
    <w:qFormat/>
    <w:locked/>
    <w:uiPriority w:val="0"/>
    <w:rPr>
      <w:rFonts w:ascii="??" w:hAnsi="??" w:eastAsia="??"/>
      <w:color w:val="000000"/>
      <w:sz w:val="24"/>
      <w:lang w:eastAsia="en-US"/>
    </w:rPr>
  </w:style>
  <w:style w:type="paragraph" w:customStyle="1" w:styleId="210">
    <w:name w:val="签名1"/>
    <w:basedOn w:val="1"/>
    <w:link w:val="209"/>
    <w:qFormat/>
    <w:uiPriority w:val="0"/>
    <w:pPr>
      <w:widowControl/>
      <w:ind w:left="4410" w:leftChars="2100"/>
      <w:jc w:val="left"/>
    </w:pPr>
    <w:rPr>
      <w:rFonts w:ascii="??" w:hAnsi="??" w:eastAsia="??"/>
      <w:color w:val="000000"/>
      <w:kern w:val="0"/>
      <w:sz w:val="24"/>
      <w:lang w:val="zh-CN" w:eastAsia="en-US"/>
    </w:rPr>
  </w:style>
  <w:style w:type="character" w:customStyle="1" w:styleId="211">
    <w:name w:val="信息标题 Char"/>
    <w:link w:val="212"/>
    <w:qFormat/>
    <w:locked/>
    <w:uiPriority w:val="0"/>
    <w:rPr>
      <w:rFonts w:ascii="Arial" w:hAnsi="Arial" w:eastAsia="??" w:cs="Arial"/>
      <w:color w:val="000000"/>
      <w:sz w:val="24"/>
      <w:szCs w:val="24"/>
      <w:shd w:val="pct20" w:color="auto" w:fill="auto"/>
    </w:rPr>
  </w:style>
  <w:style w:type="paragraph" w:customStyle="1" w:styleId="212">
    <w:name w:val="信息标题1"/>
    <w:basedOn w:val="1"/>
    <w:link w:val="211"/>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3">
    <w:name w:val="正文首行缩进 21"/>
    <w:basedOn w:val="214"/>
    <w:qFormat/>
    <w:uiPriority w:val="0"/>
  </w:style>
  <w:style w:type="paragraph" w:customStyle="1" w:styleId="214">
    <w:name w:val="正文文本缩进1"/>
    <w:basedOn w:val="1"/>
    <w:qFormat/>
    <w:uiPriority w:val="0"/>
    <w:pPr>
      <w:spacing w:after="120"/>
      <w:ind w:left="420" w:leftChars="200"/>
    </w:pPr>
    <w:rPr>
      <w:rFonts w:ascii="??" w:hAnsi="??" w:eastAsia="??"/>
      <w:color w:val="000000"/>
      <w:kern w:val="0"/>
      <w:sz w:val="20"/>
      <w:szCs w:val="24"/>
    </w:rPr>
  </w:style>
  <w:style w:type="character" w:customStyle="1" w:styleId="215">
    <w:name w:val="结束语 Char"/>
    <w:link w:val="216"/>
    <w:qFormat/>
    <w:locked/>
    <w:uiPriority w:val="0"/>
    <w:rPr>
      <w:rFonts w:ascii="??" w:hAnsi="??" w:eastAsia="??"/>
      <w:color w:val="000000"/>
      <w:sz w:val="24"/>
      <w:lang w:eastAsia="en-US"/>
    </w:rPr>
  </w:style>
  <w:style w:type="paragraph" w:customStyle="1" w:styleId="216">
    <w:name w:val="结束语1"/>
    <w:basedOn w:val="1"/>
    <w:link w:val="215"/>
    <w:qFormat/>
    <w:uiPriority w:val="0"/>
    <w:pPr>
      <w:widowControl/>
      <w:ind w:left="4410" w:leftChars="2100"/>
      <w:jc w:val="left"/>
    </w:pPr>
    <w:rPr>
      <w:rFonts w:ascii="??" w:hAnsi="??" w:eastAsia="??"/>
      <w:color w:val="000000"/>
      <w:kern w:val="0"/>
      <w:sz w:val="24"/>
      <w:lang w:val="zh-CN" w:eastAsia="en-US"/>
    </w:rPr>
  </w:style>
  <w:style w:type="paragraph" w:customStyle="1" w:styleId="217">
    <w:name w:val="正文首行缩进1"/>
    <w:basedOn w:val="20"/>
    <w:qFormat/>
    <w:uiPriority w:val="0"/>
  </w:style>
  <w:style w:type="paragraph" w:customStyle="1" w:styleId="218">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9">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20">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1">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2">
    <w:name w:val="潍柴文档正文"/>
    <w:basedOn w:val="1"/>
    <w:qFormat/>
    <w:uiPriority w:val="0"/>
    <w:pPr>
      <w:spacing w:line="360" w:lineRule="auto"/>
      <w:ind w:firstLine="200" w:firstLineChars="200"/>
    </w:pPr>
    <w:rPr>
      <w:sz w:val="24"/>
      <w:szCs w:val="22"/>
    </w:rPr>
  </w:style>
  <w:style w:type="character" w:customStyle="1" w:styleId="223">
    <w:name w:val="ca-141"/>
    <w:qFormat/>
    <w:uiPriority w:val="0"/>
    <w:rPr>
      <w:rFonts w:hint="eastAsia" w:ascii="仿宋_GB2312" w:eastAsia="仿宋_GB2312"/>
      <w:sz w:val="21"/>
      <w:szCs w:val="21"/>
    </w:rPr>
  </w:style>
  <w:style w:type="paragraph" w:customStyle="1" w:styleId="224">
    <w:name w:val="1正文段落"/>
    <w:basedOn w:val="1"/>
    <w:qFormat/>
    <w:uiPriority w:val="0"/>
    <w:pPr>
      <w:spacing w:line="360" w:lineRule="auto"/>
      <w:ind w:firstLine="480" w:firstLineChars="200"/>
      <w:jc w:val="left"/>
    </w:pPr>
    <w:rPr>
      <w:snapToGrid w:val="0"/>
      <w:kern w:val="0"/>
      <w:sz w:val="24"/>
      <w:szCs w:val="24"/>
    </w:rPr>
  </w:style>
  <w:style w:type="character" w:customStyle="1" w:styleId="225">
    <w:name w:val="NormalCharacter"/>
    <w:qFormat/>
    <w:uiPriority w:val="0"/>
  </w:style>
  <w:style w:type="character" w:customStyle="1" w:styleId="226">
    <w:name w:val="font51"/>
    <w:basedOn w:val="51"/>
    <w:qFormat/>
    <w:uiPriority w:val="99"/>
    <w:rPr>
      <w:rFonts w:ascii="Times New Roman" w:hAnsi="Times New Roman" w:cs="Times New Roman"/>
      <w:color w:val="000000"/>
      <w:sz w:val="24"/>
      <w:szCs w:val="24"/>
      <w:u w:val="none"/>
    </w:rPr>
  </w:style>
  <w:style w:type="character" w:customStyle="1" w:styleId="227">
    <w:name w:val="font61"/>
    <w:basedOn w:val="51"/>
    <w:qFormat/>
    <w:uiPriority w:val="99"/>
    <w:rPr>
      <w:rFonts w:ascii="宋体" w:hAnsi="宋体" w:eastAsia="宋体" w:cs="宋体"/>
      <w:color w:val="000000"/>
      <w:sz w:val="24"/>
      <w:szCs w:val="24"/>
      <w:u w:val="none"/>
    </w:rPr>
  </w:style>
  <w:style w:type="character" w:customStyle="1" w:styleId="228">
    <w:name w:val="font31"/>
    <w:basedOn w:val="51"/>
    <w:qFormat/>
    <w:uiPriority w:val="0"/>
    <w:rPr>
      <w:rFonts w:hint="eastAsia" w:ascii="微软雅黑" w:hAnsi="微软雅黑" w:eastAsia="微软雅黑" w:cs="微软雅黑"/>
      <w:color w:val="000000"/>
      <w:sz w:val="16"/>
      <w:szCs w:val="16"/>
      <w:u w:val="none"/>
    </w:rPr>
  </w:style>
  <w:style w:type="paragraph" w:customStyle="1" w:styleId="229">
    <w:name w:val="（二）级标题"/>
    <w:basedOn w:val="25"/>
    <w:qFormat/>
    <w:uiPriority w:val="2"/>
    <w:pPr>
      <w:numPr>
        <w:ilvl w:val="0"/>
        <w:numId w:val="1"/>
      </w:numPr>
      <w:outlineLvl w:val="2"/>
    </w:pPr>
    <w:rPr>
      <w:b/>
    </w:rPr>
  </w:style>
  <w:style w:type="paragraph" w:customStyle="1" w:styleId="230">
    <w:name w:val="标书正文格式"/>
    <w:basedOn w:val="25"/>
    <w:qFormat/>
    <w:uiPriority w:val="0"/>
    <w:pPr>
      <w:ind w:firstLine="200" w:firstLineChars="200"/>
    </w:pPr>
    <w:rPr>
      <w:rFonts w:hAnsi="宋体"/>
      <w:color w:val="000000"/>
      <w:szCs w:val="24"/>
    </w:rPr>
  </w:style>
  <w:style w:type="paragraph" w:customStyle="1" w:styleId="231">
    <w:name w:val="（4）级标题"/>
    <w:basedOn w:val="25"/>
    <w:qFormat/>
    <w:uiPriority w:val="8"/>
    <w:pPr>
      <w:numPr>
        <w:ilvl w:val="0"/>
        <w:numId w:val="2"/>
      </w:numPr>
      <w:outlineLvl w:val="4"/>
    </w:pPr>
  </w:style>
  <w:style w:type="paragraph" w:customStyle="1" w:styleId="232">
    <w:name w:val="Table Paragraph"/>
    <w:basedOn w:val="1"/>
    <w:autoRedefine/>
    <w:qFormat/>
    <w:uiPriority w:val="1"/>
    <w:rPr>
      <w:rFonts w:ascii="宋体" w:hAnsi="宋体" w:cs="宋体"/>
    </w:rPr>
  </w:style>
  <w:style w:type="table" w:customStyle="1" w:styleId="233">
    <w:name w:val="Table Normal"/>
    <w:autoRedefine/>
    <w:qFormat/>
    <w:uiPriority w:val="0"/>
    <w:tblPr>
      <w:tblCellMar>
        <w:top w:w="0" w:type="dxa"/>
        <w:left w:w="0" w:type="dxa"/>
        <w:bottom w:w="0" w:type="dxa"/>
        <w:right w:w="0" w:type="dxa"/>
      </w:tblCellMar>
    </w:tblPr>
  </w:style>
  <w:style w:type="paragraph" w:customStyle="1" w:styleId="234">
    <w:name w:val="HR正文表格"/>
    <w:basedOn w:val="1"/>
    <w:autoRedefine/>
    <w:qFormat/>
    <w:uiPriority w:val="0"/>
    <w:pPr>
      <w:spacing w:beforeLines="25" w:afterLines="25" w:line="300" w:lineRule="auto"/>
    </w:pPr>
    <w:rPr>
      <w:szCs w:val="24"/>
    </w:rPr>
  </w:style>
  <w:style w:type="paragraph" w:customStyle="1" w:styleId="235">
    <w:name w:val="一级标题"/>
    <w:basedOn w:val="25"/>
    <w:qFormat/>
    <w:uiPriority w:val="1"/>
    <w:pPr>
      <w:numPr>
        <w:ilvl w:val="0"/>
        <w:numId w:val="3"/>
      </w:numPr>
      <w:ind w:left="420"/>
      <w:outlineLvl w:val="1"/>
    </w:pPr>
    <w:rPr>
      <w:rFonts w:ascii="黑体" w:eastAsia="黑体"/>
      <w:b/>
      <w:bCs/>
      <w:sz w:val="28"/>
    </w:rPr>
  </w:style>
  <w:style w:type="paragraph" w:customStyle="1" w:styleId="236">
    <w:name w:val="标书正文"/>
    <w:basedOn w:val="25"/>
    <w:qFormat/>
    <w:uiPriority w:val="9"/>
    <w:pPr>
      <w:jc w:val="left"/>
    </w:pPr>
  </w:style>
  <w:style w:type="paragraph" w:customStyle="1" w:styleId="237">
    <w:name w:val="标书二级标题"/>
    <w:basedOn w:val="3"/>
    <w:qFormat/>
    <w:uiPriority w:val="0"/>
    <w:pPr>
      <w:spacing w:line="240" w:lineRule="auto"/>
      <w:jc w:val="left"/>
    </w:pPr>
    <w:rPr>
      <w:rFonts w:ascii="宋体" w:hAnsi="宋体"/>
      <w:b w:val="0"/>
      <w:sz w:val="28"/>
      <w:szCs w:val="30"/>
    </w:rPr>
  </w:style>
  <w:style w:type="paragraph" w:customStyle="1" w:styleId="238">
    <w:name w:val="标书三级标题"/>
    <w:basedOn w:val="4"/>
    <w:next w:val="230"/>
    <w:qFormat/>
    <w:uiPriority w:val="0"/>
    <w:pPr>
      <w:spacing w:before="0" w:after="0" w:line="240" w:lineRule="auto"/>
      <w:ind w:firstLine="482" w:firstLineChars="200"/>
    </w:pPr>
    <w:rPr>
      <w:color w:val="000000"/>
      <w:sz w:val="24"/>
      <w:szCs w:val="24"/>
    </w:rPr>
  </w:style>
  <w:style w:type="paragraph" w:customStyle="1" w:styleId="239">
    <w:name w:val="标书一级标题"/>
    <w:basedOn w:val="2"/>
    <w:qFormat/>
    <w:uiPriority w:val="0"/>
    <w:rPr>
      <w:rFonts w:eastAsia="黑体"/>
      <w:b w:val="0"/>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header" Target="head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8"/>
    <customShpInfo spid="_x0000_s4097"/>
    <customShpInfo spid="_x0000_s4100"/>
    <customShpInfo spid="_x0000_s4099"/>
    <customShpInfo spid="_x0000_s4102"/>
    <customShpInfo spid="_x0000_s4101"/>
    <customShpInfo spid="_x0000_s4104"/>
    <customShpInfo spid="_x0000_s4103"/>
    <customShpInfo spid="_x0000_s4105"/>
    <customShpInfo spid="_x0000_s4106"/>
    <customShpInfo spid="_x0000_s4107"/>
    <customShpInfo spid="_x0000_s4109"/>
    <customShpInfo spid="_x0000_s41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60</Pages>
  <Words>9586</Words>
  <Characters>10025</Characters>
  <Lines>184</Lines>
  <Paragraphs>52</Paragraphs>
  <TotalTime>14</TotalTime>
  <ScaleCrop>false</ScaleCrop>
  <LinksUpToDate>false</LinksUpToDate>
  <CharactersWithSpaces>10077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zy</cp:lastModifiedBy>
  <cp:lastPrinted>2020-01-08T06:44:00Z</cp:lastPrinted>
  <dcterms:modified xsi:type="dcterms:W3CDTF">2026-08-19T06:28:43Z</dcterms:modified>
  <dc:title>招标文件</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Base Target">
    <vt:lpwstr>_blank</vt:lpwstr>
  </property>
  <property fmtid="{D5CDD505-2E9C-101B-9397-08002B2CF9AE}" pid="4" name="ICV">
    <vt:lpwstr>F321509FCE2C40A686A7D5C6B2FA831B</vt:lpwstr>
  </property>
  <property fmtid="{D5CDD505-2E9C-101B-9397-08002B2CF9AE}" pid="5" name="KSOTemplateDocerSaveRecord">
    <vt:lpwstr>eyJoZGlkIjoiYTlmZDI5Y2FjZjI2YWE1MWM3MGY1MzM4Yzg2MWMyZDUifQ==</vt:lpwstr>
  </property>
</Properties>
</file>