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4"/>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rPr>
        <w:t>电机年度外委维修项目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6</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8"/>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3E0D64F">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1F0CC971">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2FA65432">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19CB2EE9">
          <w:pPr>
            <w:pStyle w:val="21"/>
            <w:adjustRightInd w:val="0"/>
            <w:snapToGrid w:val="0"/>
            <w:spacing w:line="360" w:lineRule="auto"/>
            <w:rPr>
              <w:sz w:val="24"/>
              <w:szCs w:val="24"/>
            </w:rPr>
          </w:pPr>
          <w:r>
            <w:rPr>
              <w:rFonts w:hint="eastAsia"/>
              <w:bCs/>
              <w:kern w:val="44"/>
              <w:sz w:val="24"/>
              <w:szCs w:val="24"/>
            </w:rPr>
            <w:fldChar w:fldCharType="end"/>
          </w:r>
        </w:p>
      </w:sdtContent>
    </w:sdt>
    <w:p w14:paraId="601D781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5"/>
        <w:adjustRightInd w:val="0"/>
        <w:snapToGrid w:val="0"/>
        <w:spacing w:line="360" w:lineRule="auto"/>
        <w:jc w:val="left"/>
        <w:rPr>
          <w:rFonts w:hAnsi="宋体"/>
          <w:sz w:val="24"/>
          <w:szCs w:val="24"/>
        </w:rPr>
      </w:pPr>
    </w:p>
    <w:p w14:paraId="38BB653C">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1"/>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1725DC6">
      <w:pPr>
        <w:pStyle w:val="72"/>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6"/>
        <w:numPr>
          <w:ilvl w:val="0"/>
          <w:numId w:val="9"/>
        </w:numPr>
        <w:adjustRightInd w:val="0"/>
        <w:snapToGrid w:val="0"/>
        <w:rPr>
          <w:rFonts w:hAnsi="宋体"/>
          <w:sz w:val="24"/>
          <w:szCs w:val="24"/>
        </w:rPr>
      </w:pPr>
      <w:r>
        <w:rPr>
          <w:rFonts w:hint="eastAsia" w:hAnsi="宋体"/>
          <w:sz w:val="24"/>
          <w:szCs w:val="24"/>
        </w:rPr>
        <w:t>项目名称：电机年度外委维修项目</w:t>
      </w:r>
    </w:p>
    <w:p w14:paraId="1AF194CA">
      <w:pPr>
        <w:pStyle w:val="76"/>
        <w:numPr>
          <w:ilvl w:val="0"/>
          <w:numId w:val="9"/>
        </w:numPr>
        <w:adjustRightInd w:val="0"/>
        <w:snapToGrid w:val="0"/>
        <w:rPr>
          <w:rFonts w:hAnsi="宋体"/>
          <w:sz w:val="24"/>
          <w:szCs w:val="24"/>
        </w:rPr>
      </w:pPr>
      <w:r>
        <w:rPr>
          <w:rFonts w:hint="eastAsia" w:hAnsi="宋体"/>
          <w:sz w:val="24"/>
          <w:szCs w:val="24"/>
        </w:rPr>
        <w:t>项目编号：</w:t>
      </w:r>
    </w:p>
    <w:p w14:paraId="23243403">
      <w:pPr>
        <w:pStyle w:val="76"/>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79E57E8C">
      <w:pPr>
        <w:pStyle w:val="63"/>
        <w:numPr>
          <w:ilvl w:val="0"/>
          <w:numId w:val="0"/>
        </w:numPr>
        <w:adjustRightInd w:val="0"/>
        <w:snapToGrid w:val="0"/>
        <w:spacing w:line="360" w:lineRule="auto"/>
        <w:ind w:leftChars="0" w:firstLine="480" w:firstLineChars="200"/>
        <w:jc w:val="left"/>
        <w:rPr>
          <w:rFonts w:hint="eastAsia" w:ascii="宋体" w:hAnsi="宋体" w:cs="宋体"/>
          <w:sz w:val="24"/>
          <w:szCs w:val="24"/>
          <w:lang w:val="en-US" w:eastAsia="zh-CN"/>
        </w:rPr>
      </w:pPr>
      <w:r>
        <w:rPr>
          <w:rFonts w:hint="eastAsia" w:ascii="宋体" w:hAnsi="宋体" w:cs="宋体"/>
          <w:sz w:val="24"/>
          <w:szCs w:val="24"/>
          <w:lang w:val="en-US" w:eastAsia="zh-CN"/>
        </w:rPr>
        <w:t>项目概况：重汽（重庆）轻型汽车有限公司位于重庆市江津区双福生产基地在进行生产经营活动中，公司电机品牌和规格较多，经常出现电机故障，为提高电机维修效率，通过签定开口维修合同的方式，实现快速修复电机的目的。</w:t>
      </w:r>
    </w:p>
    <w:p w14:paraId="7E7EEE2C">
      <w:pPr>
        <w:pStyle w:val="76"/>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1371C73D">
      <w:pPr>
        <w:pStyle w:val="76"/>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按年度报价，维修</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为三年</w:t>
      </w:r>
      <w:r>
        <w:rPr>
          <w:rFonts w:hint="eastAsia" w:hAnsi="宋体"/>
          <w:sz w:val="24"/>
          <w:szCs w:val="24"/>
        </w:rPr>
        <w:t>。</w:t>
      </w:r>
    </w:p>
    <w:p w14:paraId="669CF450">
      <w:pPr>
        <w:pStyle w:val="76"/>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w:t>
      </w:r>
      <w:r>
        <w:rPr>
          <w:rFonts w:hint="eastAsia" w:hAnsi="宋体"/>
          <w:color w:val="auto"/>
          <w:sz w:val="24"/>
          <w:szCs w:val="24"/>
          <w:lang w:val="en-US" w:eastAsia="zh-CN"/>
        </w:rPr>
        <w:t>年度</w:t>
      </w:r>
      <w:r>
        <w:rPr>
          <w:rFonts w:hint="eastAsia" w:hAnsi="宋体"/>
          <w:color w:val="auto"/>
          <w:sz w:val="24"/>
          <w:szCs w:val="24"/>
        </w:rPr>
        <w:t>预</w:t>
      </w:r>
      <w:r>
        <w:rPr>
          <w:rFonts w:hint="eastAsia" w:hAnsi="宋体"/>
          <w:sz w:val="24"/>
          <w:szCs w:val="24"/>
        </w:rPr>
        <w:t>算为人民币</w:t>
      </w:r>
      <w:r>
        <w:rPr>
          <w:rFonts w:hint="eastAsia" w:hAnsi="宋体" w:cs="仿宋_GB2312"/>
          <w:bCs/>
          <w:color w:val="000000" w:themeColor="text1"/>
          <w:sz w:val="24"/>
          <w:szCs w:val="24"/>
          <w:lang w:val="en-US" w:eastAsia="zh-CN"/>
          <w14:textFill>
            <w14:solidFill>
              <w14:schemeClr w14:val="tx1"/>
            </w14:solidFill>
          </w14:textFill>
        </w:rPr>
        <w:t>2.3619</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14:paraId="34433632">
      <w:pPr>
        <w:pStyle w:val="76"/>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6"/>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62F845F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项目技术联系人：虞洋</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电话：13220273670</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邮箱：yuyang2@sinotruk.com</w:t>
      </w:r>
    </w:p>
    <w:bookmarkEnd w:id="3"/>
    <w:p w14:paraId="5445CD43">
      <w:pPr>
        <w:pStyle w:val="72"/>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561DA3A0">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投标方必须是在中华人民共和国境内注册的独立法人机构，具有独立承担民事责任能力，且成立三年以上（含，以注册日期开始计算，至开标之日不少于三年）。</w:t>
      </w:r>
    </w:p>
    <w:p w14:paraId="4A3CABBB">
      <w:pPr>
        <w:pStyle w:val="63"/>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投标方的注册资本不少于</w:t>
      </w:r>
      <w:r>
        <w:rPr>
          <w:rFonts w:hint="eastAsia" w:ascii="宋体" w:hAnsi="宋体" w:cs="宋体"/>
          <w:sz w:val="24"/>
          <w:szCs w:val="24"/>
          <w:lang w:val="en-US" w:eastAsia="zh-CN"/>
        </w:rPr>
        <w:t>10</w:t>
      </w:r>
      <w:r>
        <w:rPr>
          <w:rFonts w:hint="eastAsia" w:ascii="宋体" w:hAnsi="宋体" w:cs="宋体"/>
          <w:sz w:val="24"/>
          <w:szCs w:val="24"/>
        </w:rPr>
        <w:t>万元人民币（或等值其他货币）</w:t>
      </w:r>
      <w:r>
        <w:rPr>
          <w:rFonts w:hint="eastAsia" w:ascii="宋体" w:hAnsi="宋体" w:cs="宋体"/>
          <w:sz w:val="24"/>
          <w:szCs w:val="24"/>
          <w:lang w:eastAsia="zh-CN"/>
        </w:rPr>
        <w:t>，</w:t>
      </w:r>
      <w:r>
        <w:rPr>
          <w:rFonts w:hint="eastAsia" w:ascii="宋体" w:hAnsi="宋体" w:cs="宋体"/>
          <w:sz w:val="24"/>
          <w:szCs w:val="24"/>
          <w:lang w:val="en-US" w:eastAsia="zh-CN"/>
        </w:rPr>
        <w:t>经营范围：含“电机维修、机电设备安装 / 维修、电气设备修理” 等</w:t>
      </w:r>
      <w:r>
        <w:rPr>
          <w:rFonts w:hint="eastAsia" w:ascii="宋体" w:hAnsi="宋体" w:cs="宋体"/>
          <w:sz w:val="24"/>
          <w:szCs w:val="24"/>
        </w:rPr>
        <w:t>。</w:t>
      </w:r>
    </w:p>
    <w:p w14:paraId="643C0B00">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投标方满足技术、质量、资金等要求，财务状况良好、经营稳定，具有全面履约的能力。</w:t>
      </w:r>
    </w:p>
    <w:p w14:paraId="36E31569">
      <w:pPr>
        <w:pStyle w:val="63"/>
        <w:numPr>
          <w:ilvl w:val="0"/>
          <w:numId w:val="10"/>
        </w:numPr>
        <w:adjustRightInd w:val="0"/>
        <w:snapToGrid w:val="0"/>
        <w:spacing w:line="360" w:lineRule="auto"/>
        <w:ind w:firstLineChars="0"/>
        <w:jc w:val="left"/>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人员资质：具有3人以上5年电机维修技术人员，投标方有专业售后服务团队，满足我司售后服务要求。</w:t>
      </w:r>
    </w:p>
    <w:p w14:paraId="6F0BE993">
      <w:pPr>
        <w:pStyle w:val="63"/>
        <w:numPr>
          <w:ilvl w:val="0"/>
          <w:numId w:val="10"/>
        </w:numPr>
        <w:adjustRightInd w:val="0"/>
        <w:snapToGrid w:val="0"/>
        <w:spacing w:line="360" w:lineRule="auto"/>
        <w:ind w:firstLineChars="0"/>
        <w:jc w:val="left"/>
        <w:rPr>
          <w:rFonts w:hint="eastAsia" w:ascii="宋体" w:hAnsi="宋体" w:cs="宋体"/>
          <w:color w:val="auto"/>
          <w:sz w:val="24"/>
          <w:szCs w:val="24"/>
          <w:lang w:val="en-US" w:eastAsia="zh-CN"/>
        </w:rPr>
      </w:pPr>
      <w:r>
        <w:rPr>
          <w:rFonts w:hint="default" w:ascii="宋体" w:hAnsi="宋体" w:cs="宋体"/>
          <w:color w:val="auto"/>
          <w:sz w:val="24"/>
          <w:szCs w:val="24"/>
          <w:lang w:val="en-US" w:eastAsia="zh-CN"/>
        </w:rPr>
        <w:t>近</w:t>
      </w:r>
      <w:r>
        <w:rPr>
          <w:rFonts w:hint="eastAsia" w:ascii="宋体" w:hAnsi="宋体" w:cs="宋体"/>
          <w:color w:val="auto"/>
          <w:sz w:val="24"/>
          <w:szCs w:val="24"/>
          <w:lang w:val="en-US" w:eastAsia="zh-CN"/>
        </w:rPr>
        <w:t>5</w:t>
      </w:r>
      <w:r>
        <w:rPr>
          <w:rFonts w:hint="default" w:ascii="宋体" w:hAnsi="宋体" w:cs="宋体"/>
          <w:color w:val="auto"/>
          <w:sz w:val="24"/>
          <w:szCs w:val="24"/>
          <w:lang w:val="en-US" w:eastAsia="zh-CN"/>
        </w:rPr>
        <w:t>年同类电机</w:t>
      </w:r>
      <w:r>
        <w:rPr>
          <w:rFonts w:hint="eastAsia" w:ascii="宋体" w:hAnsi="宋体" w:cs="宋体"/>
          <w:color w:val="auto"/>
          <w:sz w:val="24"/>
          <w:szCs w:val="24"/>
          <w:lang w:val="en-US" w:eastAsia="zh-CN"/>
        </w:rPr>
        <w:t>维修</w:t>
      </w:r>
      <w:r>
        <w:rPr>
          <w:rFonts w:hint="default" w:ascii="宋体" w:hAnsi="宋体" w:cs="宋体"/>
          <w:color w:val="auto"/>
          <w:sz w:val="24"/>
          <w:szCs w:val="24"/>
          <w:lang w:val="en-US" w:eastAsia="zh-CN"/>
        </w:rPr>
        <w:t>项目</w:t>
      </w:r>
      <w:r>
        <w:rPr>
          <w:rFonts w:hint="eastAsia" w:ascii="宋体" w:hAnsi="宋体" w:cs="宋体"/>
          <w:color w:val="auto"/>
          <w:sz w:val="24"/>
          <w:szCs w:val="24"/>
          <w:lang w:val="en-US" w:eastAsia="zh-CN"/>
        </w:rPr>
        <w:t>业绩，并提供证明材料。</w:t>
      </w:r>
    </w:p>
    <w:p w14:paraId="367000EA">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14A3AA3E">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689B5F6">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1C7BE916">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4A2BA76C">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837D523">
      <w:pPr>
        <w:pStyle w:val="63"/>
        <w:numPr>
          <w:ilvl w:val="0"/>
          <w:numId w:val="10"/>
        </w:numPr>
        <w:adjustRightInd w:val="0"/>
        <w:snapToGrid w:val="0"/>
        <w:spacing w:line="360" w:lineRule="auto"/>
        <w:ind w:firstLineChars="0"/>
        <w:jc w:val="left"/>
        <w:rPr>
          <w:rFonts w:ascii="宋体" w:hAnsi="宋体"/>
          <w:sz w:val="24"/>
          <w:szCs w:val="24"/>
        </w:rPr>
      </w:pPr>
      <w:r>
        <w:rPr>
          <w:rFonts w:hint="eastAsia" w:ascii="宋体" w:hAnsi="宋体" w:cs="宋体"/>
          <w:sz w:val="24"/>
          <w:szCs w:val="24"/>
        </w:rPr>
        <w:t>不接受联合体投标。</w:t>
      </w:r>
    </w:p>
    <w:p w14:paraId="76DD3D0B">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33721F50">
      <w:pPr>
        <w:pStyle w:val="76"/>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15</w:t>
      </w:r>
      <w:r>
        <w:rPr>
          <w:rFonts w:hint="eastAsia" w:hAnsi="宋体"/>
          <w:sz w:val="24"/>
          <w:szCs w:val="24"/>
          <w:u w:val="single"/>
        </w:rPr>
        <w:t>日；</w:t>
      </w:r>
    </w:p>
    <w:p w14:paraId="3B7A53BA">
      <w:pPr>
        <w:pStyle w:val="76"/>
        <w:numPr>
          <w:ilvl w:val="0"/>
          <w:numId w:val="11"/>
        </w:numPr>
        <w:adjustRightInd w:val="0"/>
        <w:snapToGrid w:val="0"/>
        <w:rPr>
          <w:rFonts w:hAnsi="宋体"/>
          <w:sz w:val="24"/>
          <w:szCs w:val="24"/>
          <w:highlight w:val="none"/>
        </w:rPr>
      </w:pPr>
      <w:r>
        <w:rPr>
          <w:rFonts w:hint="eastAsia" w:hAnsi="宋体"/>
          <w:sz w:val="24"/>
          <w:szCs w:val="24"/>
        </w:rPr>
        <w:t>投标报名</w:t>
      </w:r>
    </w:p>
    <w:p w14:paraId="532ED293">
      <w:pPr>
        <w:pStyle w:val="76"/>
        <w:numPr>
          <w:ilvl w:val="0"/>
          <w:numId w:val="12"/>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6</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22</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6"/>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6"/>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6"/>
        <w:numPr>
          <w:ilvl w:val="0"/>
          <w:numId w:val="11"/>
        </w:numPr>
        <w:adjustRightInd w:val="0"/>
        <w:snapToGrid w:val="0"/>
        <w:rPr>
          <w:rFonts w:hAnsi="宋体"/>
          <w:sz w:val="24"/>
          <w:szCs w:val="24"/>
        </w:rPr>
      </w:pPr>
      <w:r>
        <w:rPr>
          <w:rFonts w:hint="eastAsia" w:hAnsi="宋体"/>
          <w:sz w:val="24"/>
          <w:szCs w:val="24"/>
        </w:rPr>
        <w:t>招标文件获取</w:t>
      </w:r>
    </w:p>
    <w:p w14:paraId="3DB7F595">
      <w:pPr>
        <w:pStyle w:val="76"/>
        <w:numPr>
          <w:ilvl w:val="1"/>
          <w:numId w:val="13"/>
        </w:numPr>
        <w:adjustRightInd w:val="0"/>
        <w:snapToGrid w:val="0"/>
        <w:ind w:left="420"/>
        <w:rPr>
          <w:rFonts w:hAnsi="宋体"/>
          <w:sz w:val="24"/>
          <w:szCs w:val="24"/>
        </w:rPr>
      </w:pPr>
      <w:r>
        <w:rPr>
          <w:rFonts w:hint="eastAsia" w:hAnsi="宋体"/>
          <w:sz w:val="24"/>
          <w:szCs w:val="24"/>
        </w:rPr>
        <w:t>获取时间：报名成功后；</w:t>
      </w:r>
    </w:p>
    <w:p w14:paraId="690E2945">
      <w:pPr>
        <w:pStyle w:val="76"/>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6"/>
        <w:numPr>
          <w:ilvl w:val="0"/>
          <w:numId w:val="11"/>
        </w:numPr>
        <w:adjustRightInd w:val="0"/>
        <w:snapToGrid w:val="0"/>
        <w:rPr>
          <w:rFonts w:hAnsi="宋体"/>
          <w:sz w:val="24"/>
          <w:szCs w:val="24"/>
        </w:rPr>
      </w:pPr>
      <w:r>
        <w:rPr>
          <w:rFonts w:hint="eastAsia" w:hAnsi="宋体"/>
          <w:sz w:val="24"/>
          <w:szCs w:val="24"/>
        </w:rPr>
        <w:t>疑问提交</w:t>
      </w:r>
    </w:p>
    <w:p w14:paraId="1A63DF54">
      <w:pPr>
        <w:pStyle w:val="76"/>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24</w:t>
      </w:r>
      <w:r>
        <w:rPr>
          <w:rFonts w:hint="eastAsia" w:hAnsi="宋体"/>
          <w:sz w:val="24"/>
          <w:szCs w:val="24"/>
          <w:u w:val="single"/>
        </w:rPr>
        <w:t>日17:00:00（北京时间）；</w:t>
      </w:r>
    </w:p>
    <w:p w14:paraId="640BA070">
      <w:pPr>
        <w:pStyle w:val="76"/>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6"/>
        <w:numPr>
          <w:ilvl w:val="0"/>
          <w:numId w:val="11"/>
        </w:numPr>
        <w:adjustRightInd w:val="0"/>
        <w:snapToGrid w:val="0"/>
        <w:rPr>
          <w:rFonts w:hAnsi="宋体"/>
          <w:sz w:val="24"/>
          <w:szCs w:val="24"/>
        </w:rPr>
      </w:pPr>
      <w:r>
        <w:rPr>
          <w:rFonts w:hint="eastAsia" w:hAnsi="宋体"/>
          <w:sz w:val="24"/>
          <w:szCs w:val="24"/>
        </w:rPr>
        <w:t>答疑、澄清和修改文件的获取</w:t>
      </w:r>
    </w:p>
    <w:p w14:paraId="757511F1">
      <w:pPr>
        <w:pStyle w:val="76"/>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25</w:t>
      </w:r>
      <w:r>
        <w:rPr>
          <w:rFonts w:hint="eastAsia" w:hAnsi="宋体"/>
          <w:sz w:val="24"/>
          <w:szCs w:val="24"/>
          <w:highlight w:val="none"/>
          <w:u w:val="single"/>
        </w:rPr>
        <w:t>日17:00</w:t>
      </w:r>
      <w:r>
        <w:rPr>
          <w:rFonts w:hint="eastAsia" w:hAnsi="宋体"/>
          <w:sz w:val="24"/>
          <w:szCs w:val="24"/>
          <w:u w:val="single"/>
        </w:rPr>
        <w:t>前；</w:t>
      </w:r>
    </w:p>
    <w:p w14:paraId="51C2F63C">
      <w:pPr>
        <w:pStyle w:val="76"/>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2"/>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6"/>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14F77B1D">
      <w:pPr>
        <w:pStyle w:val="76"/>
        <w:numPr>
          <w:ilvl w:val="0"/>
          <w:numId w:val="17"/>
        </w:numPr>
        <w:adjustRightInd w:val="0"/>
        <w:snapToGrid w:val="0"/>
        <w:rPr>
          <w:rFonts w:hAnsi="宋体"/>
          <w:sz w:val="24"/>
          <w:szCs w:val="24"/>
        </w:rPr>
      </w:pPr>
      <w:r>
        <w:rPr>
          <w:rFonts w:hint="eastAsia" w:hAnsi="宋体" w:cs="黑体"/>
          <w:bCs/>
          <w:sz w:val="24"/>
          <w:szCs w:val="24"/>
        </w:rPr>
        <w:t>资质文件</w:t>
      </w:r>
    </w:p>
    <w:p w14:paraId="73285A27">
      <w:pPr>
        <w:pStyle w:val="76"/>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6"/>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3302C372">
      <w:pPr>
        <w:pStyle w:val="76"/>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6"/>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6"/>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6"/>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6"/>
        <w:numPr>
          <w:ilvl w:val="0"/>
          <w:numId w:val="18"/>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220A2614">
      <w:pPr>
        <w:pStyle w:val="76"/>
        <w:numPr>
          <w:ilvl w:val="0"/>
          <w:numId w:val="18"/>
        </w:numPr>
        <w:adjustRightInd w:val="0"/>
        <w:snapToGrid w:val="0"/>
        <w:ind w:left="420" w:leftChars="200"/>
        <w:rPr>
          <w:rFonts w:hAnsi="宋体"/>
          <w:color w:val="auto"/>
          <w:sz w:val="24"/>
          <w:szCs w:val="24"/>
        </w:rPr>
      </w:pPr>
      <w:r>
        <w:rPr>
          <w:rFonts w:hint="eastAsia" w:ascii="宋体" w:hAnsi="宋体" w:cs="宋体"/>
          <w:color w:val="auto"/>
          <w:sz w:val="24"/>
          <w:szCs w:val="24"/>
          <w:lang w:val="en-US" w:eastAsia="zh-CN"/>
        </w:rPr>
        <w:t>电机维修技术人员</w:t>
      </w:r>
      <w:r>
        <w:rPr>
          <w:rFonts w:hint="eastAsia" w:hAnsi="宋体" w:cs="宋体"/>
          <w:color w:val="auto"/>
          <w:sz w:val="24"/>
          <w:szCs w:val="24"/>
          <w:lang w:val="en-US" w:eastAsia="zh-CN"/>
        </w:rPr>
        <w:t>清单；</w:t>
      </w:r>
    </w:p>
    <w:p w14:paraId="2CAB11FD">
      <w:pPr>
        <w:pStyle w:val="76"/>
        <w:numPr>
          <w:ilvl w:val="0"/>
          <w:numId w:val="18"/>
        </w:numPr>
        <w:adjustRightInd w:val="0"/>
        <w:snapToGrid w:val="0"/>
        <w:ind w:left="420" w:leftChars="200"/>
        <w:rPr>
          <w:rFonts w:hAnsi="宋体"/>
          <w:color w:val="auto"/>
          <w:sz w:val="24"/>
          <w:szCs w:val="24"/>
        </w:rPr>
      </w:pPr>
      <w:r>
        <w:rPr>
          <w:rFonts w:hint="default" w:ascii="宋体" w:hAnsi="宋体" w:cs="宋体"/>
          <w:color w:val="auto"/>
          <w:sz w:val="24"/>
          <w:szCs w:val="24"/>
          <w:lang w:val="en-US" w:eastAsia="zh-CN"/>
        </w:rPr>
        <w:t>近</w:t>
      </w:r>
      <w:r>
        <w:rPr>
          <w:rFonts w:hint="eastAsia" w:ascii="宋体" w:hAnsi="宋体" w:cs="宋体"/>
          <w:color w:val="auto"/>
          <w:sz w:val="24"/>
          <w:szCs w:val="24"/>
          <w:lang w:val="en-US" w:eastAsia="zh-CN"/>
        </w:rPr>
        <w:t>5</w:t>
      </w:r>
      <w:r>
        <w:rPr>
          <w:rFonts w:hint="default" w:ascii="宋体" w:hAnsi="宋体" w:cs="宋体"/>
          <w:color w:val="auto"/>
          <w:sz w:val="24"/>
          <w:szCs w:val="24"/>
          <w:lang w:val="en-US" w:eastAsia="zh-CN"/>
        </w:rPr>
        <w:t>年同类电机</w:t>
      </w:r>
      <w:r>
        <w:rPr>
          <w:rFonts w:hint="eastAsia" w:ascii="宋体" w:hAnsi="宋体" w:cs="宋体"/>
          <w:color w:val="auto"/>
          <w:sz w:val="24"/>
          <w:szCs w:val="24"/>
          <w:lang w:val="en-US" w:eastAsia="zh-CN"/>
        </w:rPr>
        <w:t>维修</w:t>
      </w:r>
      <w:r>
        <w:rPr>
          <w:rFonts w:hint="default" w:ascii="宋体" w:hAnsi="宋体" w:cs="宋体"/>
          <w:color w:val="auto"/>
          <w:sz w:val="24"/>
          <w:szCs w:val="24"/>
          <w:lang w:val="en-US" w:eastAsia="zh-CN"/>
        </w:rPr>
        <w:t>项目</w:t>
      </w:r>
      <w:r>
        <w:rPr>
          <w:rFonts w:hint="eastAsia" w:ascii="宋体" w:hAnsi="宋体" w:cs="宋体"/>
          <w:color w:val="auto"/>
          <w:sz w:val="24"/>
          <w:szCs w:val="24"/>
          <w:lang w:val="en-US" w:eastAsia="zh-CN"/>
        </w:rPr>
        <w:t>业绩证明材料</w:t>
      </w:r>
      <w:r>
        <w:rPr>
          <w:rFonts w:hint="eastAsia" w:hAnsi="宋体" w:cs="宋体"/>
          <w:color w:val="auto"/>
          <w:sz w:val="24"/>
          <w:szCs w:val="24"/>
          <w:lang w:val="en-US" w:eastAsia="zh-CN"/>
        </w:rPr>
        <w:t>；</w:t>
      </w:r>
    </w:p>
    <w:p w14:paraId="4FF2BB90">
      <w:pPr>
        <w:pStyle w:val="76"/>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6"/>
        <w:numPr>
          <w:ilvl w:val="0"/>
          <w:numId w:val="17"/>
        </w:numPr>
        <w:adjustRightInd w:val="0"/>
        <w:snapToGrid w:val="0"/>
        <w:rPr>
          <w:rFonts w:hAnsi="宋体" w:cs="黑体"/>
          <w:bCs/>
          <w:sz w:val="24"/>
          <w:szCs w:val="24"/>
        </w:rPr>
      </w:pPr>
      <w:r>
        <w:rPr>
          <w:rFonts w:hint="eastAsia" w:hAnsi="宋体" w:cs="黑体"/>
          <w:bCs/>
          <w:sz w:val="24"/>
          <w:szCs w:val="24"/>
        </w:rPr>
        <w:t>商务标</w:t>
      </w:r>
    </w:p>
    <w:p w14:paraId="71C9D613">
      <w:pPr>
        <w:pStyle w:val="76"/>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6"/>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6"/>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r>
        <w:rPr>
          <w:rFonts w:hint="eastAsia" w:hAnsi="宋体"/>
          <w:sz w:val="24"/>
          <w:szCs w:val="24"/>
          <w:lang w:eastAsia="zh-CN"/>
        </w:rPr>
        <w:t>。</w:t>
      </w:r>
    </w:p>
    <w:p w14:paraId="544DF5AD">
      <w:pPr>
        <w:pStyle w:val="72"/>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6"/>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6"/>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29</w:t>
      </w:r>
      <w:r>
        <w:rPr>
          <w:rFonts w:hint="eastAsia" w:hAnsi="宋体"/>
          <w:sz w:val="24"/>
          <w:szCs w:val="24"/>
          <w:highlight w:val="none"/>
          <w:u w:val="single"/>
        </w:rPr>
        <w:t>日17:00:00（北京时间）</w:t>
      </w:r>
    </w:p>
    <w:p w14:paraId="4908A9F0">
      <w:pPr>
        <w:pStyle w:val="72"/>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2"/>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6"/>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6"/>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6"/>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FAB5728">
      <w:pPr>
        <w:pStyle w:val="76"/>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27EB3A5B">
      <w:pPr>
        <w:pStyle w:val="76"/>
        <w:adjustRightInd w:val="0"/>
        <w:snapToGrid w:val="0"/>
        <w:ind w:left="420" w:leftChars="200"/>
        <w:rPr>
          <w:rFonts w:hAnsi="宋体"/>
          <w:sz w:val="24"/>
          <w:szCs w:val="24"/>
        </w:rPr>
      </w:pPr>
      <w:r>
        <w:rPr>
          <w:rFonts w:hint="eastAsia" w:hAnsi="宋体"/>
          <w:sz w:val="24"/>
          <w:szCs w:val="24"/>
        </w:rPr>
        <w:t>单位名称：重汽（重庆）轻型汽车有限公司</w:t>
      </w:r>
    </w:p>
    <w:p w14:paraId="50903C90">
      <w:pPr>
        <w:pStyle w:val="76"/>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6"/>
        <w:adjustRightInd w:val="0"/>
        <w:snapToGrid w:val="0"/>
        <w:ind w:left="420" w:leftChars="200"/>
        <w:rPr>
          <w:rFonts w:hAnsi="宋体"/>
          <w:sz w:val="24"/>
          <w:szCs w:val="24"/>
        </w:rPr>
      </w:pPr>
      <w:r>
        <w:rPr>
          <w:rFonts w:hint="eastAsia" w:hAnsi="宋体"/>
          <w:sz w:val="24"/>
          <w:szCs w:val="24"/>
        </w:rPr>
        <w:t>开户行名称：中信银行济南舜耕支行</w:t>
      </w:r>
    </w:p>
    <w:p w14:paraId="3654FEB5">
      <w:pPr>
        <w:pStyle w:val="76"/>
        <w:adjustRightInd w:val="0"/>
        <w:snapToGrid w:val="0"/>
        <w:ind w:left="420" w:leftChars="200"/>
        <w:rPr>
          <w:rFonts w:hAnsi="宋体"/>
          <w:sz w:val="24"/>
          <w:szCs w:val="24"/>
        </w:rPr>
      </w:pPr>
      <w:r>
        <w:rPr>
          <w:rFonts w:hint="eastAsia" w:hAnsi="宋体"/>
          <w:sz w:val="24"/>
          <w:szCs w:val="24"/>
        </w:rPr>
        <w:t>开户行行号：302451037264</w:t>
      </w:r>
    </w:p>
    <w:p w14:paraId="52762AC3">
      <w:pPr>
        <w:pStyle w:val="76"/>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6"/>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6</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2</w:t>
      </w:r>
      <w:r>
        <w:rPr>
          <w:rFonts w:hint="eastAsia" w:hAnsi="宋体"/>
          <w:sz w:val="24"/>
          <w:szCs w:val="24"/>
          <w:highlight w:val="none"/>
          <w:u w:val="single"/>
          <w:lang w:val="en-US" w:eastAsia="zh-CN"/>
        </w:rPr>
        <w:t>9</w:t>
      </w:r>
      <w:r>
        <w:rPr>
          <w:rFonts w:hint="eastAsia" w:hAnsi="宋体" w:eastAsia="答疑"/>
          <w:sz w:val="24"/>
          <w:szCs w:val="24"/>
          <w:highlight w:val="none"/>
          <w:u w:val="single"/>
        </w:rPr>
        <w:t>日17:00:00（北京时间）</w:t>
      </w:r>
    </w:p>
    <w:p w14:paraId="2CE63689">
      <w:pPr>
        <w:pStyle w:val="72"/>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2"/>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6"/>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6"/>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6"/>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6"/>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6"/>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6"/>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6"/>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6"/>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81C1227">
      <w:pPr>
        <w:pStyle w:val="76"/>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6</w:t>
      </w:r>
      <w:r>
        <w:rPr>
          <w:rFonts w:hint="eastAsia" w:hAnsi="宋体" w:cs="宋体"/>
          <w:sz w:val="24"/>
          <w:szCs w:val="24"/>
          <w:highlight w:val="none"/>
        </w:rPr>
        <w:t>月</w:t>
      </w:r>
      <w:r>
        <w:rPr>
          <w:rFonts w:hint="eastAsia" w:hAnsi="宋体" w:cs="宋体"/>
          <w:sz w:val="24"/>
          <w:szCs w:val="24"/>
          <w:highlight w:val="none"/>
          <w:lang w:val="en-US" w:eastAsia="zh-CN"/>
        </w:rPr>
        <w:t>30</w:t>
      </w:r>
      <w:bookmarkStart w:id="20" w:name="_GoBack"/>
      <w:bookmarkEnd w:id="20"/>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6"/>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6"/>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387BF147">
      <w:pPr>
        <w:pStyle w:val="72"/>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1"/>
        <w:tblW w:w="92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4"/>
        <w:gridCol w:w="1051"/>
        <w:gridCol w:w="976"/>
        <w:gridCol w:w="832"/>
        <w:gridCol w:w="4339"/>
        <w:gridCol w:w="744"/>
        <w:gridCol w:w="744"/>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1051" w:type="dxa"/>
            <w:tcBorders>
              <w:top w:val="single" w:color="auto" w:sz="4" w:space="0"/>
              <w:left w:val="single" w:color="auto" w:sz="4" w:space="0"/>
              <w:bottom w:val="single" w:color="auto" w:sz="4" w:space="0"/>
              <w:right w:val="single" w:color="auto" w:sz="4" w:space="0"/>
            </w:tcBorders>
            <w:shd w:val="clear" w:color="auto" w:fill="auto"/>
            <w:vAlign w:val="center"/>
          </w:tcPr>
          <w:p w14:paraId="5E8A619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评分维度</w:t>
            </w:r>
          </w:p>
        </w:tc>
        <w:tc>
          <w:tcPr>
            <w:tcW w:w="976" w:type="dxa"/>
            <w:tcBorders>
              <w:top w:val="single" w:color="auto" w:sz="4" w:space="0"/>
              <w:left w:val="single" w:color="auto" w:sz="4" w:space="0"/>
              <w:bottom w:val="single" w:color="auto" w:sz="4" w:space="0"/>
              <w:right w:val="single" w:color="auto" w:sz="4" w:space="0"/>
            </w:tcBorders>
            <w:shd w:val="clear" w:color="auto" w:fill="auto"/>
            <w:vAlign w:val="center"/>
          </w:tcPr>
          <w:p w14:paraId="26E27EA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权重</w:t>
            </w:r>
          </w:p>
        </w:tc>
        <w:tc>
          <w:tcPr>
            <w:tcW w:w="832" w:type="dxa"/>
            <w:tcBorders>
              <w:top w:val="single" w:color="auto" w:sz="4" w:space="0"/>
              <w:left w:val="single" w:color="auto" w:sz="4" w:space="0"/>
              <w:bottom w:val="single" w:color="auto" w:sz="4" w:space="0"/>
              <w:right w:val="single" w:color="auto" w:sz="4" w:space="0"/>
            </w:tcBorders>
            <w:shd w:val="clear" w:color="auto" w:fill="auto"/>
            <w:vAlign w:val="center"/>
          </w:tcPr>
          <w:p w14:paraId="3C2593D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评审内容</w:t>
            </w:r>
          </w:p>
        </w:tc>
        <w:tc>
          <w:tcPr>
            <w:tcW w:w="4339"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74DB1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AA230F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4F433BD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技术方案与服务能力</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36A5BB6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6</w:t>
            </w:r>
            <w:r>
              <w:rPr>
                <w:rFonts w:hint="default" w:ascii="宋体" w:hAnsi="宋体" w:eastAsia="宋体" w:cs="宋体"/>
                <w:kern w:val="2"/>
                <w:sz w:val="24"/>
                <w:szCs w:val="24"/>
                <w:lang w:val="en-US" w:eastAsia="zh-CN" w:bidi="ar-SA"/>
              </w:rPr>
              <w:t>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F27BCB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维修响应速度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95DEE8F">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完全满足接到甲方取件要求后“6小时内到现场取件”要求得5-8分；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承诺时间更短（如4小时内）可酌情加9-10分；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无法满足或时间更长者得0-5分。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5400F34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CA4CF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2696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E8C45D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0D4530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17E3A09">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6B41EA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D14968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完全满足“1-5个工作日内修复”要求得5-8分；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有明确的分级维修机制（如简单故障1天，复杂故障5天）且方案合理者得9-10分。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0AB9AF7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8260614">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7BC7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A64F7A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46C53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5F04D2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87BE74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电机维修工艺与技术实力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FFA78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详细说明绕线圈的工艺流程、采用的绝缘材料品牌等级、真空浸漆设备、动平衡测试设备等。</w:t>
            </w:r>
          </w:p>
          <w:p w14:paraId="6F7852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工艺先进、材料优质、设备齐全者得20-30分；</w:t>
            </w:r>
          </w:p>
          <w:p w14:paraId="1505F8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工艺常规、设备一般者得10-20分；</w:t>
            </w:r>
          </w:p>
          <w:p w14:paraId="335F85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描述模糊者得0-10分。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564224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3</w:t>
            </w:r>
            <w:r>
              <w:rPr>
                <w:rFonts w:hint="default" w:ascii="宋体" w:hAnsi="宋体" w:eastAsia="宋体" w:cs="宋体"/>
                <w:kern w:val="2"/>
                <w:sz w:val="24"/>
                <w:szCs w:val="24"/>
                <w:lang w:val="en-US" w:eastAsia="zh-CN" w:bidi="ar-SA"/>
              </w:rPr>
              <w:t>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E5E9E2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2B6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E21DF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3D2CAD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B35ABE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B99BB8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测试与交付能力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4A7EA0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承诺维修后必须进行检测试运行，并能提供详细的出厂测试报告（含绝缘、电阻、空载电流等数据）者得10分；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仅口头承诺试运行无报告者得5分。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513F65F">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E2D586E">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D89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5135D3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12AFA0D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质量保证与验收</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2F48C69">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40</w:t>
            </w:r>
            <w:r>
              <w:rPr>
                <w:rFonts w:hint="default" w:ascii="宋体" w:hAnsi="宋体" w:eastAsia="宋体" w:cs="宋体"/>
                <w:kern w:val="2"/>
                <w:sz w:val="24"/>
                <w:szCs w:val="24"/>
                <w:lang w:val="en-US" w:eastAsia="zh-CN" w:bidi="ar-SA"/>
              </w:rPr>
              <w:t>%</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0E7446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质量保证期</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6A8B1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完全满足“最终验收后3个月”质保期要求，并接受“维修后重新计算质保期”条款者得5-8分；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12F0B61">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8</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EED5A6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42CF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4A19DA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06D817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9896B7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C9EFDA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E78B49">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完全响应“2小时内答复，24小时内到现场”的质量问题处理要求者得5-7分；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3A16D1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7</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7AAD1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13F5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B0069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9571E3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5F2E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353BB8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验收标准符合度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1E99E5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逐条承诺并完全理解所有验收标准（外观、绝缘、直流阻值、空载电流、运转等）要求，且具备相应的检测仪器和手段者得15分；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基本理解但有部分疑问者得8-15分；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对标准不理解或有偏离者得0分。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201E261">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15</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1408B612">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00580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00B923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4514DCD">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FA5A3F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69F628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运输与包装保障</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8860F5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承诺免费取送货，并有详细的包装方案防止运输损伤，接受“运输中损坏/丢失由乙方负责”条款者得6-10分；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方案笼统者得2-5分。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637615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435F01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30C7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442DD55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合计</w:t>
            </w:r>
          </w:p>
        </w:tc>
        <w:tc>
          <w:tcPr>
            <w:tcW w:w="7198" w:type="dxa"/>
            <w:gridSpan w:val="4"/>
            <w:tcBorders>
              <w:top w:val="single" w:color="auto" w:sz="4" w:space="0"/>
              <w:left w:val="single" w:color="auto" w:sz="4" w:space="0"/>
              <w:bottom w:val="single" w:color="auto" w:sz="4" w:space="0"/>
              <w:right w:val="single" w:color="auto" w:sz="4" w:space="0"/>
            </w:tcBorders>
            <w:shd w:val="clear" w:color="auto" w:fill="FFFFFF"/>
            <w:vAlign w:val="center"/>
          </w:tcPr>
          <w:p w14:paraId="114C0A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D7986C7">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100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F5C6B9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48181615">
      <w:pPr>
        <w:pStyle w:val="72"/>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6"/>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6"/>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6"/>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2"/>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6"/>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6"/>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6"/>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6"/>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6"/>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6"/>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6"/>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6"/>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6"/>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6"/>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6"/>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6"/>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6"/>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6"/>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2"/>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7"/>
      <w:bookmarkStart w:id="7" w:name="OLE_LINK28"/>
      <w:bookmarkStart w:id="8" w:name="OLE_LINK26"/>
      <w:bookmarkStart w:id="9" w:name="OLE_LINK25"/>
      <w:bookmarkStart w:id="10" w:name="OLE_LINK29"/>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2"/>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A46D7ED">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35D9F1B0">
      <w:pPr>
        <w:pStyle w:val="76"/>
        <w:numPr>
          <w:ilvl w:val="0"/>
          <w:numId w:val="31"/>
        </w:numPr>
        <w:adjustRightInd w:val="0"/>
        <w:snapToGrid w:val="0"/>
        <w:rPr>
          <w:rFonts w:hAnsi="宋体"/>
          <w:bCs/>
          <w:sz w:val="24"/>
          <w:szCs w:val="24"/>
          <w:u w:val="single"/>
        </w:rPr>
      </w:pPr>
      <w:r>
        <w:rPr>
          <w:rFonts w:hint="eastAsia" w:hAnsi="宋体"/>
          <w:sz w:val="24"/>
          <w:szCs w:val="24"/>
        </w:rPr>
        <w:t>付款方式：银</w:t>
      </w:r>
      <w:r>
        <w:rPr>
          <w:rFonts w:hint="eastAsia" w:hAnsi="宋体"/>
          <w:sz w:val="24"/>
          <w:szCs w:val="24"/>
          <w:u w:val="none"/>
        </w:rPr>
        <w:t>行转账</w:t>
      </w:r>
      <w:r>
        <w:rPr>
          <w:rFonts w:hint="eastAsia" w:hAnsi="宋体"/>
          <w:bCs/>
          <w:sz w:val="24"/>
          <w:szCs w:val="24"/>
          <w:u w:val="none"/>
        </w:rPr>
        <w:t>；</w:t>
      </w:r>
    </w:p>
    <w:p w14:paraId="26A06137">
      <w:pPr>
        <w:pStyle w:val="76"/>
        <w:numPr>
          <w:ilvl w:val="0"/>
          <w:numId w:val="31"/>
        </w:numPr>
        <w:adjustRightInd w:val="0"/>
        <w:snapToGrid w:val="0"/>
        <w:rPr>
          <w:rFonts w:hAnsi="宋体"/>
          <w:sz w:val="24"/>
          <w:szCs w:val="24"/>
        </w:rPr>
      </w:pPr>
      <w:r>
        <w:rPr>
          <w:rFonts w:hint="eastAsia" w:hAnsi="宋体"/>
          <w:sz w:val="24"/>
          <w:szCs w:val="24"/>
        </w:rPr>
        <w:t>付款节点：</w:t>
      </w:r>
      <w:r>
        <w:rPr>
          <w:rFonts w:hint="eastAsia" w:hAnsi="宋体"/>
          <w:sz w:val="24"/>
          <w:szCs w:val="24"/>
          <w:lang w:val="en-US" w:eastAsia="zh-CN"/>
        </w:rPr>
        <w:t>按月结算，</w:t>
      </w:r>
      <w:r>
        <w:rPr>
          <w:rFonts w:hint="eastAsia" w:hAnsi="宋体"/>
          <w:sz w:val="24"/>
          <w:szCs w:val="24"/>
        </w:rPr>
        <w:t>中标</w:t>
      </w:r>
      <w:r>
        <w:rPr>
          <w:rFonts w:hint="eastAsia" w:hAnsi="宋体"/>
          <w:sz w:val="24"/>
          <w:szCs w:val="24"/>
          <w:lang w:val="en-US" w:eastAsia="zh-CN"/>
        </w:rPr>
        <w:t>方</w:t>
      </w:r>
      <w:r>
        <w:rPr>
          <w:rFonts w:hint="eastAsia" w:hAnsi="宋体"/>
          <w:sz w:val="24"/>
          <w:szCs w:val="24"/>
        </w:rPr>
        <w:t>完成委托的电机设备外委维修，次月招标人组织验收，验收合格后通知中标</w:t>
      </w:r>
      <w:r>
        <w:rPr>
          <w:rFonts w:hint="eastAsia" w:hAnsi="宋体"/>
          <w:sz w:val="24"/>
          <w:szCs w:val="24"/>
          <w:lang w:val="en-US" w:eastAsia="zh-CN"/>
        </w:rPr>
        <w:t>方</w:t>
      </w:r>
      <w:r>
        <w:rPr>
          <w:rFonts w:hint="eastAsia" w:hAnsi="宋体"/>
          <w:sz w:val="24"/>
          <w:szCs w:val="24"/>
        </w:rPr>
        <w:t>开具</w:t>
      </w:r>
      <w:r>
        <w:rPr>
          <w:rFonts w:hint="eastAsia" w:hAnsi="宋体"/>
          <w:sz w:val="24"/>
          <w:szCs w:val="24"/>
          <w:lang w:val="en-US" w:eastAsia="zh-CN"/>
        </w:rPr>
        <w:t>合同总金额的</w:t>
      </w:r>
      <w:r>
        <w:rPr>
          <w:rFonts w:hint="eastAsia" w:hAnsi="宋体"/>
          <w:sz w:val="24"/>
          <w:szCs w:val="24"/>
        </w:rPr>
        <w:t>增值税专用发票到招标人财务挂账，挂账后次月</w:t>
      </w:r>
      <w:r>
        <w:rPr>
          <w:rFonts w:hint="eastAsia" w:hAnsi="宋体"/>
          <w:sz w:val="24"/>
          <w:szCs w:val="24"/>
          <w:lang w:val="en-US" w:eastAsia="zh-CN"/>
        </w:rPr>
        <w:t>付款</w:t>
      </w:r>
      <w:r>
        <w:rPr>
          <w:rFonts w:hint="eastAsia" w:hAnsi="宋体"/>
          <w:sz w:val="24"/>
          <w:szCs w:val="24"/>
        </w:rPr>
        <w:t>。</w:t>
      </w:r>
    </w:p>
    <w:p w14:paraId="4C9AB7F4">
      <w:pPr>
        <w:pStyle w:val="76"/>
        <w:adjustRightInd w:val="0"/>
        <w:snapToGrid w:val="0"/>
        <w:rPr>
          <w:rFonts w:hAnsi="宋体"/>
          <w:b/>
          <w:bCs/>
          <w:sz w:val="24"/>
          <w:szCs w:val="24"/>
        </w:rPr>
      </w:pPr>
      <w:r>
        <w:rPr>
          <w:rFonts w:hint="eastAsia" w:hAnsi="宋体"/>
          <w:b/>
          <w:bCs/>
          <w:sz w:val="24"/>
          <w:szCs w:val="24"/>
        </w:rPr>
        <w:t>付款方式及节点不允许偏离。</w:t>
      </w:r>
    </w:p>
    <w:p w14:paraId="1552DECA">
      <w:pPr>
        <w:pStyle w:val="72"/>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1"/>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6"/>
        <w:spacing w:before="0" w:after="0" w:line="240" w:lineRule="atLeast"/>
        <w:jc w:val="center"/>
        <w:rPr>
          <w:rFonts w:hint="eastAsia" w:ascii="楷体_GB2312" w:eastAsia="楷体_GB2312"/>
          <w:sz w:val="40"/>
          <w:szCs w:val="36"/>
          <w:lang w:val="en-US" w:eastAsia="zh-CN"/>
        </w:rPr>
      </w:pPr>
      <w:r>
        <w:rPr>
          <w:rFonts w:hint="eastAsia" w:ascii="楷体_GB2312" w:hAnsi="Times New Roman" w:eastAsia="楷体_GB2312" w:cs="Times New Roman"/>
          <w:sz w:val="40"/>
          <w:szCs w:val="36"/>
          <w:lang w:val="en-US" w:eastAsia="zh-CN"/>
        </w:rPr>
        <w:t>电机年度外委维修项目技术要</w:t>
      </w:r>
      <w:r>
        <w:rPr>
          <w:rFonts w:hint="eastAsia" w:ascii="楷体_GB2312" w:eastAsia="楷体_GB2312"/>
          <w:sz w:val="40"/>
          <w:szCs w:val="36"/>
          <w:lang w:val="en-US" w:eastAsia="zh-CN"/>
        </w:rPr>
        <w:t>求</w:t>
      </w:r>
    </w:p>
    <w:p w14:paraId="6A2B0E81">
      <w:pPr>
        <w:rPr>
          <w:rFonts w:hint="default" w:ascii="宋体" w:hAnsi="宋体" w:eastAsia="宋体" w:cs="Times New Roman"/>
          <w:kern w:val="2"/>
          <w:sz w:val="24"/>
          <w:szCs w:val="24"/>
          <w:lang w:val="en-US" w:eastAsia="zh-CN" w:bidi="ar-SA"/>
        </w:rPr>
      </w:pPr>
    </w:p>
    <w:p w14:paraId="29F3E904">
      <w:pPr>
        <w:pStyle w:val="13"/>
        <w:spacing w:line="240" w:lineRule="auto"/>
        <w:ind w:firstLine="480" w:firstLineChars="200"/>
        <w:rPr>
          <w:rFonts w:hint="default"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我公司电机品牌和规格较多，经常出现电机故障，为提高电机维修效率，通过签定开口维修合同的方式，实现快速修复电机的目的。</w:t>
      </w:r>
    </w:p>
    <w:p w14:paraId="6A552DE0">
      <w:pPr>
        <w:pStyle w:val="72"/>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b/>
          <w:bCs/>
          <w:kern w:val="2"/>
          <w:sz w:val="24"/>
          <w:szCs w:val="24"/>
          <w:lang w:val="en-US" w:eastAsia="zh-CN" w:bidi="ar-SA"/>
        </w:rPr>
        <w:t>1.</w:t>
      </w:r>
      <w:r>
        <w:rPr>
          <w:rFonts w:hint="eastAsia" w:ascii="宋体" w:hAnsi="宋体" w:eastAsia="宋体" w:cs="Times New Roman"/>
          <w:sz w:val="24"/>
          <w:szCs w:val="24"/>
          <w:lang w:val="en-US" w:eastAsia="zh-CN"/>
        </w:rPr>
        <w:t>范围</w:t>
      </w:r>
    </w:p>
    <w:p w14:paraId="795A1602">
      <w:pPr>
        <w:pStyle w:val="72"/>
        <w:numPr>
          <w:ilvl w:val="0"/>
          <w:numId w:val="0"/>
        </w:numPr>
        <w:adjustRightInd w:val="0"/>
        <w:snapToGrid w:val="0"/>
        <w:ind w:firstLine="720" w:firstLineChars="300"/>
        <w:jc w:val="left"/>
        <w:outlineLvl w:val="9"/>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按维修报价表进行报价。</w:t>
      </w:r>
    </w:p>
    <w:p w14:paraId="42486A82">
      <w:pPr>
        <w:pStyle w:val="72"/>
        <w:numPr>
          <w:ilvl w:val="0"/>
          <w:numId w:val="0"/>
        </w:numPr>
        <w:adjustRightInd w:val="0"/>
        <w:snapToGrid w:val="0"/>
        <w:ind w:leftChars="0"/>
        <w:jc w:val="left"/>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2．维修服务</w:t>
      </w:r>
    </w:p>
    <w:p w14:paraId="4BD9E4BB">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2.1当维修业务发生时，供方应在接到需方通知后6小时内到需方现场取回维修品，修复时间根据电机复杂和严重性而定1-5个工作日。</w:t>
      </w:r>
    </w:p>
    <w:p w14:paraId="51006885">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2.2旧线圈折算至成本内，在报价中需要明确。</w:t>
      </w:r>
    </w:p>
    <w:p w14:paraId="601782F0">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2.3 当维修品不能维修时，供方不收取任何运费、检测费、维修费、配件费等。</w:t>
      </w:r>
    </w:p>
    <w:p w14:paraId="2318C515">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2.4 供方提供24小时维修品紧急维修服务。</w:t>
      </w:r>
    </w:p>
    <w:p w14:paraId="482B5763">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2.5 供方完成维修后，需进行检测试运行，保证维修品修好后测试运行无问题再交给需方。</w:t>
      </w:r>
    </w:p>
    <w:p w14:paraId="62EF4C0C">
      <w:pPr>
        <w:pStyle w:val="72"/>
        <w:numPr>
          <w:ilvl w:val="0"/>
          <w:numId w:val="0"/>
        </w:numPr>
        <w:adjustRightInd w:val="0"/>
        <w:snapToGrid w:val="0"/>
        <w:ind w:leftChars="0"/>
        <w:jc w:val="left"/>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3．质量保证期</w:t>
      </w:r>
    </w:p>
    <w:p w14:paraId="217EEE70">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3.1质量保证期限为最终验收报告签署之日（以签署日期最晚者为准）起六个月。</w:t>
      </w:r>
    </w:p>
    <w:p w14:paraId="033ED08A">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3.2若在质量保证期内该设备出现质量问题，乙方须应根据甲方的要求在 2 小时内答复或24 小时内派员现场服务，费用由乙方承担。甲方有权从质量保证金中扣除相应费用，若质量保证金不足以补偿甲方因此所受到的损失，乙方须向甲方赔偿差额部分。质量保证期在重新维修验收合格后延长半年。</w:t>
      </w:r>
    </w:p>
    <w:p w14:paraId="3D849D0F">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3.3如果乙方不能满足质量要求而被委托责令返工超过两次，甲方有权终止本合同，乙方承担违约责任。</w:t>
      </w:r>
    </w:p>
    <w:p w14:paraId="7F98BA01">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4．货物运输</w:t>
      </w:r>
    </w:p>
    <w:p w14:paraId="70BA77FB">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4.1 由供方免费取送货，如果选择快递运输，来回运费均由供方负责。</w:t>
      </w:r>
    </w:p>
    <w:p w14:paraId="63C7A6D9">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4.2乙方派送到甲方运取设备人员（以下称“取货人”）需提供乙方法定代表人授权书、取货人身份证复印件，并遵守甲方出入厂的规定。乙方授权的取货人的行为视同乙方的行为，乙方应对该人员的行为承担全部法律责任。 </w:t>
      </w:r>
    </w:p>
    <w:p w14:paraId="243F017D">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4.3 乙方现场对设备情况予以确认，有异议及时提出，乙方一旦接收，则视为甲方的设备符合乙方确认的维修状态，并适合运输，以后所发现的设备部件缺失等情况由乙方负责补齐。</w:t>
      </w:r>
    </w:p>
    <w:p w14:paraId="29FE9548">
      <w:pPr>
        <w:pStyle w:val="76"/>
        <w:numPr>
          <w:ilvl w:val="0"/>
          <w:numId w:val="0"/>
        </w:numPr>
        <w:adjustRightInd w:val="0"/>
        <w:snapToGrid w:val="0"/>
        <w:ind w:leftChars="0"/>
        <w:rPr>
          <w:rFonts w:hint="eastAsia" w:ascii="宋体" w:hAnsi="宋体" w:eastAsia="宋体" w:cs="Times New Roman"/>
          <w:b/>
          <w:bCs/>
          <w:kern w:val="2"/>
          <w:sz w:val="24"/>
          <w:szCs w:val="24"/>
          <w:lang w:val="en-US" w:eastAsia="zh-CN" w:bidi="ar-SA"/>
        </w:rPr>
      </w:pPr>
      <w:r>
        <w:rPr>
          <w:rFonts w:hint="eastAsia" w:hAnsi="宋体" w:cs="Times New Roman"/>
          <w:sz w:val="24"/>
          <w:szCs w:val="24"/>
          <w:lang w:val="en-US" w:eastAsia="zh-CN"/>
        </w:rPr>
        <w:t xml:space="preserve">4.4 供方送货时必须提供送货单。乙方运输设备的包装应适于运输，并有良好的防潮、防锈和防野蛮装卸等保护措施，以确保产品在运输过程中不受损伤安全抵运现场。乙方应承担由于其包装、防护不妥而引起的产品锈蚀、损坏、丢失等任何损失的责任和费用。 </w:t>
      </w:r>
    </w:p>
    <w:p w14:paraId="7BA7C1AC">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5. 验收</w:t>
      </w:r>
    </w:p>
    <w:p w14:paraId="42F70BE6">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5.1 维修品维修好后交由需方，需方需及时上机测试，经一个月使用验证正常，需方需在一周内验收。</w:t>
      </w:r>
    </w:p>
    <w:p w14:paraId="10CCEDF9">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5.2维修后的电机必须符合 </w:t>
      </w:r>
      <w:r>
        <w:rPr>
          <w:rFonts w:hint="default" w:hAnsi="宋体" w:cs="Times New Roman"/>
          <w:sz w:val="24"/>
          <w:szCs w:val="24"/>
          <w:lang w:val="en-US" w:eastAsia="zh-CN"/>
        </w:rPr>
        <w:t xml:space="preserve">GB755-2019 </w:t>
      </w:r>
      <w:r>
        <w:rPr>
          <w:rFonts w:hint="eastAsia" w:hAnsi="宋体" w:cs="Times New Roman"/>
          <w:sz w:val="24"/>
          <w:szCs w:val="24"/>
          <w:lang w:val="en-US" w:eastAsia="zh-CN"/>
        </w:rPr>
        <w:t xml:space="preserve">或者 </w:t>
      </w:r>
      <w:r>
        <w:rPr>
          <w:rFonts w:hint="default" w:hAnsi="宋体" w:cs="Times New Roman"/>
          <w:sz w:val="24"/>
          <w:szCs w:val="24"/>
          <w:lang w:val="en-US" w:eastAsia="zh-CN"/>
        </w:rPr>
        <w:t xml:space="preserve">IEC60064-1:2017 </w:t>
      </w:r>
      <w:r>
        <w:rPr>
          <w:rFonts w:hint="eastAsia" w:hAnsi="宋体" w:cs="Times New Roman"/>
          <w:sz w:val="24"/>
          <w:szCs w:val="24"/>
          <w:lang w:val="en-US" w:eastAsia="zh-CN"/>
        </w:rPr>
        <w:t xml:space="preserve">规定要求，验收合格后方可办理入库手续。 </w:t>
      </w:r>
    </w:p>
    <w:p w14:paraId="3D588979">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5.3维修后的电机必须做喷涂处理。外观必须符合 </w:t>
      </w:r>
      <w:r>
        <w:rPr>
          <w:rFonts w:hint="default" w:hAnsi="宋体" w:cs="Times New Roman"/>
          <w:sz w:val="24"/>
          <w:szCs w:val="24"/>
          <w:lang w:val="en-US" w:eastAsia="zh-CN"/>
        </w:rPr>
        <w:t xml:space="preserve">GB755-2019 </w:t>
      </w:r>
      <w:r>
        <w:rPr>
          <w:rFonts w:hint="eastAsia" w:hAnsi="宋体" w:cs="Times New Roman"/>
          <w:sz w:val="24"/>
          <w:szCs w:val="24"/>
          <w:lang w:val="en-US" w:eastAsia="zh-CN"/>
        </w:rPr>
        <w:t xml:space="preserve">或者 </w:t>
      </w:r>
      <w:r>
        <w:rPr>
          <w:rFonts w:hint="default" w:hAnsi="宋体" w:cs="Times New Roman"/>
          <w:sz w:val="24"/>
          <w:szCs w:val="24"/>
          <w:lang w:val="en-US" w:eastAsia="zh-CN"/>
        </w:rPr>
        <w:t xml:space="preserve">IEC60064-1:2017 </w:t>
      </w:r>
      <w:r>
        <w:rPr>
          <w:rFonts w:hint="eastAsia" w:hAnsi="宋体" w:cs="Times New Roman"/>
          <w:sz w:val="24"/>
          <w:szCs w:val="24"/>
          <w:lang w:val="en-US" w:eastAsia="zh-CN"/>
        </w:rPr>
        <w:t>规定要求，无掉漆、变形、缺件等明显不合格现象，螺栓、接线盒、吊环、风扇、护罩以及散热片等齐全、完整、牢固，转动轴灵活转动，无弯曲、无磕碰等。</w:t>
      </w:r>
    </w:p>
    <w:p w14:paraId="228DED1C">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5.4测试电压： 维修电机检测时将三项电压调整至 </w:t>
      </w:r>
      <w:r>
        <w:rPr>
          <w:rFonts w:hint="default" w:hAnsi="宋体" w:cs="Times New Roman"/>
          <w:sz w:val="24"/>
          <w:szCs w:val="24"/>
          <w:lang w:val="en-US" w:eastAsia="zh-CN"/>
        </w:rPr>
        <w:t>380</w:t>
      </w:r>
      <w:r>
        <w:rPr>
          <w:rFonts w:hint="eastAsia" w:hAnsi="宋体" w:cs="Times New Roman"/>
          <w:sz w:val="24"/>
          <w:szCs w:val="24"/>
          <w:lang w:val="en-US" w:eastAsia="zh-CN"/>
        </w:rPr>
        <w:t>±5 伏。</w:t>
      </w:r>
    </w:p>
    <w:p w14:paraId="78E7D561">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5.5对地绝缘： 在冷态下，外出维修的电机绕组线圈对地绝缘不小于 </w:t>
      </w:r>
      <w:r>
        <w:rPr>
          <w:rFonts w:hint="default" w:hAnsi="宋体" w:cs="Times New Roman"/>
          <w:sz w:val="24"/>
          <w:szCs w:val="24"/>
          <w:lang w:val="en-US" w:eastAsia="zh-CN"/>
        </w:rPr>
        <w:t>0.5MΩ</w:t>
      </w:r>
      <w:r>
        <w:rPr>
          <w:rFonts w:hint="eastAsia" w:hAnsi="宋体" w:cs="Times New Roman"/>
          <w:sz w:val="24"/>
          <w:szCs w:val="24"/>
          <w:lang w:val="en-US" w:eastAsia="zh-CN"/>
        </w:rPr>
        <w:t xml:space="preserve">；在 热 态 下 ， 外出维修的电机绕组线圈对地绝缘不小于 </w:t>
      </w:r>
      <w:r>
        <w:rPr>
          <w:rFonts w:hint="default" w:hAnsi="宋体" w:cs="Times New Roman"/>
          <w:sz w:val="24"/>
          <w:szCs w:val="24"/>
          <w:lang w:val="en-US" w:eastAsia="zh-CN"/>
        </w:rPr>
        <w:t>0.38MΩ</w:t>
      </w:r>
      <w:r>
        <w:rPr>
          <w:rFonts w:hint="eastAsia" w:hAnsi="宋体" w:cs="Times New Roman"/>
          <w:sz w:val="24"/>
          <w:szCs w:val="24"/>
          <w:lang w:val="en-US" w:eastAsia="zh-CN"/>
        </w:rPr>
        <w:t>（</w:t>
      </w:r>
      <w:r>
        <w:rPr>
          <w:rFonts w:hint="default" w:hAnsi="宋体" w:cs="Times New Roman"/>
          <w:sz w:val="24"/>
          <w:szCs w:val="24"/>
          <w:lang w:val="en-US" w:eastAsia="zh-CN"/>
        </w:rPr>
        <w:t>JB/T10391-2008</w:t>
      </w:r>
      <w:r>
        <w:rPr>
          <w:rFonts w:hint="eastAsia" w:hAnsi="宋体" w:cs="Times New Roman"/>
          <w:sz w:val="24"/>
          <w:szCs w:val="24"/>
          <w:lang w:val="en-US" w:eastAsia="zh-CN"/>
        </w:rPr>
        <w:t xml:space="preserve">）。 </w:t>
      </w:r>
    </w:p>
    <w:p w14:paraId="7493B998">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5.6绕组直流阻值：各线端间的电阻值与三个线端电阻的平均值之差，对星形接法的绕组，不大于平均值的</w:t>
      </w:r>
      <w:r>
        <w:rPr>
          <w:rFonts w:hint="default" w:hAnsi="宋体" w:cs="Times New Roman"/>
          <w:sz w:val="24"/>
          <w:szCs w:val="24"/>
          <w:lang w:val="en-US" w:eastAsia="zh-CN"/>
        </w:rPr>
        <w:t>2%,</w:t>
      </w:r>
      <w:r>
        <w:rPr>
          <w:rFonts w:hint="eastAsia" w:hAnsi="宋体" w:cs="Times New Roman"/>
          <w:sz w:val="24"/>
          <w:szCs w:val="24"/>
          <w:lang w:val="en-US" w:eastAsia="zh-CN"/>
        </w:rPr>
        <w:t>对三角形接法的绕组，不大于平均值的</w:t>
      </w:r>
      <w:r>
        <w:rPr>
          <w:rFonts w:hint="default" w:hAnsi="宋体" w:cs="Times New Roman"/>
          <w:sz w:val="24"/>
          <w:szCs w:val="24"/>
          <w:lang w:val="en-US" w:eastAsia="zh-CN"/>
        </w:rPr>
        <w:t>1.5%(GB/T1032-2012)</w:t>
      </w:r>
      <w:r>
        <w:rPr>
          <w:rFonts w:hint="eastAsia" w:hAnsi="宋体" w:cs="Times New Roman"/>
          <w:sz w:val="24"/>
          <w:szCs w:val="24"/>
          <w:lang w:val="en-US" w:eastAsia="zh-CN"/>
        </w:rPr>
        <w:t xml:space="preserve">。 </w:t>
      </w:r>
    </w:p>
    <w:p w14:paraId="0DAEDD9E">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5.7三相空载电流：做空载试验时，任意一相的空载电流与三相电流平均值的偏差应小于三相电流平均值的</w:t>
      </w:r>
      <w:r>
        <w:rPr>
          <w:rFonts w:hint="default" w:hAnsi="宋体" w:cs="Times New Roman"/>
          <w:sz w:val="24"/>
          <w:szCs w:val="24"/>
          <w:lang w:val="en-US" w:eastAsia="zh-CN"/>
        </w:rPr>
        <w:t>10%(JB/T10391-2008)</w:t>
      </w:r>
      <w:r>
        <w:rPr>
          <w:rFonts w:hint="eastAsia" w:hAnsi="宋体" w:cs="Times New Roman"/>
          <w:sz w:val="24"/>
          <w:szCs w:val="24"/>
          <w:lang w:val="en-US" w:eastAsia="zh-CN"/>
        </w:rPr>
        <w:t xml:space="preserve">。 </w:t>
      </w:r>
    </w:p>
    <w:p w14:paraId="41FE5737">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5.8空载运转情况：运转声音平和、无杂音，运转中转动平稳，无明显震动（</w:t>
      </w:r>
      <w:r>
        <w:rPr>
          <w:rFonts w:hint="default" w:hAnsi="宋体" w:cs="Times New Roman"/>
          <w:sz w:val="24"/>
          <w:szCs w:val="24"/>
          <w:lang w:val="en-US" w:eastAsia="zh-CN"/>
        </w:rPr>
        <w:t>JB/T10391-2008</w:t>
      </w:r>
      <w:r>
        <w:rPr>
          <w:rFonts w:hint="eastAsia" w:hAnsi="宋体" w:cs="Times New Roman"/>
          <w:sz w:val="24"/>
          <w:szCs w:val="24"/>
          <w:lang w:val="en-US" w:eastAsia="zh-CN"/>
        </w:rPr>
        <w:t>）。</w:t>
      </w:r>
    </w:p>
    <w:p w14:paraId="28F672DB">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项目实施完毕情况下，一般连续运行30天，每天至少连续 6 小时，除甲方方面因素外，必须达到以下要求：</w:t>
      </w:r>
    </w:p>
    <w:p w14:paraId="0CE1FF96">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a)在整个验收过程中没有维修、更换零部件或元件行为；</w:t>
      </w:r>
    </w:p>
    <w:p w14:paraId="5674CA93">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b)终验收原则上要求一次完成。若一次验收不成功，最多允许两次；</w:t>
      </w:r>
    </w:p>
    <w:p w14:paraId="19B801C0">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c）终验收通过后甲乙双方共同签署终验收报告。</w:t>
      </w:r>
    </w:p>
    <w:p w14:paraId="605B6658">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6. 环境、健康和安全方面要求</w:t>
      </w:r>
    </w:p>
    <w:p w14:paraId="3BAB3602">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6.1 供方应严格遵照《中华人民共和国安全生产法》、《中华人民共和国环境保护法》、《中华人民共和国职业病防治法》、《中华人员共和国消防法》及其他相关法规。</w:t>
      </w:r>
    </w:p>
    <w:p w14:paraId="480B8223">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6.2 不可抗力。任何一方由于不可抗力的原因不能履行合同时，应于1个工作日内向对方通报不能履行或不能完全履行的原因，在取得有关主管机关证明以后，双方另行协商履行期限或解除合同。</w:t>
      </w:r>
    </w:p>
    <w:p w14:paraId="4D91BE6D">
      <w:pPr>
        <w:pStyle w:val="76"/>
        <w:numPr>
          <w:ilvl w:val="0"/>
          <w:numId w:val="0"/>
        </w:numPr>
        <w:adjustRightInd w:val="0"/>
        <w:snapToGrid w:val="0"/>
        <w:ind w:leftChars="0"/>
        <w:rPr>
          <w:rFonts w:hint="default" w:hAnsi="宋体" w:cs="Times New Roman"/>
          <w:sz w:val="24"/>
          <w:szCs w:val="24"/>
          <w:lang w:val="en-US" w:eastAsia="zh-CN"/>
        </w:rPr>
      </w:pPr>
      <w:r>
        <w:rPr>
          <w:rFonts w:hint="eastAsia" w:hAnsi="宋体" w:cs="Times New Roman"/>
          <w:sz w:val="24"/>
          <w:szCs w:val="24"/>
          <w:lang w:val="en-US" w:eastAsia="zh-CN"/>
        </w:rPr>
        <w:t>6.3乙方人员在甲方现场进行施工时，须遵守甲方的规章制度，服从甲方指定人员的安排。按照要求签署《EHS相关方协议》。</w:t>
      </w:r>
    </w:p>
    <w:p w14:paraId="4D8C5FA9">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7.知识产权</w:t>
      </w:r>
    </w:p>
    <w:p w14:paraId="14360890">
      <w:pPr>
        <w:pStyle w:val="76"/>
        <w:numPr>
          <w:ilvl w:val="0"/>
          <w:numId w:val="0"/>
        </w:numPr>
        <w:adjustRightInd w:val="0"/>
        <w:snapToGrid w:val="0"/>
        <w:ind w:leftChars="0" w:firstLine="480" w:firstLineChars="200"/>
        <w:rPr>
          <w:rFonts w:hint="eastAsia" w:hAnsi="宋体" w:cs="Times New Roman"/>
          <w:sz w:val="24"/>
          <w:szCs w:val="24"/>
          <w:lang w:val="en-US" w:eastAsia="zh-CN"/>
        </w:rPr>
      </w:pPr>
      <w:r>
        <w:rPr>
          <w:rFonts w:hint="eastAsia" w:hAnsi="宋体" w:cs="Times New Roman"/>
          <w:sz w:val="24"/>
          <w:szCs w:val="24"/>
          <w:lang w:val="en-US" w:eastAsia="zh-CN"/>
        </w:rPr>
        <w:t>供方应当保证，其提供给需方的产品不存在侵犯任何第三方知识产权的情形；如果需方因此遭受任何损失，均由供方负责承担。</w:t>
      </w:r>
    </w:p>
    <w:p w14:paraId="669DC78E">
      <w:pPr>
        <w:snapToGrid w:val="0"/>
        <w:spacing w:line="360" w:lineRule="auto"/>
        <w:rPr>
          <w:rFonts w:ascii="宋体" w:hAnsi="宋体" w:cs="黑体"/>
          <w:bCs/>
          <w:sz w:val="24"/>
          <w:szCs w:val="24"/>
        </w:rPr>
      </w:pPr>
    </w:p>
    <w:p w14:paraId="2F8B631E">
      <w:pPr>
        <w:snapToGrid w:val="0"/>
        <w:spacing w:line="360" w:lineRule="auto"/>
        <w:rPr>
          <w:rFonts w:ascii="宋体" w:hAnsi="宋体"/>
          <w:sz w:val="24"/>
          <w:szCs w:val="24"/>
        </w:rPr>
      </w:pPr>
      <w:bookmarkStart w:id="13"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14" w:name="_Toc16500"/>
      <w:r>
        <w:rPr>
          <w:rFonts w:ascii="宋体" w:hAnsi="宋体"/>
          <w:sz w:val="24"/>
          <w:szCs w:val="24"/>
        </w:rPr>
        <w:br w:type="page"/>
      </w:r>
    </w:p>
    <w:p w14:paraId="5C43EABE">
      <w:pPr>
        <w:pStyle w:val="71"/>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F89E6A8">
      <w:pPr>
        <w:pStyle w:val="15"/>
        <w:adjustRightInd w:val="0"/>
        <w:snapToGrid w:val="0"/>
        <w:spacing w:line="360" w:lineRule="auto"/>
        <w:jc w:val="left"/>
        <w:rPr>
          <w:rFonts w:hAnsi="宋体"/>
          <w:sz w:val="24"/>
          <w:szCs w:val="24"/>
        </w:rPr>
      </w:pPr>
    </w:p>
    <w:p w14:paraId="3FE42B5F">
      <w:pPr>
        <w:pStyle w:val="72"/>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电机年度外委维修项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rPr>
        <w:t>电机年度外委维修</w:t>
      </w:r>
      <w:r>
        <w:rPr>
          <w:rFonts w:hint="eastAsia" w:ascii="宋体" w:hAnsi="宋体"/>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2"/>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2"/>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rPr>
        <w:t>电机年度外委维修项目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6"/>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9EEAF1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2"/>
        <w:adjustRightInd w:val="0"/>
        <w:snapToGrid w:val="0"/>
        <w:spacing w:line="360" w:lineRule="auto"/>
        <w:jc w:val="left"/>
        <w:rPr>
          <w:rFonts w:ascii="宋体" w:hAnsi="宋体" w:eastAsia="宋体"/>
          <w:sz w:val="24"/>
          <w:szCs w:val="24"/>
        </w:rPr>
      </w:pPr>
    </w:p>
    <w:p w14:paraId="2E52BA70">
      <w:pPr>
        <w:pStyle w:val="76"/>
        <w:adjustRightInd w:val="0"/>
        <w:snapToGrid w:val="0"/>
        <w:rPr>
          <w:rFonts w:hAnsi="宋体"/>
          <w:sz w:val="24"/>
          <w:szCs w:val="24"/>
        </w:rPr>
      </w:pPr>
    </w:p>
    <w:p w14:paraId="479EC3BF">
      <w:pPr>
        <w:pStyle w:val="76"/>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附件6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5"/>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5"/>
        <w:adjustRightInd w:val="0"/>
        <w:snapToGrid w:val="0"/>
        <w:spacing w:line="360" w:lineRule="auto"/>
        <w:jc w:val="left"/>
        <w:rPr>
          <w:rFonts w:hAnsi="宋体"/>
          <w:sz w:val="24"/>
          <w:szCs w:val="24"/>
        </w:rPr>
      </w:pPr>
    </w:p>
    <w:p w14:paraId="35C094B9">
      <w:pPr>
        <w:pStyle w:val="15"/>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6"/>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19"/>
      <w:framePr w:wrap="around" w:vAnchor="text" w:hAnchor="margin" w:xAlign="center" w:y="1"/>
      <w:rPr>
        <w:rStyle w:val="35"/>
      </w:rPr>
    </w:pPr>
    <w:r>
      <w:fldChar w:fldCharType="begin"/>
    </w:r>
    <w:r>
      <w:rPr>
        <w:rStyle w:val="35"/>
      </w:rPr>
      <w:instrText xml:space="preserve">PAGE  </w:instrText>
    </w:r>
    <w:r>
      <w:fldChar w:fldCharType="end"/>
    </w:r>
  </w:p>
  <w:p w14:paraId="4E3581D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8"/>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2"/>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1"/>
  </w:num>
  <w:num w:numId="3">
    <w:abstractNumId w:val="27"/>
  </w:num>
  <w:num w:numId="4">
    <w:abstractNumId w:val="25"/>
  </w:num>
  <w:num w:numId="5">
    <w:abstractNumId w:val="6"/>
  </w:num>
  <w:num w:numId="6">
    <w:abstractNumId w:val="9"/>
  </w:num>
  <w:num w:numId="7">
    <w:abstractNumId w:val="11"/>
  </w:num>
  <w:num w:numId="8">
    <w:abstractNumId w:val="26"/>
  </w:num>
  <w:num w:numId="9">
    <w:abstractNumId w:val="28"/>
  </w:num>
  <w:num w:numId="10">
    <w:abstractNumId w:val="24"/>
  </w:num>
  <w:num w:numId="11">
    <w:abstractNumId w:val="7"/>
  </w:num>
  <w:num w:numId="12">
    <w:abstractNumId w:val="20"/>
  </w:num>
  <w:num w:numId="13">
    <w:abstractNumId w:val="21"/>
  </w:num>
  <w:num w:numId="14">
    <w:abstractNumId w:val="3"/>
  </w:num>
  <w:num w:numId="15">
    <w:abstractNumId w:val="5"/>
  </w:num>
  <w:num w:numId="16">
    <w:abstractNumId w:val="1"/>
  </w:num>
  <w:num w:numId="17">
    <w:abstractNumId w:val="30"/>
  </w:num>
  <w:num w:numId="18">
    <w:abstractNumId w:val="18"/>
  </w:num>
  <w:num w:numId="19">
    <w:abstractNumId w:val="10"/>
  </w:num>
  <w:num w:numId="20">
    <w:abstractNumId w:val="23"/>
  </w:num>
  <w:num w:numId="21">
    <w:abstractNumId w:val="4"/>
  </w:num>
  <w:num w:numId="22">
    <w:abstractNumId w:val="13"/>
  </w:num>
  <w:num w:numId="23">
    <w:abstractNumId w:val="8"/>
  </w:num>
  <w:num w:numId="24">
    <w:abstractNumId w:val="29"/>
  </w:num>
  <w:num w:numId="25">
    <w:abstractNumId w:val="17"/>
  </w:num>
  <w:num w:numId="26">
    <w:abstractNumId w:val="32"/>
  </w:num>
  <w:num w:numId="27">
    <w:abstractNumId w:val="0"/>
  </w:num>
  <w:num w:numId="28">
    <w:abstractNumId w:val="14"/>
  </w:num>
  <w:num w:numId="29">
    <w:abstractNumId w:val="15"/>
  </w:num>
  <w:num w:numId="30">
    <w:abstractNumId w:val="16"/>
  </w:num>
  <w:num w:numId="31">
    <w:abstractNumId w:val="19"/>
  </w:num>
  <w:num w:numId="32">
    <w:abstractNumId w:val="12"/>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2943A3"/>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4467A1"/>
    <w:rsid w:val="216A63C8"/>
    <w:rsid w:val="21CB3FEF"/>
    <w:rsid w:val="21F50ADF"/>
    <w:rsid w:val="226A2E83"/>
    <w:rsid w:val="227640E7"/>
    <w:rsid w:val="227F2CA6"/>
    <w:rsid w:val="22C5630B"/>
    <w:rsid w:val="23567554"/>
    <w:rsid w:val="235F43AF"/>
    <w:rsid w:val="23EC0BA6"/>
    <w:rsid w:val="24701A48"/>
    <w:rsid w:val="25B85291"/>
    <w:rsid w:val="25EC6AF8"/>
    <w:rsid w:val="268B0052"/>
    <w:rsid w:val="26CF6817"/>
    <w:rsid w:val="27743C90"/>
    <w:rsid w:val="279579D9"/>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86B238A"/>
    <w:rsid w:val="38CF41CC"/>
    <w:rsid w:val="39322FCA"/>
    <w:rsid w:val="395C1BFB"/>
    <w:rsid w:val="3A02248D"/>
    <w:rsid w:val="3A503E1E"/>
    <w:rsid w:val="3AB90991"/>
    <w:rsid w:val="3B706131"/>
    <w:rsid w:val="3BA020F4"/>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8502A9F"/>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4E12EC"/>
    <w:rsid w:val="616D6769"/>
    <w:rsid w:val="629E3C71"/>
    <w:rsid w:val="63F04A69"/>
    <w:rsid w:val="646A3D0C"/>
    <w:rsid w:val="64713DD8"/>
    <w:rsid w:val="64A82747"/>
    <w:rsid w:val="65336B29"/>
    <w:rsid w:val="65AA5B01"/>
    <w:rsid w:val="66A50B1E"/>
    <w:rsid w:val="67095CF1"/>
    <w:rsid w:val="674E3DF4"/>
    <w:rsid w:val="67B2063C"/>
    <w:rsid w:val="67C97AC3"/>
    <w:rsid w:val="67E30EC1"/>
    <w:rsid w:val="68236767"/>
    <w:rsid w:val="6A4E3B2B"/>
    <w:rsid w:val="6A881455"/>
    <w:rsid w:val="6AC838A9"/>
    <w:rsid w:val="6B481C3B"/>
    <w:rsid w:val="6B875383"/>
    <w:rsid w:val="6B914DF2"/>
    <w:rsid w:val="6BBD7F47"/>
    <w:rsid w:val="6C1331A3"/>
    <w:rsid w:val="6C765676"/>
    <w:rsid w:val="6CA84BC1"/>
    <w:rsid w:val="6D170ADE"/>
    <w:rsid w:val="6D3E4756"/>
    <w:rsid w:val="6E891568"/>
    <w:rsid w:val="6F410CC0"/>
    <w:rsid w:val="6FC523EB"/>
    <w:rsid w:val="6FE22646"/>
    <w:rsid w:val="70825D63"/>
    <w:rsid w:val="71F00129"/>
    <w:rsid w:val="71FE41EB"/>
    <w:rsid w:val="72895F2E"/>
    <w:rsid w:val="72C02EBE"/>
    <w:rsid w:val="72C507AD"/>
    <w:rsid w:val="72D028D8"/>
    <w:rsid w:val="745D47C3"/>
    <w:rsid w:val="750F0599"/>
    <w:rsid w:val="751B1584"/>
    <w:rsid w:val="75341FA7"/>
    <w:rsid w:val="75FC0A1E"/>
    <w:rsid w:val="764F7753"/>
    <w:rsid w:val="76AC3757"/>
    <w:rsid w:val="77D4005C"/>
    <w:rsid w:val="78292927"/>
    <w:rsid w:val="78E42452"/>
    <w:rsid w:val="7A670924"/>
    <w:rsid w:val="7A6D6EE3"/>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4">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111"/>
    <w:semiHidden/>
    <w:qFormat/>
    <w:uiPriority w:val="0"/>
    <w:pPr>
      <w:keepNext/>
      <w:keepLines/>
      <w:spacing w:line="416" w:lineRule="auto"/>
      <w:outlineLvl w:val="2"/>
    </w:pPr>
    <w:rPr>
      <w:b/>
      <w:bCs/>
      <w:sz w:val="32"/>
      <w:szCs w:val="32"/>
    </w:rPr>
  </w:style>
  <w:style w:type="paragraph" w:styleId="7">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8">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2"/>
    <w:semiHidden/>
    <w:qFormat/>
    <w:uiPriority w:val="98"/>
    <w:rPr>
      <w:rFonts w:ascii="仿宋_GB2312" w:eastAsia="仿宋_GB2312"/>
      <w:sz w:val="32"/>
    </w:rPr>
  </w:style>
  <w:style w:type="paragraph" w:customStyle="1" w:styleId="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9">
    <w:name w:val="E-mail Signature"/>
    <w:basedOn w:val="1"/>
    <w:link w:val="104"/>
    <w:semiHidden/>
    <w:qFormat/>
    <w:uiPriority w:val="99"/>
    <w:pPr>
      <w:spacing w:after="200" w:line="276" w:lineRule="auto"/>
      <w:jc w:val="left"/>
    </w:pPr>
    <w:rPr>
      <w:rFonts w:ascii="Calibri" w:hAnsi="Calibri"/>
      <w:kern w:val="0"/>
      <w:szCs w:val="21"/>
    </w:rPr>
  </w:style>
  <w:style w:type="paragraph" w:styleId="10">
    <w:name w:val="caption"/>
    <w:basedOn w:val="1"/>
    <w:next w:val="1"/>
    <w:semiHidden/>
    <w:qFormat/>
    <w:uiPriority w:val="98"/>
    <w:pPr>
      <w:spacing w:before="152" w:after="160"/>
    </w:pPr>
    <w:rPr>
      <w:rFonts w:ascii="Arial" w:hAnsi="Arial" w:eastAsia="黑体" w:cs="Arial"/>
      <w:sz w:val="20"/>
    </w:rPr>
  </w:style>
  <w:style w:type="paragraph" w:styleId="11">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2">
    <w:name w:val="annotation text"/>
    <w:basedOn w:val="1"/>
    <w:link w:val="46"/>
    <w:qFormat/>
    <w:uiPriority w:val="99"/>
    <w:pPr>
      <w:jc w:val="left"/>
    </w:pPr>
  </w:style>
  <w:style w:type="paragraph" w:styleId="13">
    <w:name w:val="Body Text Indent"/>
    <w:basedOn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2"/>
    <w:next w:val="12"/>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2"/>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4"/>
    <w:semiHidden/>
    <w:qFormat/>
    <w:uiPriority w:val="0"/>
    <w:rPr>
      <w:b/>
      <w:bCs/>
      <w:kern w:val="44"/>
      <w:sz w:val="44"/>
      <w:szCs w:val="44"/>
    </w:rPr>
  </w:style>
  <w:style w:type="paragraph" w:customStyle="1" w:styleId="68">
    <w:name w:val="TOC 标题1"/>
    <w:basedOn w:val="4"/>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7"/>
    <w:semiHidden/>
    <w:qFormat/>
    <w:uiPriority w:val="0"/>
    <w:rPr>
      <w:rFonts w:ascii="Arial" w:hAnsi="Arial"/>
      <w:b/>
      <w:bCs/>
      <w:kern w:val="2"/>
      <w:sz w:val="21"/>
      <w:szCs w:val="28"/>
    </w:rPr>
  </w:style>
  <w:style w:type="character" w:customStyle="1" w:styleId="78">
    <w:name w:val="标题 5 字符"/>
    <w:basedOn w:val="33"/>
    <w:link w:val="8"/>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字符1"/>
    <w:link w:val="5"/>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4"/>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11"/>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不明显强调1"/>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9"/>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character" w:customStyle="1" w:styleId="111">
    <w:name w:val="标题 3 字符1"/>
    <w:link w:val="6"/>
    <w:qFormat/>
    <w:uiPriority w:val="0"/>
    <w:rPr>
      <w:b/>
      <w:sz w:val="32"/>
    </w:rPr>
  </w:style>
  <w:style w:type="paragraph" w:customStyle="1" w:styleId="112">
    <w:name w:val="Table Paragraph"/>
    <w:basedOn w:val="1"/>
    <w:qFormat/>
    <w:uiPriority w:val="1"/>
    <w:rPr>
      <w:rFonts w:ascii="宋体" w:hAnsi="宋体" w:cs="宋体"/>
    </w:rPr>
  </w:style>
  <w:style w:type="table" w:customStyle="1" w:styleId="113">
    <w:name w:val="Table Normal"/>
    <w:qFormat/>
    <w:uiPriority w:val="0"/>
    <w:tblPr>
      <w:tblCellMar>
        <w:top w:w="0" w:type="dxa"/>
        <w:left w:w="0" w:type="dxa"/>
        <w:bottom w:w="0" w:type="dxa"/>
        <w:right w:w="0" w:type="dxa"/>
      </w:tblCellMar>
    </w:tblPr>
  </w:style>
  <w:style w:type="paragraph" w:styleId="114">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5">
    <w:name w:val="font31"/>
    <w:basedOn w:val="33"/>
    <w:qFormat/>
    <w:uiPriority w:val="0"/>
    <w:rPr>
      <w:rFonts w:hint="eastAsia" w:ascii="宋体" w:hAnsi="宋体" w:eastAsia="宋体" w:cs="宋体"/>
      <w:color w:val="0F1115"/>
      <w:sz w:val="22"/>
      <w:szCs w:val="22"/>
      <w:u w:val="none"/>
    </w:rPr>
  </w:style>
  <w:style w:type="character" w:customStyle="1" w:styleId="116">
    <w:name w:val="font21"/>
    <w:basedOn w:val="33"/>
    <w:qFormat/>
    <w:uiPriority w:val="0"/>
    <w:rPr>
      <w:rFonts w:ascii="Segoe UI" w:hAnsi="Segoe UI" w:eastAsia="Segoe UI" w:cs="Segoe UI"/>
      <w:color w:val="0F1115"/>
      <w:sz w:val="22"/>
      <w:szCs w:val="22"/>
      <w:u w:val="none"/>
    </w:rPr>
  </w:style>
  <w:style w:type="paragraph" w:customStyle="1" w:styleId="117">
    <w:name w:val="一级条标题"/>
    <w:basedOn w:val="118"/>
    <w:next w:val="119"/>
    <w:qFormat/>
    <w:uiPriority w:val="0"/>
    <w:pPr>
      <w:ind w:hanging="840"/>
      <w:outlineLvl w:val="1"/>
    </w:pPr>
  </w:style>
  <w:style w:type="paragraph" w:customStyle="1" w:styleId="118">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19">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0">
    <w:name w:val="font11"/>
    <w:basedOn w:val="33"/>
    <w:qFormat/>
    <w:uiPriority w:val="0"/>
    <w:rPr>
      <w:rFonts w:hint="eastAsia" w:ascii="宋体" w:hAnsi="宋体" w:eastAsia="宋体" w:cs="宋体"/>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24</Pages>
  <Words>8420</Words>
  <Characters>8888</Characters>
  <Lines>79</Lines>
  <Paragraphs>22</Paragraphs>
  <TotalTime>3</TotalTime>
  <ScaleCrop>false</ScaleCrop>
  <LinksUpToDate>false</LinksUpToDate>
  <CharactersWithSpaces>10085</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2026-06-15T01:06:24Z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