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hint="eastAsia" w:ascii="宋体" w:hAnsi="宋体" w:cs="宋体"/>
          <w:sz w:val="44"/>
          <w:szCs w:val="24"/>
        </w:rPr>
      </w:pPr>
      <w:r>
        <w:rPr>
          <w:rFonts w:hint="eastAsia" w:ascii="宋体" w:hAnsi="宋体" w:cs="宋体"/>
          <w:sz w:val="44"/>
          <w:szCs w:val="24"/>
          <w:lang w:val="en-US" w:eastAsia="zh-CN"/>
        </w:rPr>
        <w:t>文化阵地建设项目</w:t>
      </w: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5</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1"/>
            <w:adjustRightInd w:val="0"/>
            <w:snapToGrid w:val="0"/>
            <w:spacing w:line="360" w:lineRule="auto"/>
            <w:rPr>
              <w:sz w:val="24"/>
              <w:szCs w:val="24"/>
            </w:rPr>
          </w:pPr>
          <w:r>
            <w:rPr>
              <w:rFonts w:hint="eastAsia"/>
              <w:bCs/>
              <w:kern w:val="44"/>
              <w:sz w:val="24"/>
              <w:szCs w:val="24"/>
            </w:rPr>
            <w:fldChar w:fldCharType="end"/>
          </w:r>
        </w:p>
      </w:sdtContent>
    </w:sdt>
    <w:p>
      <w:pPr>
        <w:pStyle w:val="15"/>
        <w:tabs>
          <w:tab w:val="left" w:pos="2940"/>
        </w:tabs>
        <w:adjustRightInd w:val="0"/>
        <w:snapToGrid w:val="0"/>
        <w:spacing w:line="360" w:lineRule="auto"/>
        <w:jc w:val="left"/>
        <w:rPr>
          <w:rFonts w:hAnsi="宋体"/>
          <w:sz w:val="24"/>
          <w:szCs w:val="24"/>
        </w:rPr>
      </w:pPr>
      <w:r>
        <w:rPr>
          <w:rFonts w:hAnsi="宋体"/>
          <w:sz w:val="24"/>
          <w:szCs w:val="24"/>
        </w:rPr>
        <w:tab/>
      </w:r>
    </w:p>
    <w:p>
      <w:pPr>
        <w:pStyle w:val="15"/>
        <w:adjustRightInd w:val="0"/>
        <w:snapToGrid w:val="0"/>
        <w:spacing w:line="360" w:lineRule="auto"/>
        <w:jc w:val="left"/>
        <w:rPr>
          <w:rFonts w:hAnsi="宋体"/>
          <w:sz w:val="24"/>
          <w:szCs w:val="24"/>
        </w:rPr>
      </w:pPr>
    </w:p>
    <w:p>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2"/>
        <w:adjustRightInd w:val="0"/>
        <w:snapToGrid w:val="0"/>
        <w:jc w:val="left"/>
        <w:outlineLvl w:val="9"/>
        <w:rPr>
          <w:rFonts w:hint="eastAsia" w:ascii="宋体" w:hAnsi="宋体" w:eastAsia="宋体"/>
          <w:sz w:val="24"/>
          <w:szCs w:val="24"/>
        </w:rPr>
      </w:pPr>
      <w:bookmarkStart w:id="0" w:name="_Toc47976595"/>
      <w:bookmarkStart w:id="1" w:name="_Toc23927"/>
    </w:p>
    <w:p>
      <w:pPr>
        <w:pStyle w:val="72"/>
        <w:adjustRightInd w:val="0"/>
        <w:snapToGrid w:val="0"/>
        <w:jc w:val="left"/>
        <w:outlineLvl w:val="9"/>
        <w:rPr>
          <w:rFonts w:ascii="宋体" w:hAnsi="宋体" w:eastAsia="宋体"/>
          <w:sz w:val="24"/>
          <w:szCs w:val="24"/>
        </w:rPr>
      </w:pPr>
      <w:r>
        <w:rPr>
          <w:rFonts w:hint="eastAsia" w:ascii="宋体" w:hAnsi="宋体" w:eastAsia="宋体"/>
          <w:sz w:val="24"/>
          <w:szCs w:val="24"/>
        </w:rPr>
        <w:t>第一部分  投标人须知</w:t>
      </w:r>
      <w:bookmarkEnd w:id="0"/>
      <w:bookmarkEnd w:id="1"/>
    </w:p>
    <w:p>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文化阵地建设</w:t>
      </w:r>
    </w:p>
    <w:p>
      <w:pPr>
        <w:pStyle w:val="77"/>
        <w:numPr>
          <w:ilvl w:val="0"/>
          <w:numId w:val="9"/>
        </w:numPr>
        <w:adjustRightInd w:val="0"/>
        <w:snapToGrid w:val="0"/>
        <w:rPr>
          <w:rFonts w:hAnsi="宋体"/>
          <w:sz w:val="24"/>
          <w:szCs w:val="24"/>
        </w:rPr>
      </w:pPr>
      <w:r>
        <w:rPr>
          <w:rFonts w:hint="eastAsia" w:hAnsi="宋体"/>
          <w:sz w:val="24"/>
          <w:szCs w:val="24"/>
        </w:rPr>
        <w:t>项目编号：</w:t>
      </w:r>
    </w:p>
    <w:p>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7"/>
        <w:numPr>
          <w:ilvl w:val="0"/>
          <w:numId w:val="9"/>
        </w:numPr>
        <w:adjustRightInd w:val="0"/>
        <w:snapToGrid w:val="0"/>
        <w:jc w:val="left"/>
        <w:rPr>
          <w:rFonts w:hint="eastAsia" w:hAnsi="宋体" w:cs="Times New Roman"/>
          <w:sz w:val="24"/>
          <w:szCs w:val="24"/>
          <w:lang w:val="en-US" w:eastAsia="zh-CN"/>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重汽（重庆）轻型汽车有限公司位于重庆市江津区双福生产基地在进行生产经营活动中，需对生产经营中的党风廉政文化阵地建设进行采购。</w:t>
      </w:r>
    </w:p>
    <w:p>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w:t>
      </w:r>
      <w:r>
        <w:rPr>
          <w:rFonts w:hint="eastAsia" w:hAnsi="宋体"/>
          <w:sz w:val="24"/>
          <w:szCs w:val="24"/>
        </w:rPr>
        <w:t>。</w:t>
      </w:r>
    </w:p>
    <w:p>
      <w:pPr>
        <w:pStyle w:val="77"/>
        <w:numPr>
          <w:ilvl w:val="0"/>
          <w:numId w:val="9"/>
        </w:numPr>
        <w:adjustRightInd w:val="0"/>
        <w:snapToGrid w:val="0"/>
        <w:rPr>
          <w:rFonts w:hAnsi="宋体"/>
          <w:sz w:val="24"/>
          <w:szCs w:val="24"/>
        </w:rPr>
      </w:pPr>
      <w:r>
        <w:rPr>
          <w:rFonts w:hint="eastAsia" w:hAnsi="宋体"/>
          <w:sz w:val="24"/>
          <w:szCs w:val="24"/>
        </w:rPr>
        <w:t>项目预算为人民币</w:t>
      </w:r>
      <w:bookmarkStart w:id="4" w:name="OLE_LINK2"/>
      <w:r>
        <w:rPr>
          <w:rFonts w:hint="eastAsia" w:hAnsi="宋体"/>
          <w:sz w:val="24"/>
          <w:szCs w:val="24"/>
          <w:lang w:val="en-US" w:eastAsia="zh-CN"/>
        </w:rPr>
        <w:t>8</w:t>
      </w:r>
      <w:r>
        <w:rPr>
          <w:rFonts w:hint="eastAsia" w:hAnsi="宋体" w:cs="仿宋_GB2312"/>
          <w:bCs/>
          <w:color w:val="000000" w:themeColor="text1"/>
          <w:sz w:val="24"/>
          <w:szCs w:val="24"/>
          <w14:textFill>
            <w14:solidFill>
              <w14:schemeClr w14:val="tx1"/>
            </w14:solidFill>
          </w14:textFill>
        </w:rPr>
        <w:t>万元</w:t>
      </w:r>
      <w:bookmarkEnd w:id="4"/>
      <w:r>
        <w:rPr>
          <w:rFonts w:hint="eastAsia" w:hAnsi="宋体" w:cs="仿宋_GB2312"/>
          <w:bCs/>
          <w:color w:val="000000" w:themeColor="text1"/>
          <w:sz w:val="24"/>
          <w:szCs w:val="24"/>
          <w:lang w:val="en-US" w:eastAsia="zh-CN"/>
          <w14:textFill>
            <w14:solidFill>
              <w14:schemeClr w14:val="tx1"/>
            </w14:solidFill>
          </w14:textFill>
        </w:rPr>
        <w:t>/年</w:t>
      </w:r>
      <w:r>
        <w:rPr>
          <w:rFonts w:hint="eastAsia" w:hAnsi="宋体" w:cs="仿宋_GB2312"/>
          <w:bCs/>
          <w:color w:val="000000" w:themeColor="text1"/>
          <w:sz w:val="24"/>
          <w:szCs w:val="24"/>
          <w14:textFill>
            <w14:solidFill>
              <w14:schemeClr w14:val="tx1"/>
            </w14:solidFill>
          </w14:textFill>
        </w:rPr>
        <w:t>（</w:t>
      </w:r>
      <w:r>
        <w:rPr>
          <w:rFonts w:hint="eastAsia" w:hAnsi="宋体" w:cs="仿宋_GB2312"/>
          <w:bCs/>
          <w:color w:val="000000" w:themeColor="text1"/>
          <w:sz w:val="24"/>
          <w:szCs w:val="24"/>
          <w:lang w:val="en-US" w:eastAsia="zh-CN"/>
          <w14:textFill>
            <w14:solidFill>
              <w14:schemeClr w14:val="tx1"/>
            </w14:solidFill>
          </w14:textFill>
        </w:rPr>
        <w:t>含</w:t>
      </w:r>
      <w:r>
        <w:rPr>
          <w:rFonts w:hint="eastAsia" w:hAnsi="宋体" w:cs="仿宋_GB2312"/>
          <w:bCs/>
          <w:color w:val="000000" w:themeColor="text1"/>
          <w:sz w:val="24"/>
          <w:szCs w:val="24"/>
          <w14:textFill>
            <w14:solidFill>
              <w14:schemeClr w14:val="tx1"/>
            </w14:solidFill>
          </w14:textFill>
        </w:rPr>
        <w:t>税）</w:t>
      </w:r>
      <w:r>
        <w:rPr>
          <w:rFonts w:hint="eastAsia" w:hAnsi="宋体"/>
          <w:sz w:val="24"/>
          <w:szCs w:val="24"/>
        </w:rPr>
        <w:t>。</w:t>
      </w:r>
    </w:p>
    <w:p>
      <w:pPr>
        <w:pStyle w:val="77"/>
        <w:numPr>
          <w:ilvl w:val="0"/>
          <w:numId w:val="9"/>
        </w:numPr>
        <w:adjustRightInd w:val="0"/>
        <w:snapToGrid w:val="0"/>
        <w:rPr>
          <w:rFonts w:hAnsi="宋体"/>
          <w:sz w:val="24"/>
          <w:szCs w:val="24"/>
        </w:rPr>
      </w:pPr>
      <w:r>
        <w:rPr>
          <w:rFonts w:hAnsi="宋体"/>
          <w:sz w:val="24"/>
          <w:szCs w:val="24"/>
        </w:rPr>
        <w:t>资金来源：企业自筹，已落实。</w:t>
      </w:r>
      <w:bookmarkStart w:id="22" w:name="_GoBack"/>
      <w:bookmarkEnd w:id="22"/>
    </w:p>
    <w:p>
      <w:pPr>
        <w:pStyle w:val="77"/>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唐颖</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电话：13512360698</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邮箱：tangying1@sinotruk.com</w:t>
      </w:r>
    </w:p>
    <w:bookmarkEnd w:id="3"/>
    <w:p>
      <w:pPr>
        <w:pStyle w:val="73"/>
        <w:adjustRightInd w:val="0"/>
        <w:snapToGrid w:val="0"/>
        <w:ind w:left="0" w:firstLine="0"/>
        <w:jc w:val="left"/>
        <w:outlineLvl w:val="9"/>
        <w:rPr>
          <w:rFonts w:ascii="宋体" w:hAnsi="宋体" w:eastAsia="宋体"/>
          <w:sz w:val="24"/>
          <w:szCs w:val="24"/>
        </w:rPr>
      </w:pPr>
      <w:bookmarkStart w:id="5" w:name="_Toc47976598"/>
      <w:r>
        <w:rPr>
          <w:rFonts w:hint="eastAsia" w:ascii="宋体" w:hAnsi="宋体" w:eastAsia="宋体"/>
          <w:sz w:val="24"/>
          <w:szCs w:val="24"/>
          <w:lang w:val="en-US" w:eastAsia="zh-CN"/>
        </w:rPr>
        <w:t>投标人资格要求</w:t>
      </w:r>
      <w:bookmarkEnd w:id="5"/>
    </w:p>
    <w:p>
      <w:pPr>
        <w:pStyle w:val="77"/>
        <w:numPr>
          <w:ilvl w:val="0"/>
          <w:numId w:val="0"/>
        </w:numPr>
        <w:adjustRightInd w:val="0"/>
        <w:snapToGrid w:val="0"/>
        <w:rPr>
          <w:rFonts w:hint="eastAsia" w:hAnsi="宋体" w:cs="Times New Roman"/>
          <w:sz w:val="24"/>
          <w:szCs w:val="24"/>
          <w:lang w:val="en-US" w:eastAsia="zh-CN"/>
        </w:rPr>
      </w:pPr>
      <w:bookmarkStart w:id="6" w:name="OLE_LINK1"/>
      <w:r>
        <w:rPr>
          <w:rFonts w:hint="eastAsia" w:hAnsi="宋体" w:cs="Times New Roman"/>
          <w:sz w:val="24"/>
          <w:szCs w:val="24"/>
          <w:lang w:val="en-US" w:eastAsia="zh-CN"/>
        </w:rPr>
        <w:t>1.投标方必须是在中华人民共和国境内注册的独立法人机构，具有独立承担民事责任能力，且成立三年以上（含三年，以注册日期开始计算，至开标之日不少于三年）。</w:t>
      </w:r>
    </w:p>
    <w:p>
      <w:pPr>
        <w:pStyle w:val="77"/>
        <w:numPr>
          <w:ilvl w:val="0"/>
          <w:numId w:val="0"/>
        </w:numPr>
        <w:adjustRightInd w:val="0"/>
        <w:snapToGrid w:val="0"/>
        <w:rPr>
          <w:rFonts w:hint="default" w:hAnsi="宋体" w:cs="Times New Roman"/>
          <w:sz w:val="24"/>
          <w:szCs w:val="24"/>
          <w:lang w:val="en-US" w:eastAsia="zh-CN"/>
        </w:rPr>
      </w:pPr>
      <w:r>
        <w:rPr>
          <w:rFonts w:hint="eastAsia" w:hAnsi="宋体" w:cs="Times New Roman"/>
          <w:sz w:val="24"/>
          <w:szCs w:val="24"/>
          <w:lang w:val="en-US" w:eastAsia="zh-CN"/>
        </w:rPr>
        <w:t>2.投标方的注册资本不少于50万元人民币（或等值其他货币）。</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人须为独立法人资格企业，具有广告宣传设计制作类等营业执照，具备宣传品设计制作具有广告宣传设计制作类等营业执照，具备宣传品设计制作安装能力，具有3个以上户外党建、文化公园、阵地建设等项目。</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4.投标方满足技术、质量、资金等要求，财务状况良好、经营稳定，具有全面履约的能力。</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5.投标方有专业售后服务团队，满足我司售后服务要求。</w:t>
      </w:r>
    </w:p>
    <w:p>
      <w:pPr>
        <w:adjustRightInd w:val="0"/>
        <w:snapToGrid w:val="0"/>
        <w:spacing w:line="360" w:lineRule="auto"/>
        <w:jc w:val="left"/>
        <w:rPr>
          <w:rFonts w:hint="default"/>
          <w:lang w:val="en-US" w:eastAsia="zh-CN"/>
        </w:rPr>
      </w:pPr>
      <w:r>
        <w:rPr>
          <w:rFonts w:hint="eastAsia" w:ascii="宋体" w:hAnsi="宋体" w:cs="Times New Roman"/>
          <w:sz w:val="24"/>
          <w:szCs w:val="24"/>
          <w:lang w:val="en-US" w:eastAsia="zh-CN"/>
        </w:rPr>
        <w:t>6.</w:t>
      </w:r>
      <w:r>
        <w:rPr>
          <w:rFonts w:hint="eastAsia" w:ascii="宋体" w:hAnsi="宋体" w:eastAsia="宋体" w:cs="Times New Roman"/>
          <w:kern w:val="2"/>
          <w:sz w:val="24"/>
          <w:szCs w:val="24"/>
          <w:lang w:val="en-US" w:eastAsia="zh-CN" w:bidi="ar-SA"/>
        </w:rPr>
        <w:t>投标方信誉良好，无违法违规等不良行为，近三</w:t>
      </w:r>
      <w:r>
        <w:rPr>
          <w:rFonts w:hint="eastAsia" w:ascii="宋体" w:hAnsi="宋体" w:cs="Times New Roman"/>
          <w:sz w:val="24"/>
          <w:szCs w:val="24"/>
          <w:lang w:val="en-US" w:eastAsia="zh-CN"/>
        </w:rPr>
        <w:t>年内无违法及重大违规记录，未受到过相关部门的处罚。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11.不接受联合体投标。</w:t>
      </w:r>
    </w:p>
    <w:bookmarkEnd w:id="6"/>
    <w:p>
      <w:pPr>
        <w:pStyle w:val="2"/>
      </w:pP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7"/>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13</w:t>
      </w:r>
      <w:r>
        <w:rPr>
          <w:rFonts w:hint="eastAsia" w:hAnsi="宋体"/>
          <w:sz w:val="24"/>
          <w:szCs w:val="24"/>
          <w:u w:val="single"/>
        </w:rPr>
        <w:t>日；</w:t>
      </w:r>
    </w:p>
    <w:p>
      <w:pPr>
        <w:pStyle w:val="77"/>
        <w:numPr>
          <w:ilvl w:val="0"/>
          <w:numId w:val="10"/>
        </w:numPr>
        <w:adjustRightInd w:val="0"/>
        <w:snapToGrid w:val="0"/>
        <w:rPr>
          <w:rFonts w:hAnsi="宋体"/>
          <w:sz w:val="24"/>
          <w:szCs w:val="24"/>
        </w:rPr>
      </w:pPr>
      <w:r>
        <w:rPr>
          <w:rFonts w:hint="eastAsia" w:hAnsi="宋体"/>
          <w:sz w:val="24"/>
          <w:szCs w:val="24"/>
        </w:rPr>
        <w:t>投标报名</w:t>
      </w:r>
    </w:p>
    <w:p>
      <w:pPr>
        <w:pStyle w:val="77"/>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5</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20</w:t>
      </w:r>
      <w:r>
        <w:rPr>
          <w:rFonts w:hint="eastAsia" w:hAnsi="宋体" w:cs="宋体"/>
          <w:sz w:val="24"/>
          <w:szCs w:val="24"/>
          <w:highlight w:val="none"/>
          <w:u w:val="single"/>
        </w:rPr>
        <w:t>日17:00:00（北京时间）</w:t>
      </w:r>
      <w:r>
        <w:rPr>
          <w:rFonts w:hint="eastAsia" w:hAnsi="宋体"/>
          <w:sz w:val="24"/>
          <w:szCs w:val="24"/>
          <w:u w:val="single"/>
        </w:rPr>
        <w:t>；</w:t>
      </w:r>
    </w:p>
    <w:p>
      <w:pPr>
        <w:pStyle w:val="77"/>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7"/>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7"/>
        <w:numPr>
          <w:ilvl w:val="0"/>
          <w:numId w:val="10"/>
        </w:numPr>
        <w:adjustRightInd w:val="0"/>
        <w:snapToGrid w:val="0"/>
        <w:rPr>
          <w:rFonts w:hAnsi="宋体"/>
          <w:sz w:val="24"/>
          <w:szCs w:val="24"/>
        </w:rPr>
      </w:pPr>
      <w:r>
        <w:rPr>
          <w:rFonts w:hint="eastAsia" w:hAnsi="宋体"/>
          <w:sz w:val="24"/>
          <w:szCs w:val="24"/>
        </w:rPr>
        <w:t>招标文件获取</w:t>
      </w:r>
    </w:p>
    <w:p>
      <w:pPr>
        <w:pStyle w:val="77"/>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7"/>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7"/>
        <w:numPr>
          <w:ilvl w:val="0"/>
          <w:numId w:val="10"/>
        </w:numPr>
        <w:adjustRightInd w:val="0"/>
        <w:snapToGrid w:val="0"/>
        <w:rPr>
          <w:rFonts w:hAnsi="宋体"/>
          <w:sz w:val="24"/>
          <w:szCs w:val="24"/>
        </w:rPr>
      </w:pPr>
      <w:r>
        <w:rPr>
          <w:rFonts w:hint="eastAsia" w:hAnsi="宋体"/>
          <w:sz w:val="24"/>
          <w:szCs w:val="24"/>
        </w:rPr>
        <w:t>疑问提交</w:t>
      </w:r>
    </w:p>
    <w:p>
      <w:pPr>
        <w:pStyle w:val="77"/>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22</w:t>
      </w:r>
      <w:r>
        <w:rPr>
          <w:rFonts w:hint="eastAsia" w:hAnsi="宋体"/>
          <w:sz w:val="24"/>
          <w:szCs w:val="24"/>
          <w:u w:val="single"/>
        </w:rPr>
        <w:t>日17:00:00（北京时间）；</w:t>
      </w:r>
    </w:p>
    <w:p>
      <w:pPr>
        <w:pStyle w:val="77"/>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7"/>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7"/>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23</w:t>
      </w:r>
      <w:r>
        <w:rPr>
          <w:rFonts w:hint="eastAsia" w:hAnsi="宋体"/>
          <w:sz w:val="24"/>
          <w:szCs w:val="24"/>
          <w:highlight w:val="none"/>
          <w:u w:val="single"/>
        </w:rPr>
        <w:t>日17:00前；</w:t>
      </w:r>
    </w:p>
    <w:p>
      <w:pPr>
        <w:pStyle w:val="77"/>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7"/>
        <w:numPr>
          <w:ilvl w:val="0"/>
          <w:numId w:val="16"/>
        </w:numPr>
        <w:adjustRightInd w:val="0"/>
        <w:snapToGrid w:val="0"/>
        <w:rPr>
          <w:rFonts w:hAnsi="宋体"/>
          <w:sz w:val="24"/>
          <w:szCs w:val="24"/>
        </w:rPr>
      </w:pPr>
      <w:r>
        <w:rPr>
          <w:rFonts w:hint="eastAsia" w:hAnsi="宋体" w:cs="黑体"/>
          <w:bCs/>
          <w:sz w:val="24"/>
          <w:szCs w:val="24"/>
        </w:rPr>
        <w:t>资质文件</w:t>
      </w:r>
    </w:p>
    <w:p>
      <w:pPr>
        <w:pStyle w:val="77"/>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7"/>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7"/>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7"/>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7"/>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7"/>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77"/>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7"/>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7"/>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7"/>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7"/>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27</w:t>
      </w:r>
      <w:r>
        <w:rPr>
          <w:rFonts w:hint="eastAsia" w:hAnsi="宋体"/>
          <w:sz w:val="24"/>
          <w:szCs w:val="24"/>
          <w:highlight w:val="none"/>
          <w:u w:val="single"/>
        </w:rPr>
        <w:t>日17:00:00（北京时间）</w:t>
      </w:r>
    </w:p>
    <w:p>
      <w:pPr>
        <w:pStyle w:val="73"/>
        <w:adjustRightInd w:val="0"/>
        <w:snapToGrid w:val="0"/>
        <w:ind w:left="0" w:firstLine="0"/>
        <w:jc w:val="left"/>
        <w:outlineLvl w:val="9"/>
        <w:rPr>
          <w:rFonts w:ascii="宋体" w:hAnsi="宋体" w:eastAsia="宋体"/>
          <w:sz w:val="24"/>
          <w:szCs w:val="24"/>
        </w:rPr>
      </w:pPr>
      <w:bookmarkStart w:id="7" w:name="_Toc47976601"/>
      <w:r>
        <w:rPr>
          <w:rFonts w:hint="eastAsia" w:ascii="宋体" w:hAnsi="宋体" w:eastAsia="宋体"/>
          <w:sz w:val="24"/>
          <w:szCs w:val="24"/>
        </w:rPr>
        <w:t>投标保证金收取、缴纳有效期及罚没</w:t>
      </w:r>
    </w:p>
    <w:p>
      <w:pPr>
        <w:pStyle w:val="73"/>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7"/>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7"/>
        <w:adjustRightInd w:val="0"/>
        <w:snapToGrid w:val="0"/>
        <w:ind w:left="420" w:leftChars="200"/>
        <w:rPr>
          <w:rFonts w:hAnsi="宋体"/>
          <w:sz w:val="24"/>
          <w:szCs w:val="24"/>
        </w:rPr>
      </w:pPr>
      <w:r>
        <w:rPr>
          <w:rFonts w:hint="eastAsia" w:hAnsi="宋体"/>
          <w:sz w:val="24"/>
          <w:szCs w:val="24"/>
        </w:rPr>
        <w:t>收款账号：8112501012801267437</w:t>
      </w:r>
    </w:p>
    <w:p>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pPr>
        <w:pStyle w:val="77"/>
        <w:adjustRightInd w:val="0"/>
        <w:snapToGrid w:val="0"/>
        <w:ind w:left="420" w:leftChars="200"/>
        <w:rPr>
          <w:rFonts w:hAnsi="宋体"/>
          <w:sz w:val="24"/>
          <w:szCs w:val="24"/>
        </w:rPr>
      </w:pPr>
      <w:r>
        <w:rPr>
          <w:rFonts w:hint="eastAsia" w:hAnsi="宋体"/>
          <w:sz w:val="24"/>
          <w:szCs w:val="24"/>
        </w:rPr>
        <w:t>开户行行号：302451037264</w:t>
      </w:r>
    </w:p>
    <w:p>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7"/>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5</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7</w:t>
      </w:r>
      <w:r>
        <w:rPr>
          <w:rFonts w:hint="eastAsia" w:hAnsi="宋体" w:eastAsia="答疑"/>
          <w:sz w:val="24"/>
          <w:szCs w:val="24"/>
          <w:highlight w:val="none"/>
          <w:u w:val="single"/>
        </w:rPr>
        <w:t>日17:00:00（北京时间）</w:t>
      </w:r>
    </w:p>
    <w:p>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7"/>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7"/>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7"/>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7"/>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7"/>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7"/>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7"/>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7"/>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7"/>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7"/>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5</w:t>
      </w:r>
      <w:r>
        <w:rPr>
          <w:rFonts w:hint="eastAsia" w:hAnsi="宋体" w:cs="宋体"/>
          <w:sz w:val="24"/>
          <w:szCs w:val="24"/>
          <w:highlight w:val="none"/>
        </w:rPr>
        <w:t>月</w:t>
      </w:r>
      <w:r>
        <w:rPr>
          <w:rFonts w:hint="eastAsia" w:hAnsi="宋体" w:cs="宋体"/>
          <w:sz w:val="24"/>
          <w:szCs w:val="24"/>
          <w:highlight w:val="none"/>
          <w:lang w:val="en-US" w:eastAsia="zh-CN"/>
        </w:rPr>
        <w:t>28</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7"/>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7"/>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3"/>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pPr w:leftFromText="180" w:rightFromText="180" w:vertAnchor="page" w:horzAnchor="page" w:tblpX="1654" w:tblpY="1363"/>
        <w:tblOverlap w:val="never"/>
        <w:tblW w:w="4868" w:type="pct"/>
        <w:tblInd w:w="0" w:type="dxa"/>
        <w:tblLayout w:type="autofit"/>
        <w:tblCellMar>
          <w:top w:w="0" w:type="dxa"/>
          <w:left w:w="0" w:type="dxa"/>
          <w:bottom w:w="0" w:type="dxa"/>
          <w:right w:w="0" w:type="dxa"/>
        </w:tblCellMar>
      </w:tblPr>
      <w:tblGrid>
        <w:gridCol w:w="500"/>
        <w:gridCol w:w="976"/>
        <w:gridCol w:w="6104"/>
        <w:gridCol w:w="654"/>
        <w:gridCol w:w="620"/>
      </w:tblGrid>
      <w:tr>
        <w:tblPrEx>
          <w:tblCellMar>
            <w:top w:w="0" w:type="dxa"/>
            <w:left w:w="0" w:type="dxa"/>
            <w:bottom w:w="0" w:type="dxa"/>
            <w:right w:w="0" w:type="dxa"/>
          </w:tblCellMar>
        </w:tblPrEx>
        <w:trPr>
          <w:cantSplit/>
          <w:trHeight w:val="563" w:hRule="atLeast"/>
        </w:trPr>
        <w:tc>
          <w:tcPr>
            <w:tcW w:w="283"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551"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w:t>
            </w:r>
          </w:p>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得分</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CellMar>
            <w:top w:w="0" w:type="dxa"/>
            <w:left w:w="0" w:type="dxa"/>
            <w:bottom w:w="0" w:type="dxa"/>
            <w:right w:w="0" w:type="dxa"/>
          </w:tblCellMar>
        </w:tblPrEx>
        <w:trPr>
          <w:cantSplit/>
          <w:trHeight w:val="956"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有设计团队，在标识标牌和宣传整合设计、创新设计上具有相关设计经验，需设计一个整体文化阵地建设项目实施方案。提供设计汇报方案一份，满分20分，未有0分。</w:t>
            </w:r>
          </w:p>
        </w:tc>
        <w:tc>
          <w:tcPr>
            <w:tcW w:w="369"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45</w:t>
            </w:r>
          </w:p>
        </w:tc>
        <w:tc>
          <w:tcPr>
            <w:tcW w:w="350"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有党建、文化等户外文化主题公园、阵地打造案例，投标人在2023年1月1日以来在重庆有与本标同类规格服务的业绩，以合同复印件加盖公章为准。每个5分，满分15分。</w:t>
            </w:r>
          </w:p>
        </w:tc>
        <w:tc>
          <w:tcPr>
            <w:tcW w:w="369" w:type="pct"/>
            <w:vMerge w:val="continue"/>
            <w:tcBorders>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投标产品所选用的主要材料（如板材、型材、光源、涂料等）的规格、技术参数符合或优于招标文件要求，符合国家相关标准。满足得10分。</w:t>
            </w:r>
          </w:p>
        </w:tc>
        <w:tc>
          <w:tcPr>
            <w:tcW w:w="369"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sz w:val="24"/>
                <w:szCs w:val="24"/>
              </w:rPr>
              <w:t>服务响应</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有专人负责对接设计制作需求，现场勘察标识标牌规格尺寸，确定工艺材质，满足要求得5-10分，未响应标书要求但在可接受范围内得0-5分，未响应要求且不可接受得0分。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及时响应甲方安排，确定设计方案后，15个工作日内完成制作并交付安装。满足要求得10分。不可接受得0分。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实施管理与质量保证</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宣传品出现质量问题能及时到现场返工响应整改，对由于质量问题出现的退、换货，应在3个工作日内进行更换。满足要求得5-10分，未响应标书要求且不可接受得0分。</w:t>
            </w:r>
          </w:p>
        </w:tc>
        <w:tc>
          <w:tcPr>
            <w:tcW w:w="369"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numPr>
                <w:ilvl w:val="0"/>
                <w:numId w:val="0"/>
              </w:numPr>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35</w:t>
            </w:r>
          </w:p>
        </w:tc>
        <w:tc>
          <w:tcPr>
            <w:tcW w:w="350"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563"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完成验收合格后至少保证2年内不变质、不褪色，图形文字边缘应光滑、文字及字母清晰、不受季节的影响，无剥落、无缺损。出现质量问题，质保期内免费更换，包括维护维修、材料更换等，所产生的费用均由中标人承担。满足要求得15-25分，不可接受得0分。</w:t>
            </w:r>
          </w:p>
        </w:tc>
        <w:tc>
          <w:tcPr>
            <w:tcW w:w="369"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numPr>
                <w:ilvl w:val="0"/>
                <w:numId w:val="0"/>
              </w:numPr>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515" w:hRule="atLeast"/>
        </w:trPr>
        <w:tc>
          <w:tcPr>
            <w:tcW w:w="283"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jc w:val="both"/>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3997" w:type="pct"/>
            <w:gridSpan w:val="2"/>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r>
    </w:tbl>
    <w:p>
      <w:pPr>
        <w:pStyle w:val="73"/>
        <w:widowControl w:val="0"/>
        <w:numPr>
          <w:ilvl w:val="0"/>
          <w:numId w:val="0"/>
        </w:numPr>
        <w:adjustRightInd w:val="0"/>
        <w:snapToGrid w:val="0"/>
        <w:spacing w:line="360" w:lineRule="auto"/>
        <w:jc w:val="left"/>
        <w:outlineLvl w:val="9"/>
        <w:rPr>
          <w:rFonts w:hint="eastAsia" w:ascii="宋体" w:hAnsi="宋体" w:eastAsia="宋体" w:cs="宋体"/>
          <w:b w:val="0"/>
          <w:bCs w:val="0"/>
          <w:kern w:val="2"/>
          <w:sz w:val="24"/>
          <w:szCs w:val="24"/>
          <w:lang w:val="en-US" w:eastAsia="zh-CN" w:bidi="ar-SA"/>
        </w:rPr>
      </w:pP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5"/>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7"/>
        <w:numPr>
          <w:ilvl w:val="0"/>
          <w:numId w:val="25"/>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7"/>
        <w:numPr>
          <w:ilvl w:val="0"/>
          <w:numId w:val="25"/>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7"/>
        <w:numPr>
          <w:ilvl w:val="1"/>
          <w:numId w:val="27"/>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7"/>
        <w:numPr>
          <w:ilvl w:val="1"/>
          <w:numId w:val="27"/>
        </w:numPr>
        <w:adjustRightInd w:val="0"/>
        <w:snapToGrid w:val="0"/>
        <w:rPr>
          <w:rFonts w:hAnsi="宋体"/>
          <w:sz w:val="24"/>
          <w:szCs w:val="24"/>
        </w:rPr>
      </w:pPr>
      <w:r>
        <w:rPr>
          <w:rFonts w:hint="eastAsia" w:hAnsi="宋体"/>
          <w:sz w:val="24"/>
          <w:szCs w:val="24"/>
        </w:rPr>
        <w:t>投标人在报价有效期内撤回投标；</w:t>
      </w:r>
    </w:p>
    <w:p>
      <w:pPr>
        <w:pStyle w:val="77"/>
        <w:numPr>
          <w:ilvl w:val="1"/>
          <w:numId w:val="27"/>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7"/>
        <w:numPr>
          <w:ilvl w:val="1"/>
          <w:numId w:val="27"/>
        </w:numPr>
        <w:adjustRightInd w:val="0"/>
        <w:snapToGrid w:val="0"/>
        <w:rPr>
          <w:rFonts w:hAnsi="宋体"/>
          <w:sz w:val="24"/>
          <w:szCs w:val="24"/>
        </w:rPr>
      </w:pPr>
      <w:r>
        <w:rPr>
          <w:rFonts w:hint="eastAsia" w:hAnsi="宋体"/>
          <w:sz w:val="24"/>
          <w:szCs w:val="24"/>
        </w:rPr>
        <w:t>投标人以任何方式诋毁其他投标人；</w:t>
      </w:r>
    </w:p>
    <w:p>
      <w:pPr>
        <w:pStyle w:val="77"/>
        <w:numPr>
          <w:ilvl w:val="1"/>
          <w:numId w:val="27"/>
        </w:numPr>
        <w:adjustRightInd w:val="0"/>
        <w:snapToGrid w:val="0"/>
        <w:rPr>
          <w:rFonts w:hAnsi="宋体"/>
          <w:sz w:val="24"/>
          <w:szCs w:val="24"/>
        </w:rPr>
      </w:pPr>
      <w:r>
        <w:rPr>
          <w:rFonts w:hint="eastAsia" w:hAnsi="宋体"/>
          <w:sz w:val="24"/>
          <w:szCs w:val="24"/>
        </w:rPr>
        <w:t>投标人串通投标；</w:t>
      </w:r>
    </w:p>
    <w:p>
      <w:pPr>
        <w:pStyle w:val="77"/>
        <w:numPr>
          <w:ilvl w:val="1"/>
          <w:numId w:val="27"/>
        </w:numPr>
        <w:adjustRightInd w:val="0"/>
        <w:snapToGrid w:val="0"/>
        <w:rPr>
          <w:rFonts w:hAnsi="宋体"/>
          <w:sz w:val="24"/>
          <w:szCs w:val="24"/>
        </w:rPr>
      </w:pPr>
      <w:r>
        <w:rPr>
          <w:rFonts w:hint="eastAsia" w:hAnsi="宋体"/>
          <w:sz w:val="24"/>
          <w:szCs w:val="24"/>
        </w:rPr>
        <w:t>投标人被举报、检举，并经招标人查实无误的；</w:t>
      </w:r>
    </w:p>
    <w:p>
      <w:pPr>
        <w:pStyle w:val="77"/>
        <w:numPr>
          <w:ilvl w:val="1"/>
          <w:numId w:val="27"/>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7"/>
        <w:numPr>
          <w:ilvl w:val="1"/>
          <w:numId w:val="27"/>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7"/>
        <w:numPr>
          <w:ilvl w:val="1"/>
          <w:numId w:val="27"/>
        </w:numPr>
        <w:adjustRightInd w:val="0"/>
        <w:snapToGrid w:val="0"/>
        <w:rPr>
          <w:rFonts w:hAnsi="宋体"/>
          <w:sz w:val="24"/>
          <w:szCs w:val="24"/>
        </w:rPr>
      </w:pPr>
      <w:r>
        <w:rPr>
          <w:rFonts w:hint="eastAsia" w:hAnsi="宋体"/>
          <w:sz w:val="24"/>
          <w:szCs w:val="24"/>
        </w:rPr>
        <w:t>有效投标不足三家；</w:t>
      </w:r>
    </w:p>
    <w:p>
      <w:pPr>
        <w:pStyle w:val="77"/>
        <w:numPr>
          <w:ilvl w:val="1"/>
          <w:numId w:val="27"/>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7"/>
        <w:numPr>
          <w:ilvl w:val="1"/>
          <w:numId w:val="27"/>
        </w:numPr>
        <w:adjustRightInd w:val="0"/>
        <w:snapToGrid w:val="0"/>
        <w:rPr>
          <w:rFonts w:hAnsi="宋体"/>
          <w:sz w:val="24"/>
          <w:szCs w:val="24"/>
        </w:rPr>
      </w:pPr>
      <w:r>
        <w:rPr>
          <w:rFonts w:hint="eastAsia" w:hAnsi="宋体"/>
          <w:sz w:val="24"/>
          <w:szCs w:val="24"/>
        </w:rPr>
        <w:t>投标人报价均超过最高限价的；</w:t>
      </w:r>
    </w:p>
    <w:p>
      <w:pPr>
        <w:pStyle w:val="77"/>
        <w:numPr>
          <w:ilvl w:val="1"/>
          <w:numId w:val="27"/>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7"/>
        <w:numPr>
          <w:ilvl w:val="1"/>
          <w:numId w:val="27"/>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7"/>
        <w:numPr>
          <w:ilvl w:val="1"/>
          <w:numId w:val="27"/>
        </w:numPr>
        <w:adjustRightInd w:val="0"/>
        <w:snapToGrid w:val="0"/>
        <w:rPr>
          <w:rFonts w:hAnsi="宋体"/>
          <w:sz w:val="24"/>
          <w:szCs w:val="24"/>
        </w:rPr>
      </w:pPr>
      <w:r>
        <w:rPr>
          <w:rFonts w:hint="eastAsia" w:hAnsi="宋体"/>
          <w:sz w:val="24"/>
          <w:szCs w:val="24"/>
        </w:rPr>
        <w:t>法律、法规规定的其他情况。</w:t>
      </w:r>
    </w:p>
    <w:p>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8" w:name="OLE_LINK25"/>
      <w:bookmarkStart w:id="9" w:name="OLE_LINK28"/>
      <w:bookmarkStart w:id="10" w:name="OLE_LINK26"/>
      <w:bookmarkStart w:id="11" w:name="OLE_LINK29"/>
      <w:bookmarkStart w:id="12" w:name="OLE_LINK27"/>
      <w:r>
        <w:rPr>
          <w:rFonts w:hint="eastAsia" w:ascii="宋体" w:hAnsi="宋体" w:cs="宋体"/>
          <w:sz w:val="24"/>
          <w:szCs w:val="24"/>
        </w:rPr>
        <w:t>；</w:t>
      </w:r>
      <w:bookmarkEnd w:id="8"/>
      <w:bookmarkEnd w:id="9"/>
      <w:bookmarkEnd w:id="10"/>
      <w:bookmarkEnd w:id="11"/>
      <w:bookmarkEnd w:id="12"/>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3"/>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7"/>
        <w:numPr>
          <w:ilvl w:val="0"/>
          <w:numId w:val="30"/>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付款方式：银行转账；</w:t>
      </w:r>
    </w:p>
    <w:p>
      <w:pPr>
        <w:adjustRightInd w:val="0"/>
        <w:snapToGrid w:val="0"/>
        <w:spacing w:line="360" w:lineRule="auto"/>
        <w:jc w:val="both"/>
        <w:rPr>
          <w:rFonts w:hint="eastAsia" w:ascii="宋体" w:hAnsi="宋体" w:cs="宋体"/>
          <w:bCs/>
          <w:sz w:val="24"/>
          <w:szCs w:val="24"/>
          <w:lang w:val="en-US" w:eastAsia="zh-CN"/>
        </w:rPr>
      </w:pPr>
      <w:r>
        <w:rPr>
          <w:rFonts w:hint="eastAsia" w:ascii="宋体" w:hAnsi="宋体" w:cs="宋体"/>
          <w:bCs/>
          <w:sz w:val="24"/>
          <w:szCs w:val="24"/>
          <w:lang w:val="en-US" w:eastAsia="zh-CN"/>
        </w:rPr>
        <w:t>2.付款节点：</w:t>
      </w:r>
      <w:r>
        <w:rPr>
          <w:rFonts w:ascii="宋体" w:hAnsi="宋体" w:eastAsia="宋体" w:cs="宋体"/>
          <w:sz w:val="24"/>
          <w:szCs w:val="24"/>
        </w:rPr>
        <w:t>完成</w:t>
      </w:r>
      <w:r>
        <w:rPr>
          <w:rFonts w:hint="eastAsia" w:ascii="宋体" w:hAnsi="宋体" w:eastAsia="宋体" w:cs="宋体"/>
          <w:sz w:val="24"/>
          <w:szCs w:val="24"/>
          <w:lang w:val="en-US" w:eastAsia="zh-CN"/>
        </w:rPr>
        <w:t>文化阵地建设项目</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次月</w:t>
      </w:r>
      <w:r>
        <w:rPr>
          <w:rFonts w:ascii="宋体" w:hAnsi="宋体" w:eastAsia="宋体" w:cs="宋体"/>
          <w:sz w:val="24"/>
          <w:szCs w:val="24"/>
        </w:rPr>
        <w:t>经双方对</w:t>
      </w:r>
      <w:r>
        <w:rPr>
          <w:rFonts w:hint="eastAsia" w:ascii="宋体" w:hAnsi="宋体" w:cs="宋体"/>
          <w:sz w:val="24"/>
          <w:szCs w:val="24"/>
          <w:lang w:val="en-US" w:eastAsia="zh-CN"/>
        </w:rPr>
        <w:t>文化阵地建设</w:t>
      </w:r>
      <w:r>
        <w:rPr>
          <w:rFonts w:ascii="宋体" w:hAnsi="宋体" w:eastAsia="宋体" w:cs="宋体"/>
          <w:sz w:val="24"/>
          <w:szCs w:val="24"/>
        </w:rPr>
        <w:t>项目</w:t>
      </w:r>
      <w:r>
        <w:rPr>
          <w:rFonts w:hint="eastAsia" w:ascii="宋体" w:hAnsi="宋体" w:cs="宋体"/>
          <w:sz w:val="24"/>
          <w:szCs w:val="24"/>
          <w:lang w:val="en-US" w:eastAsia="zh-CN"/>
        </w:rPr>
        <w:t>的</w:t>
      </w:r>
      <w:r>
        <w:rPr>
          <w:rFonts w:ascii="宋体" w:hAnsi="宋体" w:eastAsia="宋体" w:cs="宋体"/>
          <w:sz w:val="24"/>
          <w:szCs w:val="24"/>
        </w:rPr>
        <w:t>数量进行确认后</w:t>
      </w:r>
      <w:r>
        <w:rPr>
          <w:rFonts w:hint="eastAsia" w:hAnsi="宋体" w:cs="宋体"/>
          <w:sz w:val="24"/>
          <w:szCs w:val="24"/>
          <w:lang w:eastAsia="zh-CN"/>
        </w:rPr>
        <w:t>，</w:t>
      </w:r>
      <w:r>
        <w:rPr>
          <w:rFonts w:hint="eastAsia" w:ascii="宋体" w:hAnsi="宋体" w:eastAsia="宋体" w:cs="Times New Roman"/>
          <w:sz w:val="24"/>
          <w:szCs w:val="24"/>
          <w:lang w:val="en-US"/>
        </w:rPr>
        <w:t>招标人组织验收</w:t>
      </w:r>
      <w:r>
        <w:rPr>
          <w:rFonts w:hint="eastAsia" w:hAnsi="宋体" w:cs="Times New Roman"/>
          <w:sz w:val="24"/>
          <w:szCs w:val="24"/>
          <w:lang w:val="en-US" w:eastAsia="zh-CN"/>
        </w:rPr>
        <w:t>，</w:t>
      </w:r>
      <w:r>
        <w:rPr>
          <w:rFonts w:hint="eastAsia" w:ascii="宋体" w:hAnsi="宋体" w:eastAsia="宋体" w:cs="Times New Roman"/>
          <w:sz w:val="24"/>
          <w:szCs w:val="24"/>
          <w:lang w:val="en-US"/>
        </w:rPr>
        <w:t>验收合格后通知中标方开具有效增值税发票到招标人财务挂账，挂账后次月付款</w:t>
      </w:r>
      <w:r>
        <w:rPr>
          <w:rFonts w:hint="eastAsia" w:ascii="宋体" w:hAnsi="宋体" w:cs="宋体"/>
          <w:bCs/>
          <w:sz w:val="24"/>
          <w:szCs w:val="24"/>
          <w:lang w:val="en-US" w:eastAsia="zh-CN"/>
        </w:rPr>
        <w:t>。</w:t>
      </w:r>
    </w:p>
    <w:p>
      <w:pPr>
        <w:numPr>
          <w:ilvl w:val="0"/>
          <w:numId w:val="0"/>
        </w:numPr>
        <w:adjustRightInd w:val="0"/>
        <w:snapToGrid w:val="0"/>
        <w:spacing w:line="360" w:lineRule="auto"/>
        <w:ind w:leftChars="0"/>
        <w:jc w:val="left"/>
        <w:rPr>
          <w:rFonts w:hint="eastAsia" w:ascii="宋体" w:hAnsi="宋体" w:cs="宋体"/>
          <w:b/>
          <w:bCs w:val="0"/>
          <w:sz w:val="24"/>
          <w:szCs w:val="24"/>
          <w:lang w:val="en-US" w:eastAsia="zh-CN"/>
        </w:rPr>
      </w:pPr>
      <w:r>
        <w:rPr>
          <w:rFonts w:hint="eastAsia" w:ascii="宋体" w:hAnsi="宋体" w:cs="宋体"/>
          <w:b/>
          <w:bCs w:val="0"/>
          <w:sz w:val="24"/>
          <w:szCs w:val="24"/>
          <w:lang w:val="en-US" w:eastAsia="zh-CN"/>
        </w:rPr>
        <w:t>付款方式及节点不允许偏离。</w:t>
      </w:r>
    </w:p>
    <w:p>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3" w:name="_Toc47976607"/>
    </w:p>
    <w:p>
      <w:pPr>
        <w:widowControl/>
        <w:adjustRightInd w:val="0"/>
        <w:snapToGrid w:val="0"/>
        <w:spacing w:line="360" w:lineRule="auto"/>
        <w:jc w:val="left"/>
        <w:rPr>
          <w:rFonts w:ascii="宋体" w:hAnsi="宋体"/>
          <w:b/>
          <w:bCs/>
          <w:sz w:val="24"/>
          <w:szCs w:val="24"/>
        </w:rPr>
      </w:pPr>
      <w:bookmarkStart w:id="14" w:name="_Toc16839"/>
      <w:r>
        <w:rPr>
          <w:rFonts w:ascii="宋体" w:hAnsi="宋体"/>
          <w:sz w:val="24"/>
          <w:szCs w:val="24"/>
        </w:rPr>
        <w:br w:type="page"/>
      </w:r>
    </w:p>
    <w:p>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3"/>
      <w:r>
        <w:rPr>
          <w:rFonts w:hint="eastAsia" w:ascii="宋体" w:hAnsi="宋体" w:eastAsia="宋体"/>
          <w:sz w:val="24"/>
          <w:szCs w:val="24"/>
        </w:rPr>
        <w:t>技术标书</w:t>
      </w:r>
      <w:bookmarkEnd w:id="14"/>
    </w:p>
    <w:p>
      <w:pPr>
        <w:adjustRightInd w:val="0"/>
        <w:snapToGrid w:val="0"/>
        <w:spacing w:line="360" w:lineRule="auto"/>
        <w:jc w:val="center"/>
        <w:rPr>
          <w:rFonts w:hint="eastAsia" w:ascii="宋体" w:hAnsi="宋体"/>
          <w:sz w:val="24"/>
          <w:szCs w:val="24"/>
        </w:rPr>
      </w:pPr>
      <w:r>
        <w:rPr>
          <w:rFonts w:hint="eastAsia" w:ascii="宋体" w:hAnsi="宋体" w:cs="Times New Roman"/>
          <w:sz w:val="24"/>
          <w:szCs w:val="24"/>
          <w:lang w:val="en-US" w:eastAsia="zh-CN"/>
        </w:rPr>
        <w:t>文化阵地建设</w:t>
      </w:r>
      <w:r>
        <w:rPr>
          <w:rFonts w:hint="eastAsia" w:ascii="宋体" w:hAnsi="宋体" w:cs="Times New Roman"/>
          <w:sz w:val="24"/>
          <w:szCs w:val="24"/>
        </w:rPr>
        <w:t>要</w:t>
      </w:r>
      <w:r>
        <w:rPr>
          <w:rFonts w:hint="eastAsia" w:ascii="宋体" w:hAnsi="宋体"/>
          <w:sz w:val="24"/>
          <w:szCs w:val="24"/>
        </w:rPr>
        <w:t>求</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一、项目背景</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重庆汽车党风廉政文化阵地建设项目紧紧围绕党建为引领、廉洁为底线、工会为纽带、文化为核心，打造集思想教育、文化熏陶、形象展示于一体的文化阵地，让员工在休闲中受教育、在漫步中受感染，真正实现文化看得见、摸得着、感受得到。</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二、招标内容</w:t>
      </w:r>
    </w:p>
    <w:p>
      <w:pPr>
        <w:numPr>
          <w:ilvl w:val="0"/>
          <w:numId w:val="0"/>
        </w:numPr>
        <w:adjustRightInd w:val="0"/>
        <w:snapToGrid w:val="0"/>
        <w:spacing w:line="360" w:lineRule="auto"/>
        <w:ind w:leftChars="0" w:firstLine="480" w:firstLine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该项目为户外打造展示，费用控制在8万元以内，主要在职工餐厅南侧空地上打造文化阵地。主要内容：一是策划设计，包括文化阵地策划方案、布展设计、路线建设、下料清单等内容。二是布展工程，按照设计方案对文化阵地进行安装施工。三是作为户外展示，考虑户外风吹日晒，不易变形损坏。</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三、服务内容</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该项目为全包项目，利用现有草坪特点，整体规划展示党建引领区、廉洁自律区、企业文化区、工会服务区等四个板块内容展示，各展示区域具有特色，如党建需有红色党的元素、廉洁需有荷花及清廉等元素，同时在草坪上用青石板铺设路线，可供员工参观休闲，整个文化阵地包括规划设计、制作施工。该项目定标签订合同后，需15个工作日完成施工安装。</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四、技术要求</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投标人注册资金≥50万元，具有广告宣传设计制作类等营业执照，具备宣传品设计制作安装能力，具有3个以上户外党建、文化公园、阵地建设等项目。</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投标人需有固定的设计制作安装团队，充分利用户外空间，设计</w:t>
      </w:r>
      <w:r>
        <w:rPr>
          <w:rFonts w:hint="default" w:ascii="宋体" w:hAnsi="宋体" w:cs="宋体"/>
          <w:bCs/>
          <w:sz w:val="24"/>
          <w:szCs w:val="24"/>
          <w:lang w:val="en-US" w:eastAsia="zh-CN"/>
        </w:rPr>
        <w:t>主题突出，重点展项鲜明，</w:t>
      </w:r>
      <w:r>
        <w:rPr>
          <w:rFonts w:hint="eastAsia" w:ascii="宋体" w:hAnsi="宋体" w:cs="宋体"/>
          <w:bCs/>
          <w:sz w:val="24"/>
          <w:szCs w:val="24"/>
          <w:lang w:val="en-US" w:eastAsia="zh-CN"/>
        </w:rPr>
        <w:t>参观线路清晰，设计新颖，需设计一个整体文化阵地建设项目实施方案</w:t>
      </w:r>
      <w:r>
        <w:rPr>
          <w:rFonts w:hint="default" w:ascii="宋体" w:hAnsi="宋体" w:cs="宋体"/>
          <w:bCs/>
          <w:sz w:val="24"/>
          <w:szCs w:val="24"/>
          <w:lang w:val="en-US" w:eastAsia="zh-CN"/>
        </w:rPr>
        <w:t>。</w:t>
      </w:r>
      <w:r>
        <w:rPr>
          <w:rFonts w:hint="eastAsia" w:ascii="宋体" w:hAnsi="宋体" w:cs="宋体"/>
          <w:bCs/>
          <w:sz w:val="24"/>
          <w:szCs w:val="24"/>
          <w:lang w:val="en-US" w:eastAsia="zh-CN"/>
        </w:rPr>
        <w:t>整体打造内容按照设计方案制作，按照招标人指定位置安装。</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安全责任：在整个项目实施期间，出现的安全事故责任需由投标方自行负责。</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质量要求：符合行业相关标准。完成验收合格后至少保证2年内不变质、不褪色，图形文字边缘应光滑、文字及字母清晰、不受季节的影响，无剥落、无缺损。出现质量问题，质保期内免费更换，包括维护维修、材料更换等，所产生的费用均由中标人承担。投标人需在投标文件中承诺在质保期内若发现质量问题，接到招标人维护邀请后，在1小时内给予答复，3日内解决。</w:t>
      </w:r>
    </w:p>
    <w:p>
      <w:pPr>
        <w:pStyle w:val="2"/>
      </w:pPr>
    </w:p>
    <w:p>
      <w:pPr>
        <w:pStyle w:val="72"/>
        <w:adjustRightInd w:val="0"/>
        <w:snapToGrid w:val="0"/>
        <w:jc w:val="left"/>
        <w:outlineLvl w:val="9"/>
        <w:rPr>
          <w:rFonts w:ascii="宋体" w:hAnsi="宋体" w:eastAsia="宋体"/>
          <w:color w:val="000000"/>
          <w:sz w:val="24"/>
          <w:szCs w:val="24"/>
        </w:rPr>
      </w:pPr>
      <w:bookmarkStart w:id="15" w:name="_Toc47976615"/>
      <w:bookmarkStart w:id="16" w:name="_Toc16500"/>
      <w:r>
        <w:rPr>
          <w:rFonts w:hint="eastAsia" w:ascii="宋体" w:hAnsi="宋体" w:eastAsia="宋体"/>
          <w:sz w:val="24"/>
          <w:szCs w:val="24"/>
        </w:rPr>
        <w:t>第三部分　</w:t>
      </w:r>
      <w:bookmarkEnd w:id="15"/>
      <w:r>
        <w:rPr>
          <w:rFonts w:hint="eastAsia" w:ascii="宋体" w:hAnsi="宋体" w:eastAsia="宋体"/>
          <w:sz w:val="24"/>
          <w:szCs w:val="24"/>
        </w:rPr>
        <w:t>投标文件附件</w:t>
      </w:r>
      <w:bookmarkEnd w:id="16"/>
    </w:p>
    <w:p>
      <w:pPr>
        <w:pStyle w:val="15"/>
        <w:adjustRightInd w:val="0"/>
        <w:snapToGrid w:val="0"/>
        <w:spacing w:line="360" w:lineRule="auto"/>
        <w:jc w:val="left"/>
        <w:rPr>
          <w:rFonts w:hAnsi="宋体"/>
          <w:sz w:val="24"/>
          <w:szCs w:val="24"/>
        </w:rPr>
      </w:pPr>
    </w:p>
    <w:p>
      <w:pPr>
        <w:pStyle w:val="73"/>
        <w:numPr>
          <w:ilvl w:val="0"/>
          <w:numId w:val="0"/>
        </w:numPr>
        <w:adjustRightInd w:val="0"/>
        <w:snapToGrid w:val="0"/>
        <w:jc w:val="left"/>
        <w:outlineLvl w:val="9"/>
        <w:rPr>
          <w:rFonts w:ascii="宋体" w:hAnsi="宋体" w:eastAsia="宋体" w:cs="宋体"/>
          <w:sz w:val="24"/>
          <w:szCs w:val="24"/>
        </w:rPr>
      </w:pPr>
      <w:bookmarkStart w:id="17" w:name="_Toc47976618"/>
      <w:bookmarkStart w:id="18" w:name="_Toc29366869"/>
      <w:bookmarkStart w:id="19" w:name="_Toc29366865"/>
      <w:r>
        <w:rPr>
          <w:rFonts w:hint="eastAsia" w:ascii="宋体" w:hAnsi="宋体" w:eastAsia="宋体" w:cs="宋体"/>
          <w:sz w:val="24"/>
          <w:szCs w:val="24"/>
        </w:rPr>
        <w:t>附件1 法定代表人授权委托书</w:t>
      </w:r>
    </w:p>
    <w:bookmarkEnd w:id="17"/>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文化阵地建设项目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both"/>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文化阵地建设项目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8"/>
    <w:bookmarkEnd w:id="19"/>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3"/>
        <w:numPr>
          <w:ilvl w:val="0"/>
          <w:numId w:val="0"/>
        </w:numPr>
        <w:adjustRightInd w:val="0"/>
        <w:snapToGrid w:val="0"/>
        <w:jc w:val="left"/>
        <w:outlineLvl w:val="9"/>
        <w:rPr>
          <w:rFonts w:ascii="宋体" w:hAnsi="宋体" w:eastAsia="宋体" w:cs="宋体"/>
          <w:sz w:val="24"/>
          <w:szCs w:val="24"/>
        </w:rPr>
      </w:pPr>
      <w:bookmarkStart w:id="20" w:name="_Toc4225"/>
      <w:bookmarkStart w:id="21" w:name="_Toc47976616"/>
      <w:r>
        <w:rPr>
          <w:rFonts w:hint="eastAsia" w:ascii="宋体" w:hAnsi="宋体" w:eastAsia="宋体" w:cs="宋体"/>
          <w:sz w:val="24"/>
          <w:szCs w:val="24"/>
        </w:rPr>
        <w:t>附件</w:t>
      </w:r>
      <w:bookmarkEnd w:id="20"/>
      <w:bookmarkEnd w:id="21"/>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both"/>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lang w:val="en-US" w:eastAsia="zh-CN"/>
        </w:rPr>
        <w:t xml:space="preserve"> </w:t>
      </w:r>
      <w:r>
        <w:rPr>
          <w:rFonts w:hint="eastAsia" w:ascii="宋体" w:hAnsi="宋体"/>
          <w:color w:val="000000"/>
          <w:sz w:val="24"/>
          <w:szCs w:val="24"/>
          <w:u w:val="single"/>
          <w:lang w:val="en-US" w:eastAsia="zh-CN"/>
        </w:rPr>
        <w:t>病虫害防治</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7"/>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lang w:val="en-US" w:eastAsia="zh-CN"/>
              </w:rPr>
              <w:t>病虫害防治</w:t>
            </w:r>
            <w:r>
              <w:rPr>
                <w:rFonts w:hint="eastAsia" w:ascii="宋体" w:hAnsi="宋体" w:cs="宋体"/>
                <w:b/>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lang w:val="en-US" w:eastAsia="zh-CN"/>
              </w:rPr>
              <w:t>服务</w:t>
            </w:r>
            <w:r>
              <w:rPr>
                <w:rFonts w:hint="eastAsia" w:ascii="宋体" w:hAnsi="宋体" w:cs="宋体"/>
                <w:b/>
                <w:sz w:val="24"/>
                <w:szCs w:val="24"/>
              </w:rPr>
              <w:t>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2"/>
        <w:adjustRightInd w:val="0"/>
        <w:snapToGrid w:val="0"/>
        <w:spacing w:line="360" w:lineRule="auto"/>
        <w:jc w:val="left"/>
        <w:rPr>
          <w:rFonts w:ascii="宋体" w:hAnsi="宋体" w:eastAsia="宋体"/>
          <w:sz w:val="24"/>
          <w:szCs w:val="24"/>
        </w:rPr>
      </w:pPr>
    </w:p>
    <w:p>
      <w:pPr>
        <w:pStyle w:val="77"/>
        <w:adjustRightInd w:val="0"/>
        <w:snapToGrid w:val="0"/>
        <w:rPr>
          <w:rFonts w:hAnsi="宋体"/>
          <w:sz w:val="24"/>
          <w:szCs w:val="24"/>
        </w:rPr>
      </w:pPr>
    </w:p>
    <w:p>
      <w:pPr>
        <w:pStyle w:val="77"/>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2"/>
        <w:adjustRightInd w:val="0"/>
        <w:snapToGrid w:val="0"/>
        <w:spacing w:line="360" w:lineRule="auto"/>
        <w:jc w:val="left"/>
        <w:rPr>
          <w:rFonts w:ascii="宋体" w:hAnsi="宋体" w:eastAsia="宋体"/>
          <w:b/>
          <w:sz w:val="24"/>
          <w:szCs w:val="24"/>
        </w:rPr>
      </w:pPr>
    </w:p>
    <w:p>
      <w:pPr>
        <w:pStyle w:val="1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3"/>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2"/>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5"/>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5"/>
        <w:adjustRightInd w:val="0"/>
        <w:snapToGrid w:val="0"/>
        <w:spacing w:line="360" w:lineRule="auto"/>
        <w:jc w:val="left"/>
        <w:rPr>
          <w:rFonts w:hAnsi="宋体"/>
          <w:sz w:val="24"/>
          <w:szCs w:val="24"/>
        </w:rPr>
      </w:pPr>
    </w:p>
    <w:p>
      <w:pPr>
        <w:pStyle w:val="15"/>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35"/>
      </w:rPr>
    </w:pPr>
    <w:r>
      <w:fldChar w:fldCharType="begin"/>
    </w:r>
    <w:r>
      <w:rPr>
        <w:rStyle w:val="35"/>
      </w:rPr>
      <w:instrText xml:space="preserve">PAGE  </w:instrText>
    </w:r>
    <w:r>
      <w:fldChar w:fldCharType="end"/>
    </w:r>
  </w:p>
  <w:p>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1">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0"/>
  </w:num>
  <w:num w:numId="3">
    <w:abstractNumId w:val="26"/>
  </w:num>
  <w:num w:numId="4">
    <w:abstractNumId w:val="24"/>
  </w:num>
  <w:num w:numId="5">
    <w:abstractNumId w:val="6"/>
  </w:num>
  <w:num w:numId="6">
    <w:abstractNumId w:val="9"/>
  </w:num>
  <w:num w:numId="7">
    <w:abstractNumId w:val="11"/>
  </w:num>
  <w:num w:numId="8">
    <w:abstractNumId w:val="25"/>
  </w:num>
  <w:num w:numId="9">
    <w:abstractNumId w:val="27"/>
  </w:num>
  <w:num w:numId="10">
    <w:abstractNumId w:val="7"/>
  </w:num>
  <w:num w:numId="11">
    <w:abstractNumId w:val="20"/>
  </w:num>
  <w:num w:numId="12">
    <w:abstractNumId w:val="21"/>
  </w:num>
  <w:num w:numId="13">
    <w:abstractNumId w:val="3"/>
  </w:num>
  <w:num w:numId="14">
    <w:abstractNumId w:val="5"/>
  </w:num>
  <w:num w:numId="15">
    <w:abstractNumId w:val="1"/>
  </w:num>
  <w:num w:numId="16">
    <w:abstractNumId w:val="29"/>
  </w:num>
  <w:num w:numId="17">
    <w:abstractNumId w:val="18"/>
  </w:num>
  <w:num w:numId="18">
    <w:abstractNumId w:val="10"/>
  </w:num>
  <w:num w:numId="19">
    <w:abstractNumId w:val="23"/>
  </w:num>
  <w:num w:numId="20">
    <w:abstractNumId w:val="4"/>
  </w:num>
  <w:num w:numId="21">
    <w:abstractNumId w:val="13"/>
  </w:num>
  <w:num w:numId="22">
    <w:abstractNumId w:val="8"/>
  </w:num>
  <w:num w:numId="23">
    <w:abstractNumId w:val="28"/>
  </w:num>
  <w:num w:numId="24">
    <w:abstractNumId w:val="17"/>
  </w:num>
  <w:num w:numId="25">
    <w:abstractNumId w:val="31"/>
  </w:num>
  <w:num w:numId="26">
    <w:abstractNumId w:val="0"/>
  </w:num>
  <w:num w:numId="27">
    <w:abstractNumId w:val="14"/>
  </w:num>
  <w:num w:numId="28">
    <w:abstractNumId w:val="15"/>
  </w:num>
  <w:num w:numId="29">
    <w:abstractNumId w:val="16"/>
  </w:num>
  <w:num w:numId="30">
    <w:abstractNumId w:val="19"/>
  </w:num>
  <w:num w:numId="31">
    <w:abstractNumId w:val="12"/>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700AB7"/>
    <w:rsid w:val="03F033B0"/>
    <w:rsid w:val="042D24CA"/>
    <w:rsid w:val="042D7FF0"/>
    <w:rsid w:val="057C1D39"/>
    <w:rsid w:val="05891259"/>
    <w:rsid w:val="0654565B"/>
    <w:rsid w:val="07335066"/>
    <w:rsid w:val="08633479"/>
    <w:rsid w:val="0A486315"/>
    <w:rsid w:val="0A63147A"/>
    <w:rsid w:val="0A81331A"/>
    <w:rsid w:val="0ADB2EF0"/>
    <w:rsid w:val="0ADD4CBE"/>
    <w:rsid w:val="0C83309C"/>
    <w:rsid w:val="0CB51572"/>
    <w:rsid w:val="0DE73E36"/>
    <w:rsid w:val="0E1E5070"/>
    <w:rsid w:val="0E4D31E3"/>
    <w:rsid w:val="0E530E38"/>
    <w:rsid w:val="10866817"/>
    <w:rsid w:val="10DC2AA3"/>
    <w:rsid w:val="10FA7C8C"/>
    <w:rsid w:val="12177C84"/>
    <w:rsid w:val="12F64B6E"/>
    <w:rsid w:val="130B198F"/>
    <w:rsid w:val="13B54178"/>
    <w:rsid w:val="13FA68E0"/>
    <w:rsid w:val="15BB1367"/>
    <w:rsid w:val="16040658"/>
    <w:rsid w:val="160B29C0"/>
    <w:rsid w:val="16675143"/>
    <w:rsid w:val="16A918E4"/>
    <w:rsid w:val="17096457"/>
    <w:rsid w:val="17D966D6"/>
    <w:rsid w:val="18B81A9F"/>
    <w:rsid w:val="19517BDA"/>
    <w:rsid w:val="19E33213"/>
    <w:rsid w:val="1A463A67"/>
    <w:rsid w:val="1A6A7BF0"/>
    <w:rsid w:val="1B481CDF"/>
    <w:rsid w:val="1BA3160C"/>
    <w:rsid w:val="1BC71D3B"/>
    <w:rsid w:val="1C59115B"/>
    <w:rsid w:val="1D596BD7"/>
    <w:rsid w:val="1E296445"/>
    <w:rsid w:val="1EFD1680"/>
    <w:rsid w:val="1FB23E60"/>
    <w:rsid w:val="1FBA79B4"/>
    <w:rsid w:val="200A1F52"/>
    <w:rsid w:val="210B524C"/>
    <w:rsid w:val="212F23EA"/>
    <w:rsid w:val="21F50ADF"/>
    <w:rsid w:val="226A2E83"/>
    <w:rsid w:val="227640E7"/>
    <w:rsid w:val="227F2CA6"/>
    <w:rsid w:val="22C5630B"/>
    <w:rsid w:val="23567554"/>
    <w:rsid w:val="235F43AF"/>
    <w:rsid w:val="23EC0BA6"/>
    <w:rsid w:val="24701A48"/>
    <w:rsid w:val="24D67E51"/>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B67D8A"/>
    <w:rsid w:val="2EF96EE4"/>
    <w:rsid w:val="31E37A09"/>
    <w:rsid w:val="32C207BF"/>
    <w:rsid w:val="3380787D"/>
    <w:rsid w:val="33822A0F"/>
    <w:rsid w:val="34936B2B"/>
    <w:rsid w:val="34F565DC"/>
    <w:rsid w:val="35D271A0"/>
    <w:rsid w:val="36254FE4"/>
    <w:rsid w:val="36AA39B8"/>
    <w:rsid w:val="372F61E0"/>
    <w:rsid w:val="38500BF1"/>
    <w:rsid w:val="39322FCA"/>
    <w:rsid w:val="395C1BFB"/>
    <w:rsid w:val="39FD1A54"/>
    <w:rsid w:val="3A503E1E"/>
    <w:rsid w:val="3AB90991"/>
    <w:rsid w:val="3B6C1963"/>
    <w:rsid w:val="3B706131"/>
    <w:rsid w:val="3BF833EC"/>
    <w:rsid w:val="3C8E02FC"/>
    <w:rsid w:val="3E0838CB"/>
    <w:rsid w:val="3E6F041E"/>
    <w:rsid w:val="3E846635"/>
    <w:rsid w:val="3F9D2397"/>
    <w:rsid w:val="407C308A"/>
    <w:rsid w:val="418D0CE6"/>
    <w:rsid w:val="41A5482C"/>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2E4DE4"/>
    <w:rsid w:val="4B592E71"/>
    <w:rsid w:val="4C0B0F4F"/>
    <w:rsid w:val="4C142ECC"/>
    <w:rsid w:val="4C361D0D"/>
    <w:rsid w:val="4CD32C8D"/>
    <w:rsid w:val="4DF75369"/>
    <w:rsid w:val="4EA23B01"/>
    <w:rsid w:val="4EB0217D"/>
    <w:rsid w:val="4F482E54"/>
    <w:rsid w:val="4F8B220C"/>
    <w:rsid w:val="504F4EAF"/>
    <w:rsid w:val="506F3702"/>
    <w:rsid w:val="516C4BAA"/>
    <w:rsid w:val="51D51447"/>
    <w:rsid w:val="52B9239A"/>
    <w:rsid w:val="52D52A7F"/>
    <w:rsid w:val="54BD78FD"/>
    <w:rsid w:val="552A3C28"/>
    <w:rsid w:val="555A2DA3"/>
    <w:rsid w:val="56901A99"/>
    <w:rsid w:val="58A86DDE"/>
    <w:rsid w:val="58EA204C"/>
    <w:rsid w:val="59154AD7"/>
    <w:rsid w:val="5A542AB4"/>
    <w:rsid w:val="5ABB1768"/>
    <w:rsid w:val="5ADF548D"/>
    <w:rsid w:val="5B547A6B"/>
    <w:rsid w:val="5BF95104"/>
    <w:rsid w:val="5C4627AE"/>
    <w:rsid w:val="5C9249CA"/>
    <w:rsid w:val="5CF63611"/>
    <w:rsid w:val="5D5C60B4"/>
    <w:rsid w:val="5D8073BF"/>
    <w:rsid w:val="5F4F52F9"/>
    <w:rsid w:val="60651FB9"/>
    <w:rsid w:val="614E12EC"/>
    <w:rsid w:val="616D6769"/>
    <w:rsid w:val="629E3C71"/>
    <w:rsid w:val="63A37F94"/>
    <w:rsid w:val="63F04A69"/>
    <w:rsid w:val="63FC207C"/>
    <w:rsid w:val="646A3D0C"/>
    <w:rsid w:val="64A82747"/>
    <w:rsid w:val="65336B29"/>
    <w:rsid w:val="65AA5B01"/>
    <w:rsid w:val="6622379F"/>
    <w:rsid w:val="66A50B1E"/>
    <w:rsid w:val="67095CF1"/>
    <w:rsid w:val="674E3DF4"/>
    <w:rsid w:val="67B2063C"/>
    <w:rsid w:val="67C97AC3"/>
    <w:rsid w:val="67E30EC1"/>
    <w:rsid w:val="6A4E3B2B"/>
    <w:rsid w:val="6AC838A9"/>
    <w:rsid w:val="6B3837F7"/>
    <w:rsid w:val="6B481C3B"/>
    <w:rsid w:val="6B875383"/>
    <w:rsid w:val="6B914DF2"/>
    <w:rsid w:val="6BBD7F47"/>
    <w:rsid w:val="6C1331A3"/>
    <w:rsid w:val="6C765676"/>
    <w:rsid w:val="6C902F9F"/>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64F7753"/>
    <w:rsid w:val="76AC3757"/>
    <w:rsid w:val="77AD2167"/>
    <w:rsid w:val="77D4005C"/>
    <w:rsid w:val="78292927"/>
    <w:rsid w:val="78E42452"/>
    <w:rsid w:val="79DB1CEE"/>
    <w:rsid w:val="7B9854E0"/>
    <w:rsid w:val="7C6021A7"/>
    <w:rsid w:val="7CAB4D9F"/>
    <w:rsid w:val="7CB93F8E"/>
    <w:rsid w:val="7CF66B46"/>
    <w:rsid w:val="7D4A0A5C"/>
    <w:rsid w:val="7D97125D"/>
    <w:rsid w:val="7DB618B0"/>
    <w:rsid w:val="7DBD28BA"/>
    <w:rsid w:val="7E736B66"/>
    <w:rsid w:val="7E741B85"/>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112"/>
    <w:semiHidden/>
    <w:qFormat/>
    <w:uiPriority w:val="0"/>
    <w:pPr>
      <w:keepNext/>
      <w:keepLines/>
      <w:spacing w:line="416" w:lineRule="auto"/>
      <w:outlineLvl w:val="2"/>
    </w:pPr>
    <w:rPr>
      <w:b/>
      <w:bCs/>
      <w:sz w:val="32"/>
      <w:szCs w:val="32"/>
    </w:rPr>
  </w:style>
  <w:style w:type="paragraph" w:styleId="6">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index 6"/>
    <w:basedOn w:val="1"/>
    <w:next w:val="1"/>
    <w:qFormat/>
    <w:uiPriority w:val="0"/>
    <w:rPr>
      <w:rFonts w:ascii="宋体" w:hAnsi="宋体"/>
      <w:color w:val="000000"/>
      <w:sz w:val="20"/>
      <w:szCs w:val="20"/>
    </w:rPr>
  </w:style>
  <w:style w:type="paragraph" w:styleId="8">
    <w:name w:val="E-mail Signature"/>
    <w:basedOn w:val="1"/>
    <w:link w:val="105"/>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6"/>
    <w:qFormat/>
    <w:uiPriority w:val="99"/>
    <w:pPr>
      <w:jc w:val="left"/>
    </w:pPr>
  </w:style>
  <w:style w:type="paragraph" w:styleId="12">
    <w:name w:val="Body Text"/>
    <w:basedOn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1"/>
    <w:next w:val="11"/>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1"/>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3"/>
    <w:semiHidden/>
    <w:qFormat/>
    <w:uiPriority w:val="0"/>
    <w:rPr>
      <w:b/>
      <w:bCs/>
      <w:kern w:val="44"/>
      <w:sz w:val="44"/>
      <w:szCs w:val="44"/>
    </w:rPr>
  </w:style>
  <w:style w:type="paragraph" w:customStyle="1" w:styleId="69">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6"/>
    <w:semiHidden/>
    <w:qFormat/>
    <w:uiPriority w:val="0"/>
    <w:rPr>
      <w:rFonts w:ascii="Arial" w:hAnsi="Arial"/>
      <w:b/>
      <w:bCs/>
      <w:kern w:val="2"/>
      <w:sz w:val="21"/>
      <w:szCs w:val="28"/>
    </w:rPr>
  </w:style>
  <w:style w:type="character" w:customStyle="1" w:styleId="79">
    <w:name w:val="标题 5 字符"/>
    <w:basedOn w:val="33"/>
    <w:link w:val="7"/>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4"/>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10"/>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8"/>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5"/>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23</Pages>
  <Words>8988</Words>
  <Characters>9818</Characters>
  <Lines>79</Lines>
  <Paragraphs>22</Paragraphs>
  <TotalTime>30</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2026-05-14T02:37:54Z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