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杭发公司防雷检测</w:t>
      </w:r>
      <w:r>
        <w:rPr>
          <w:rFonts w:hint="eastAsia" w:ascii="楷体_GB2312" w:hAnsi="宋体" w:eastAsia="楷体_GB2312"/>
          <w:sz w:val="52"/>
          <w:szCs w:val="52"/>
        </w:rPr>
        <w:t>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项目编号：ZBGL2026050109</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5</w:t>
      </w:r>
      <w:r>
        <w:rPr>
          <w:rFonts w:hint="eastAsia" w:ascii="宋体" w:hAnsi="宋体"/>
          <w:sz w:val="28"/>
          <w:szCs w:val="28"/>
          <w:u w:val="single"/>
        </w:rPr>
        <w:t>月</w:t>
      </w:r>
    </w:p>
    <w:p w14:paraId="10E3915B">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63E107BC">
      <w:pPr>
        <w:pStyle w:val="16"/>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lang w:val="en-US" w:eastAsia="zh-CN"/>
        </w:rPr>
        <w:t>杭发公司防雷检测</w:t>
      </w:r>
      <w:r>
        <w:rPr>
          <w:rFonts w:hint="eastAsia"/>
          <w:sz w:val="28"/>
          <w:u w:val="single"/>
        </w:rPr>
        <w:t>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w:t>
      </w:r>
      <w:r>
        <w:rPr>
          <w:rFonts w:hint="eastAsia"/>
          <w:lang w:val="en-US" w:eastAsia="zh-CN"/>
        </w:rPr>
        <w:t>杭发公司防雷检测项目</w:t>
      </w:r>
    </w:p>
    <w:p w14:paraId="15020D03">
      <w:pPr>
        <w:pStyle w:val="75"/>
      </w:pPr>
      <w:r>
        <w:rPr>
          <w:rFonts w:hint="eastAsia"/>
        </w:rPr>
        <w:t>项目编号：ZBGL2026050109</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lang w:val="en-US" w:eastAsia="zh-CN"/>
        </w:rPr>
        <w:t>杭发公司防雷检测项目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701"/>
        <w:gridCol w:w="1625"/>
        <w:gridCol w:w="1679"/>
        <w:gridCol w:w="1091"/>
        <w:gridCol w:w="709"/>
        <w:gridCol w:w="1789"/>
      </w:tblGrid>
      <w:tr w14:paraId="502C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AC7E725">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1701" w:type="dxa"/>
            <w:vAlign w:val="center"/>
          </w:tcPr>
          <w:p w14:paraId="3E2ABB0A">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1625" w:type="dxa"/>
            <w:vAlign w:val="center"/>
          </w:tcPr>
          <w:p w14:paraId="553AB48B">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w:t>
            </w:r>
          </w:p>
        </w:tc>
        <w:tc>
          <w:tcPr>
            <w:tcW w:w="1679" w:type="dxa"/>
            <w:vAlign w:val="center"/>
          </w:tcPr>
          <w:p w14:paraId="2F6FA151">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一年内检测次数（次）</w:t>
            </w:r>
          </w:p>
        </w:tc>
        <w:tc>
          <w:tcPr>
            <w:tcW w:w="1091" w:type="dxa"/>
            <w:vAlign w:val="center"/>
          </w:tcPr>
          <w:p w14:paraId="0F1B8CB3">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点位数（个）</w:t>
            </w:r>
          </w:p>
        </w:tc>
        <w:tc>
          <w:tcPr>
            <w:tcW w:w="709" w:type="dxa"/>
            <w:vAlign w:val="center"/>
          </w:tcPr>
          <w:p w14:paraId="41397D0D">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c>
          <w:tcPr>
            <w:tcW w:w="1789" w:type="dxa"/>
            <w:vAlign w:val="center"/>
          </w:tcPr>
          <w:p w14:paraId="2C7CBAF9">
            <w:pPr>
              <w:pStyle w:val="75"/>
              <w:numPr>
                <w:ilvl w:val="0"/>
                <w:numId w:val="0"/>
              </w:numPr>
              <w:jc w:val="center"/>
              <w:rPr>
                <w:rFonts w:hint="default"/>
                <w:sz w:val="15"/>
                <w:szCs w:val="15"/>
                <w:vertAlign w:val="baseline"/>
                <w:lang w:val="en-US" w:eastAsia="zh-CN"/>
              </w:rPr>
            </w:pPr>
            <w:r>
              <w:rPr>
                <w:rFonts w:hint="eastAsia"/>
                <w:sz w:val="15"/>
                <w:szCs w:val="15"/>
                <w:vertAlign w:val="baseline"/>
                <w:lang w:val="en-US" w:eastAsia="zh-CN"/>
              </w:rPr>
              <w:t>备注</w:t>
            </w:r>
          </w:p>
        </w:tc>
      </w:tr>
      <w:tr w14:paraId="68E8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E7A751C">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1</w:t>
            </w:r>
          </w:p>
        </w:tc>
        <w:tc>
          <w:tcPr>
            <w:tcW w:w="1701" w:type="dxa"/>
            <w:vAlign w:val="center"/>
          </w:tcPr>
          <w:p w14:paraId="3CE22246">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二类检测点</w:t>
            </w:r>
          </w:p>
        </w:tc>
        <w:tc>
          <w:tcPr>
            <w:tcW w:w="1625" w:type="dxa"/>
            <w:vAlign w:val="center"/>
          </w:tcPr>
          <w:p w14:paraId="47DF7542">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w:t>
            </w:r>
          </w:p>
        </w:tc>
        <w:tc>
          <w:tcPr>
            <w:tcW w:w="1679" w:type="dxa"/>
            <w:vAlign w:val="center"/>
          </w:tcPr>
          <w:p w14:paraId="0E58019F">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2</w:t>
            </w:r>
          </w:p>
        </w:tc>
        <w:tc>
          <w:tcPr>
            <w:tcW w:w="1091" w:type="dxa"/>
            <w:vAlign w:val="center"/>
          </w:tcPr>
          <w:p w14:paraId="6CA2ECA4">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62</w:t>
            </w:r>
          </w:p>
        </w:tc>
        <w:tc>
          <w:tcPr>
            <w:tcW w:w="709" w:type="dxa"/>
            <w:vAlign w:val="center"/>
          </w:tcPr>
          <w:p w14:paraId="40886816">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次/点位</w:t>
            </w:r>
          </w:p>
        </w:tc>
        <w:tc>
          <w:tcPr>
            <w:tcW w:w="1789" w:type="dxa"/>
            <w:vAlign w:val="center"/>
          </w:tcPr>
          <w:p w14:paraId="77255AC2">
            <w:pPr>
              <w:keepNext w:val="0"/>
              <w:keepLines w:val="0"/>
              <w:widowControl/>
              <w:suppressLineNumbers w:val="0"/>
              <w:jc w:val="center"/>
              <w:textAlignment w:val="center"/>
              <w:rPr>
                <w:rFonts w:hint="default"/>
                <w:sz w:val="15"/>
                <w:szCs w:val="15"/>
                <w:vertAlign w:val="baseline"/>
                <w:lang w:val="en-US" w:eastAsia="zh-CN"/>
              </w:rPr>
            </w:pPr>
            <w:r>
              <w:rPr>
                <w:rFonts w:hint="eastAsia"/>
                <w:sz w:val="15"/>
                <w:szCs w:val="15"/>
                <w:vertAlign w:val="baseline"/>
                <w:lang w:val="en-US" w:eastAsia="zh-CN"/>
              </w:rPr>
              <w:t>检测后7天内出具报告</w:t>
            </w:r>
          </w:p>
        </w:tc>
      </w:tr>
      <w:tr w14:paraId="0DE4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C75718A">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2</w:t>
            </w:r>
          </w:p>
        </w:tc>
        <w:tc>
          <w:tcPr>
            <w:tcW w:w="1701" w:type="dxa"/>
            <w:vAlign w:val="center"/>
          </w:tcPr>
          <w:p w14:paraId="4EA59689">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三类检测点</w:t>
            </w:r>
          </w:p>
        </w:tc>
        <w:tc>
          <w:tcPr>
            <w:tcW w:w="1625" w:type="dxa"/>
            <w:vAlign w:val="center"/>
          </w:tcPr>
          <w:p w14:paraId="56608E26">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w:t>
            </w:r>
          </w:p>
        </w:tc>
        <w:tc>
          <w:tcPr>
            <w:tcW w:w="1679" w:type="dxa"/>
            <w:vAlign w:val="center"/>
          </w:tcPr>
          <w:p w14:paraId="5A2BECFB">
            <w:pPr>
              <w:keepNext w:val="0"/>
              <w:keepLines w:val="0"/>
              <w:widowControl/>
              <w:suppressLineNumbers w:val="0"/>
              <w:jc w:val="center"/>
              <w:textAlignment w:val="center"/>
              <w:rPr>
                <w:rFonts w:hint="eastAsia" w:eastAsia="宋体"/>
                <w:sz w:val="15"/>
                <w:szCs w:val="15"/>
                <w:vertAlign w:val="baseline"/>
                <w:lang w:val="en-US" w:eastAsia="zh-CN"/>
              </w:rPr>
            </w:pPr>
            <w:r>
              <w:rPr>
                <w:rFonts w:hint="eastAsia"/>
                <w:sz w:val="15"/>
                <w:szCs w:val="15"/>
                <w:vertAlign w:val="baseline"/>
                <w:lang w:val="en-US" w:eastAsia="zh-CN"/>
              </w:rPr>
              <w:t>1</w:t>
            </w:r>
          </w:p>
        </w:tc>
        <w:tc>
          <w:tcPr>
            <w:tcW w:w="1091" w:type="dxa"/>
            <w:vAlign w:val="center"/>
          </w:tcPr>
          <w:p w14:paraId="69358616">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2985</w:t>
            </w:r>
          </w:p>
        </w:tc>
        <w:tc>
          <w:tcPr>
            <w:tcW w:w="709" w:type="dxa"/>
            <w:vAlign w:val="center"/>
          </w:tcPr>
          <w:p w14:paraId="22C74F01">
            <w:pPr>
              <w:keepNext w:val="0"/>
              <w:keepLines w:val="0"/>
              <w:widowControl/>
              <w:suppressLineNumbers w:val="0"/>
              <w:jc w:val="center"/>
              <w:textAlignment w:val="center"/>
              <w:rPr>
                <w:sz w:val="15"/>
                <w:szCs w:val="15"/>
                <w:vertAlign w:val="baseline"/>
              </w:rPr>
            </w:pPr>
            <w:r>
              <w:rPr>
                <w:rFonts w:hint="eastAsia"/>
                <w:sz w:val="15"/>
                <w:szCs w:val="15"/>
                <w:vertAlign w:val="baseline"/>
                <w:lang w:val="en-US" w:eastAsia="zh-CN"/>
              </w:rPr>
              <w:t>次/点位</w:t>
            </w:r>
          </w:p>
        </w:tc>
        <w:tc>
          <w:tcPr>
            <w:tcW w:w="1789" w:type="dxa"/>
            <w:vAlign w:val="center"/>
          </w:tcPr>
          <w:p w14:paraId="391B60FC">
            <w:pPr>
              <w:keepNext w:val="0"/>
              <w:keepLines w:val="0"/>
              <w:widowControl/>
              <w:suppressLineNumbers w:val="0"/>
              <w:jc w:val="center"/>
              <w:textAlignment w:val="center"/>
              <w:rPr>
                <w:rFonts w:hint="eastAsia"/>
                <w:sz w:val="15"/>
                <w:szCs w:val="15"/>
                <w:vertAlign w:val="baseline"/>
                <w:lang w:val="en-US" w:eastAsia="zh-CN"/>
              </w:rPr>
            </w:pPr>
            <w:r>
              <w:rPr>
                <w:rFonts w:hint="eastAsia"/>
                <w:sz w:val="15"/>
                <w:szCs w:val="15"/>
                <w:vertAlign w:val="baseline"/>
                <w:lang w:val="en-US" w:eastAsia="zh-CN"/>
              </w:rPr>
              <w:t>检测后7天内出具报告</w:t>
            </w:r>
          </w:p>
        </w:tc>
      </w:tr>
    </w:tbl>
    <w:p w14:paraId="0A709B0E">
      <w:pPr>
        <w:pStyle w:val="7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eastAsia="宋体"/>
          <w:b w:val="0"/>
          <w:bCs/>
          <w:lang w:val="en-US" w:eastAsia="zh-CN"/>
        </w:rPr>
      </w:pPr>
      <w:r>
        <w:rPr>
          <w:rFonts w:hint="eastAsia"/>
          <w:b w:val="0"/>
          <w:bCs/>
          <w:lang w:val="en-US" w:eastAsia="zh-CN"/>
        </w:rPr>
        <w:t>检测场地为杭发公司厂区（含杭研区域）。</w:t>
      </w:r>
    </w:p>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yellow"/>
        </w:rPr>
      </w:pPr>
      <w:bookmarkStart w:id="5" w:name="_Toc47976590"/>
      <w:r>
        <w:rPr>
          <w:rFonts w:hint="eastAsia"/>
          <w:highlight w:val="yellow"/>
        </w:rPr>
        <w:t>投标人资格要求</w:t>
      </w:r>
      <w:bookmarkEnd w:id="5"/>
    </w:p>
    <w:p w14:paraId="4C22868D">
      <w:pPr>
        <w:pStyle w:val="16"/>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6"/>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能少于50万；经</w:t>
      </w:r>
      <w:r>
        <w:rPr>
          <w:rFonts w:hint="eastAsia" w:ascii="宋体" w:hAnsi="宋体" w:eastAsia="宋体" w:cs="宋体"/>
          <w:b w:val="0"/>
          <w:bCs w:val="0"/>
          <w:sz w:val="21"/>
          <w:szCs w:val="21"/>
        </w:rPr>
        <w:t>营范围满足招标项目需求；</w:t>
      </w:r>
    </w:p>
    <w:p w14:paraId="73AE4D8C">
      <w:pPr>
        <w:pStyle w:val="16"/>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6"/>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6"/>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6"/>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6"/>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6"/>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6"/>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6"/>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5</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19</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6"/>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5</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24</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5</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25</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10:00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开标地点：中国重汽集团杭州发动机有限公司；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技术联系人：黄工 13958725765</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商务联系人：黄工 13958725765</w:t>
      </w:r>
      <w:r>
        <w:br w:type="page"/>
      </w:r>
    </w:p>
    <w:p w14:paraId="3D820EEC">
      <w:pPr>
        <w:pStyle w:val="73"/>
      </w:pPr>
      <w:bookmarkStart w:id="10" w:name="_Toc7753"/>
      <w:bookmarkStart w:id="11" w:name="_Toc47976595"/>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w:t>
      </w:r>
      <w:r>
        <w:rPr>
          <w:rFonts w:hint="eastAsia"/>
          <w:lang w:val="en-US" w:eastAsia="zh-CN"/>
        </w:rPr>
        <w:t>杭发公司防雷检测项目</w:t>
      </w:r>
    </w:p>
    <w:p w14:paraId="17A97EAA">
      <w:pPr>
        <w:pStyle w:val="78"/>
        <w:numPr>
          <w:ilvl w:val="0"/>
          <w:numId w:val="12"/>
        </w:numPr>
        <w:ind w:left="425" w:leftChars="0" w:hanging="425" w:firstLineChars="0"/>
      </w:pPr>
      <w:r>
        <w:rPr>
          <w:rFonts w:hint="eastAsia"/>
        </w:rPr>
        <w:t>项目编号：ZBGL2026050109</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742B3A80">
      <w:pPr>
        <w:pStyle w:val="78"/>
        <w:numPr>
          <w:ilvl w:val="0"/>
          <w:numId w:val="12"/>
        </w:numPr>
        <w:ind w:left="425" w:leftChars="0" w:hanging="425" w:firstLineChars="0"/>
      </w:pPr>
      <w:r>
        <w:rPr>
          <w:rFonts w:hint="eastAsia"/>
          <w:lang w:val="en-US" w:eastAsia="zh-CN"/>
        </w:rPr>
        <w:t>项目概况：</w:t>
      </w:r>
      <w:r>
        <w:rPr>
          <w:rFonts w:hint="eastAsia" w:ascii="宋体" w:hAnsi="宋体"/>
          <w:bCs/>
          <w:sz w:val="21"/>
          <w:szCs w:val="21"/>
          <w:highlight w:val="none"/>
        </w:rPr>
        <w:t>负责</w:t>
      </w:r>
      <w:r>
        <w:rPr>
          <w:rFonts w:hint="eastAsia" w:hAnsi="宋体"/>
          <w:bCs/>
          <w:sz w:val="21"/>
          <w:szCs w:val="21"/>
          <w:highlight w:val="none"/>
          <w:lang w:val="en-US" w:eastAsia="zh-CN"/>
        </w:rPr>
        <w:t>对杭发公司（含杭研场地）二类检测点（1年2次）、三类检测点（1年1次）进行防雷检测</w:t>
      </w:r>
      <w:r>
        <w:rPr>
          <w:rFonts w:hint="eastAsia" w:ascii="宋体" w:hAnsi="宋体"/>
          <w:bCs/>
          <w:sz w:val="21"/>
          <w:szCs w:val="21"/>
          <w:highlight w:val="none"/>
        </w:rPr>
        <w:t>，</w:t>
      </w:r>
      <w:r>
        <w:rPr>
          <w:rFonts w:hint="eastAsia" w:hAnsi="宋体"/>
          <w:bCs/>
          <w:sz w:val="21"/>
          <w:szCs w:val="21"/>
          <w:highlight w:val="none"/>
          <w:lang w:val="en-US" w:eastAsia="zh-CN"/>
        </w:rPr>
        <w:t>并出具符合</w:t>
      </w:r>
      <w:r>
        <w:rPr>
          <w:rFonts w:hint="eastAsia"/>
        </w:rPr>
        <w:t>政府职能部门</w:t>
      </w:r>
      <w:r>
        <w:rPr>
          <w:rFonts w:hint="eastAsia"/>
          <w:lang w:val="en-US" w:eastAsia="zh-CN"/>
        </w:rPr>
        <w:t>审核要求的检测报告</w:t>
      </w:r>
      <w:r>
        <w:rPr>
          <w:rFonts w:hint="eastAsia" w:hAnsi="宋体"/>
          <w:bCs/>
          <w:sz w:val="21"/>
          <w:szCs w:val="21"/>
          <w:highlight w:val="none"/>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701"/>
        <w:gridCol w:w="1177"/>
        <w:gridCol w:w="1595"/>
        <w:gridCol w:w="1282"/>
        <w:gridCol w:w="955"/>
        <w:gridCol w:w="1884"/>
      </w:tblGrid>
      <w:tr w14:paraId="1D43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4992310">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1701" w:type="dxa"/>
            <w:vAlign w:val="center"/>
          </w:tcPr>
          <w:p w14:paraId="54BBCA38">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1177" w:type="dxa"/>
            <w:vAlign w:val="center"/>
          </w:tcPr>
          <w:p w14:paraId="53282C08">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w:t>
            </w:r>
          </w:p>
        </w:tc>
        <w:tc>
          <w:tcPr>
            <w:tcW w:w="1595" w:type="dxa"/>
            <w:vAlign w:val="center"/>
          </w:tcPr>
          <w:p w14:paraId="6A74C53D">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一年内检测次数（次）</w:t>
            </w:r>
          </w:p>
        </w:tc>
        <w:tc>
          <w:tcPr>
            <w:tcW w:w="1282" w:type="dxa"/>
            <w:vAlign w:val="center"/>
          </w:tcPr>
          <w:p w14:paraId="1E797453">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点位数（个）</w:t>
            </w:r>
          </w:p>
        </w:tc>
        <w:tc>
          <w:tcPr>
            <w:tcW w:w="955" w:type="dxa"/>
            <w:vAlign w:val="center"/>
          </w:tcPr>
          <w:p w14:paraId="33D29460">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c>
          <w:tcPr>
            <w:tcW w:w="1884" w:type="dxa"/>
            <w:vAlign w:val="center"/>
          </w:tcPr>
          <w:p w14:paraId="3F5DDAC6">
            <w:pPr>
              <w:pStyle w:val="75"/>
              <w:numPr>
                <w:ilvl w:val="0"/>
                <w:numId w:val="0"/>
              </w:numPr>
              <w:jc w:val="center"/>
              <w:rPr>
                <w:rFonts w:hint="default"/>
                <w:sz w:val="15"/>
                <w:szCs w:val="15"/>
                <w:vertAlign w:val="baseline"/>
                <w:lang w:val="en-US" w:eastAsia="zh-CN"/>
              </w:rPr>
            </w:pPr>
            <w:r>
              <w:rPr>
                <w:rFonts w:hint="eastAsia"/>
                <w:sz w:val="15"/>
                <w:szCs w:val="15"/>
                <w:vertAlign w:val="baseline"/>
                <w:lang w:val="en-US" w:eastAsia="zh-CN"/>
              </w:rPr>
              <w:t>备注</w:t>
            </w:r>
          </w:p>
        </w:tc>
      </w:tr>
      <w:tr w14:paraId="0A9C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B677AE6">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1</w:t>
            </w:r>
          </w:p>
        </w:tc>
        <w:tc>
          <w:tcPr>
            <w:tcW w:w="1701" w:type="dxa"/>
            <w:vAlign w:val="center"/>
          </w:tcPr>
          <w:p w14:paraId="62793DF5">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二类检测点</w:t>
            </w:r>
          </w:p>
        </w:tc>
        <w:tc>
          <w:tcPr>
            <w:tcW w:w="1177" w:type="dxa"/>
            <w:vAlign w:val="center"/>
          </w:tcPr>
          <w:p w14:paraId="3A95DBF1">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w:t>
            </w:r>
          </w:p>
        </w:tc>
        <w:tc>
          <w:tcPr>
            <w:tcW w:w="1595" w:type="dxa"/>
            <w:vAlign w:val="center"/>
          </w:tcPr>
          <w:p w14:paraId="07F9F293">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2</w:t>
            </w:r>
          </w:p>
        </w:tc>
        <w:tc>
          <w:tcPr>
            <w:tcW w:w="1282" w:type="dxa"/>
            <w:vAlign w:val="center"/>
          </w:tcPr>
          <w:p w14:paraId="71CE1C3D">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62</w:t>
            </w:r>
          </w:p>
        </w:tc>
        <w:tc>
          <w:tcPr>
            <w:tcW w:w="955" w:type="dxa"/>
            <w:vAlign w:val="center"/>
          </w:tcPr>
          <w:p w14:paraId="6B77A9FA">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次/点位</w:t>
            </w:r>
          </w:p>
        </w:tc>
        <w:tc>
          <w:tcPr>
            <w:tcW w:w="1884" w:type="dxa"/>
            <w:vAlign w:val="center"/>
          </w:tcPr>
          <w:p w14:paraId="6142E674">
            <w:pPr>
              <w:keepNext w:val="0"/>
              <w:keepLines w:val="0"/>
              <w:widowControl/>
              <w:suppressLineNumbers w:val="0"/>
              <w:jc w:val="center"/>
              <w:textAlignment w:val="center"/>
              <w:rPr>
                <w:rFonts w:hint="default"/>
                <w:sz w:val="15"/>
                <w:szCs w:val="15"/>
                <w:vertAlign w:val="baseline"/>
                <w:lang w:val="en-US" w:eastAsia="zh-CN"/>
              </w:rPr>
            </w:pPr>
            <w:r>
              <w:rPr>
                <w:rFonts w:hint="eastAsia"/>
                <w:sz w:val="15"/>
                <w:szCs w:val="15"/>
                <w:vertAlign w:val="baseline"/>
                <w:lang w:val="en-US" w:eastAsia="zh-CN"/>
              </w:rPr>
              <w:t>检测后7天内出具报告</w:t>
            </w:r>
          </w:p>
        </w:tc>
      </w:tr>
      <w:tr w14:paraId="2541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DCDEE6A">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2</w:t>
            </w:r>
          </w:p>
        </w:tc>
        <w:tc>
          <w:tcPr>
            <w:tcW w:w="1701" w:type="dxa"/>
            <w:vAlign w:val="center"/>
          </w:tcPr>
          <w:p w14:paraId="64195D0B">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三类检测点</w:t>
            </w:r>
          </w:p>
        </w:tc>
        <w:tc>
          <w:tcPr>
            <w:tcW w:w="1177" w:type="dxa"/>
            <w:vAlign w:val="center"/>
          </w:tcPr>
          <w:p w14:paraId="239C8B25">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w:t>
            </w:r>
          </w:p>
        </w:tc>
        <w:tc>
          <w:tcPr>
            <w:tcW w:w="1595" w:type="dxa"/>
            <w:vAlign w:val="center"/>
          </w:tcPr>
          <w:p w14:paraId="0404F252">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1</w:t>
            </w:r>
          </w:p>
        </w:tc>
        <w:tc>
          <w:tcPr>
            <w:tcW w:w="1282" w:type="dxa"/>
            <w:vAlign w:val="center"/>
          </w:tcPr>
          <w:p w14:paraId="018AF89C">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2985</w:t>
            </w:r>
          </w:p>
        </w:tc>
        <w:tc>
          <w:tcPr>
            <w:tcW w:w="955" w:type="dxa"/>
            <w:vAlign w:val="center"/>
          </w:tcPr>
          <w:p w14:paraId="34EB566C">
            <w:pPr>
              <w:keepNext w:val="0"/>
              <w:keepLines w:val="0"/>
              <w:widowControl/>
              <w:suppressLineNumbers w:val="0"/>
              <w:jc w:val="center"/>
              <w:textAlignment w:val="center"/>
              <w:rPr>
                <w:sz w:val="15"/>
                <w:szCs w:val="15"/>
                <w:vertAlign w:val="baseline"/>
              </w:rPr>
            </w:pPr>
            <w:r>
              <w:rPr>
                <w:rFonts w:hint="eastAsia"/>
                <w:sz w:val="15"/>
                <w:szCs w:val="15"/>
                <w:vertAlign w:val="baseline"/>
                <w:lang w:val="en-US" w:eastAsia="zh-CN"/>
              </w:rPr>
              <w:t>次/点位</w:t>
            </w:r>
          </w:p>
        </w:tc>
        <w:tc>
          <w:tcPr>
            <w:tcW w:w="1884" w:type="dxa"/>
            <w:vAlign w:val="center"/>
          </w:tcPr>
          <w:p w14:paraId="52D9CA50">
            <w:pPr>
              <w:keepNext w:val="0"/>
              <w:keepLines w:val="0"/>
              <w:widowControl/>
              <w:suppressLineNumbers w:val="0"/>
              <w:jc w:val="center"/>
              <w:textAlignment w:val="center"/>
              <w:rPr>
                <w:rFonts w:hint="eastAsia"/>
                <w:sz w:val="15"/>
                <w:szCs w:val="15"/>
                <w:vertAlign w:val="baseline"/>
                <w:lang w:val="en-US" w:eastAsia="zh-CN"/>
              </w:rPr>
            </w:pPr>
            <w:r>
              <w:rPr>
                <w:rFonts w:hint="eastAsia"/>
                <w:sz w:val="15"/>
                <w:szCs w:val="15"/>
                <w:vertAlign w:val="baseline"/>
                <w:lang w:val="en-US" w:eastAsia="zh-CN"/>
              </w:rPr>
              <w:t>检测后7天内出具报告</w:t>
            </w:r>
          </w:p>
        </w:tc>
      </w:tr>
    </w:tbl>
    <w:p w14:paraId="6B8484DF">
      <w:pPr>
        <w:pStyle w:val="78"/>
        <w:numPr>
          <w:ilvl w:val="0"/>
          <w:numId w:val="0"/>
        </w:numPr>
        <w:ind w:leftChars="0"/>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6"/>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 xml:space="preserve">技术联系人：黄工 13958725765  ；商务联系人：黄工 13958725765 </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50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14</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5</w:t>
      </w:r>
      <w:r>
        <w:rPr>
          <w:rFonts w:hint="default" w:ascii="宋体" w:hAnsi="Courier New" w:eastAsia="宋体" w:cs="Times New Roman"/>
          <w:highlight w:val="none"/>
          <w:lang w:val="en-US" w:eastAsia="zh-CN"/>
        </w:rPr>
        <w:t>月</w:t>
      </w:r>
      <w:r>
        <w:rPr>
          <w:rFonts w:hint="eastAsia" w:cs="Times New Roman"/>
          <w:highlight w:val="none"/>
          <w:lang w:val="en-US" w:eastAsia="zh-CN"/>
        </w:rPr>
        <w:t>14</w:t>
      </w:r>
      <w:r>
        <w:rPr>
          <w:rFonts w:hint="default" w:ascii="宋体" w:hAnsi="Courier New" w:eastAsia="宋体" w:cs="Times New Roman"/>
          <w:highlight w:val="none"/>
          <w:lang w:val="en-US" w:eastAsia="zh-CN"/>
        </w:rPr>
        <w:t>日-2026年</w:t>
      </w:r>
      <w:r>
        <w:rPr>
          <w:rFonts w:hint="eastAsia" w:cs="Times New Roman"/>
          <w:highlight w:val="none"/>
          <w:lang w:val="en-US" w:eastAsia="zh-CN"/>
        </w:rPr>
        <w:t>5</w:t>
      </w:r>
      <w:r>
        <w:rPr>
          <w:rFonts w:hint="default" w:ascii="宋体" w:hAnsi="Courier New" w:eastAsia="宋体" w:cs="Times New Roman"/>
          <w:highlight w:val="none"/>
          <w:lang w:val="en-US" w:eastAsia="zh-CN"/>
        </w:rPr>
        <w:t>月</w:t>
      </w:r>
      <w:r>
        <w:rPr>
          <w:rFonts w:hint="eastAsia" w:cs="Times New Roman"/>
          <w:highlight w:val="none"/>
          <w:lang w:val="en-US" w:eastAsia="zh-CN"/>
        </w:rPr>
        <w:t>19</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24</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5</w:t>
      </w:r>
      <w:r>
        <w:rPr>
          <w:rFonts w:hint="eastAsia" w:ascii="宋体" w:hAnsi="Courier New" w:eastAsia="宋体" w:cs="Times New Roman"/>
          <w:highlight w:val="yellow"/>
          <w:lang w:val="en-US" w:eastAsia="zh-CN"/>
        </w:rPr>
        <w:t>月</w:t>
      </w:r>
      <w:r>
        <w:rPr>
          <w:rFonts w:hint="eastAsia" w:cs="Times New Roman"/>
          <w:highlight w:val="yellow"/>
          <w:lang w:val="en-US" w:eastAsia="zh-CN"/>
        </w:rPr>
        <w:t>24</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：2026年5月19</w:t>
      </w:r>
      <w:bookmarkStart w:id="32" w:name="_GoBack"/>
      <w:bookmarkEnd w:id="32"/>
      <w:r>
        <w:rPr>
          <w:rFonts w:hint="eastAsia" w:cs="Times New Roman"/>
          <w:highlight w:val="none"/>
          <w:lang w:val="en-US" w:eastAsia="zh-CN"/>
        </w:rPr>
        <w:t>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9.11 </w:t>
      </w:r>
      <w:r>
        <w:rPr>
          <w:rFonts w:hint="eastAsia" w:cs="Times New Roman"/>
          <w:b w:val="0"/>
          <w:bCs/>
          <w:highlight w:val="yellow"/>
        </w:rPr>
        <w:t>万元（</w:t>
      </w:r>
      <w:r>
        <w:rPr>
          <w:rFonts w:hint="eastAsia" w:cs="Times New Roman"/>
          <w:b w:val="0"/>
          <w:bCs/>
          <w:highlight w:val="yellow"/>
          <w:lang w:val="en-US" w:eastAsia="zh-CN"/>
        </w:rPr>
        <w:t>不含</w:t>
      </w:r>
      <w:r>
        <w:rPr>
          <w:rFonts w:hint="eastAsia" w:cs="Times New Roman"/>
          <w:b w:val="0"/>
          <w:bCs/>
          <w:highlight w:val="yellow"/>
        </w:rPr>
        <w:t>税）</w:t>
      </w:r>
      <w:r>
        <w:rPr>
          <w:rFonts w:hint="eastAsia" w:cs="Times New Roman"/>
          <w:b w:val="0"/>
          <w:bCs/>
          <w:highlight w:val="none"/>
        </w:rPr>
        <w:t>，超过投标限价无法投标。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黄工 13958725765</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5</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24</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6"/>
              <w:spacing w:line="360" w:lineRule="auto"/>
              <w:ind w:firstLine="420" w:firstLineChars="200"/>
              <w:rPr>
                <w:rFonts w:hint="eastAsia"/>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6"/>
              <w:spacing w:line="360" w:lineRule="auto"/>
              <w:ind w:firstLine="420" w:firstLineChars="200"/>
            </w:pPr>
            <w:r>
              <w:rPr>
                <w:rFonts w:hint="eastAsia"/>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6"/>
              <w:spacing w:line="360" w:lineRule="auto"/>
              <w:ind w:firstLine="420" w:firstLineChars="200"/>
            </w:pPr>
            <w:r>
              <w:rPr>
                <w:rFonts w:hint="eastAsia"/>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6"/>
              <w:spacing w:line="360" w:lineRule="auto"/>
              <w:ind w:firstLine="420" w:firstLineChars="200"/>
            </w:pPr>
            <w:r>
              <w:rPr>
                <w:rFonts w:hint="eastAsia"/>
              </w:rPr>
              <w:t>账号：</w:t>
            </w:r>
            <w:r>
              <w:t>1202051439900007785</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rPr>
        <w:t>202</w:t>
      </w:r>
      <w:r>
        <w:rPr>
          <w:rFonts w:hint="eastAsia" w:ascii="宋体" w:hAnsi="宋体" w:eastAsia="宋体" w:cs="宋体"/>
          <w:b w:val="0"/>
          <w:bCs w:val="0"/>
          <w:color w:val="FF0000"/>
          <w:sz w:val="21"/>
          <w:szCs w:val="21"/>
          <w:highlight w:val="yellow"/>
          <w:lang w:val="en-US" w:eastAsia="zh-CN"/>
        </w:rPr>
        <w:t>6</w:t>
      </w:r>
      <w:r>
        <w:rPr>
          <w:rFonts w:hint="eastAsia" w:ascii="宋体" w:hAnsi="宋体" w:eastAsia="宋体" w:cs="宋体"/>
          <w:b w:val="0"/>
          <w:bCs w:val="0"/>
          <w:color w:val="FF0000"/>
          <w:sz w:val="21"/>
          <w:szCs w:val="21"/>
          <w:highlight w:val="yellow"/>
        </w:rPr>
        <w:t>年</w:t>
      </w:r>
      <w:r>
        <w:rPr>
          <w:rFonts w:hint="eastAsia" w:ascii="宋体" w:hAnsi="宋体" w:eastAsia="宋体" w:cs="宋体"/>
          <w:b w:val="0"/>
          <w:bCs w:val="0"/>
          <w:color w:val="FF0000"/>
          <w:sz w:val="21"/>
          <w:szCs w:val="21"/>
          <w:highlight w:val="yellow"/>
          <w:lang w:val="en-US" w:eastAsia="zh-CN"/>
        </w:rPr>
        <w:t>5</w:t>
      </w:r>
      <w:r>
        <w:rPr>
          <w:rFonts w:hint="eastAsia" w:ascii="宋体" w:hAnsi="宋体" w:eastAsia="宋体" w:cs="宋体"/>
          <w:b w:val="0"/>
          <w:bCs w:val="0"/>
          <w:color w:val="FF0000"/>
          <w:sz w:val="21"/>
          <w:szCs w:val="21"/>
          <w:highlight w:val="yellow"/>
        </w:rPr>
        <w:t>月</w:t>
      </w:r>
      <w:r>
        <w:rPr>
          <w:rFonts w:hint="eastAsia" w:ascii="宋体" w:hAnsi="宋体" w:eastAsia="宋体" w:cs="宋体"/>
          <w:b w:val="0"/>
          <w:bCs w:val="0"/>
          <w:color w:val="FF0000"/>
          <w:sz w:val="21"/>
          <w:szCs w:val="21"/>
          <w:highlight w:val="yellow"/>
          <w:lang w:val="en-US" w:eastAsia="zh-CN"/>
        </w:rPr>
        <w:t>24</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开标时间：2026年5月25日10:00（暂定时间，以实际通知为准）。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single" w:color="auto" w:sz="4" w:space="0"/>
              <w:right w:val="single" w:color="auto" w:sz="4" w:space="0"/>
            </w:tcBorders>
            <w:vAlign w:val="center"/>
          </w:tcPr>
          <w:p w14:paraId="3205E9E1">
            <w:pPr>
              <w:jc w:val="center"/>
              <w:rPr>
                <w:rFonts w:hint="default"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single" w:color="auto" w:sz="4" w:space="0"/>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w:t>
            </w:r>
            <w:r>
              <w:rPr>
                <w:rFonts w:hint="eastAsia" w:ascii="宋体" w:hAnsi="宋体" w:cs="Calibri"/>
                <w:bCs/>
                <w:szCs w:val="21"/>
                <w:lang w:val="en-US" w:eastAsia="zh-CN"/>
              </w:rPr>
              <w:t>23</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single" w:color="auto" w:sz="4" w:space="0"/>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pPr>
              <w:rPr>
                <w:rFonts w:hint="eastAsia"/>
              </w:rPr>
            </w:pPr>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p w14:paraId="0603B01F">
            <w:pPr>
              <w:rPr>
                <w:rFonts w:hint="eastAsia" w:eastAsia="宋体"/>
                <w:lang w:val="en-US" w:eastAsia="zh-CN"/>
              </w:rPr>
            </w:pPr>
            <w:r>
              <w:rPr>
                <w:rFonts w:hint="eastAsia"/>
                <w:lang w:val="en-US" w:eastAsia="zh-CN"/>
              </w:rPr>
              <w:t>5、</w:t>
            </w:r>
            <w:r>
              <w:rPr>
                <w:rFonts w:hint="eastAsia"/>
              </w:rPr>
              <w:t>投标报价实行价税分离，评标统一以不含税价为准；合同不含税价固定，税率差异仅调整税额、不变动不含税价。</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8"/>
      <w:bookmarkStart w:id="17" w:name="OLE_LINK26"/>
      <w:bookmarkStart w:id="18" w:name="OLE_LINK29"/>
      <w:bookmarkStart w:id="19" w:name="OLE_LINK25"/>
      <w:bookmarkStart w:id="20" w:name="OLE_LINK27"/>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06C44626">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jc w:val="left"/>
        <w:rPr>
          <w:rFonts w:hint="eastAsia" w:eastAsia="仿宋_GB2312"/>
          <w:lang w:val="en-US" w:eastAsia="zh-CN"/>
        </w:rPr>
      </w:pPr>
      <w:r>
        <w:rPr>
          <w:rFonts w:hint="eastAsia" w:ascii="宋体" w:hAnsi="宋体" w:cs="宋体"/>
          <w:b/>
          <w:sz w:val="21"/>
          <w:szCs w:val="21"/>
          <w:lang w:val="en-US" w:eastAsia="zh-CN"/>
        </w:rPr>
        <w:t>5.合同生效后若查实供方存在围标、串标行为的，甲方有权终止合同，已完成部分不予结算，并依法追究其责任。</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sz w:val="21"/>
          <w:szCs w:val="21"/>
        </w:rPr>
      </w:pPr>
      <w:r>
        <w:rPr>
          <w:rFonts w:hint="eastAsia" w:ascii="宋体" w:hAnsi="宋体" w:cs="宋体"/>
          <w:b/>
          <w:sz w:val="21"/>
          <w:szCs w:val="21"/>
          <w:lang w:val="en-US" w:eastAsia="zh-CN"/>
        </w:rPr>
        <w:t>6</w:t>
      </w:r>
      <w:r>
        <w:rPr>
          <w:rFonts w:hint="eastAsia" w:ascii="宋体" w:hAnsi="宋体" w:cs="宋体"/>
          <w:b/>
          <w:sz w:val="21"/>
          <w:szCs w:val="21"/>
        </w:rPr>
        <w:t>.合同以双方最终签署的版本为准。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发票挂账90天后，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85EAC28">
      <w:pPr>
        <w:rPr>
          <w:rFonts w:hint="eastAsia"/>
        </w:rPr>
      </w:pPr>
      <w:bookmarkStart w:id="22" w:name="_Toc1910"/>
      <w:r>
        <w:rPr>
          <w:rFonts w:hint="eastAsia"/>
        </w:rPr>
        <w:br w:type="page"/>
      </w:r>
    </w:p>
    <w:p w14:paraId="1FB6CA61">
      <w:pPr>
        <w:pStyle w:val="73"/>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23D0B339">
      <w:pPr>
        <w:pStyle w:val="16"/>
        <w:spacing w:line="360" w:lineRule="auto"/>
        <w:rPr>
          <w:rFonts w:ascii="黑体" w:hAnsi="黑体" w:eastAsia="黑体"/>
          <w:b/>
          <w:bCs/>
          <w:sz w:val="28"/>
          <w:szCs w:val="28"/>
        </w:rPr>
      </w:pPr>
      <w:r>
        <w:rPr>
          <w:rFonts w:hint="eastAsia" w:ascii="黑体" w:hAnsi="黑体" w:eastAsia="黑体"/>
          <w:b/>
          <w:bCs/>
          <w:sz w:val="28"/>
          <w:szCs w:val="28"/>
        </w:rPr>
        <w:t>一、项目名称</w:t>
      </w:r>
    </w:p>
    <w:p w14:paraId="03C4AE69">
      <w:pPr>
        <w:pStyle w:val="16"/>
        <w:spacing w:line="360" w:lineRule="auto"/>
        <w:rPr>
          <w:rFonts w:hAnsi="宋体" w:cs="宋体"/>
          <w:szCs w:val="21"/>
        </w:rPr>
      </w:pPr>
      <w:r>
        <w:rPr>
          <w:rFonts w:hint="eastAsia"/>
        </w:rPr>
        <w:t>杭发公司防雷检测项目</w:t>
      </w:r>
    </w:p>
    <w:p w14:paraId="24B4812D">
      <w:pPr>
        <w:pStyle w:val="16"/>
        <w:numPr>
          <w:ilvl w:val="0"/>
          <w:numId w:val="29"/>
        </w:numPr>
        <w:spacing w:line="360" w:lineRule="auto"/>
        <w:rPr>
          <w:rFonts w:ascii="黑体" w:hAnsi="黑体" w:eastAsia="黑体"/>
          <w:b/>
          <w:bCs/>
          <w:sz w:val="28"/>
          <w:szCs w:val="28"/>
        </w:rPr>
      </w:pPr>
      <w:r>
        <w:rPr>
          <w:rFonts w:hint="eastAsia" w:ascii="黑体" w:hAnsi="黑体" w:eastAsia="黑体"/>
          <w:b/>
          <w:bCs/>
          <w:sz w:val="28"/>
          <w:szCs w:val="28"/>
        </w:rPr>
        <w:t>主要技术状态说明</w:t>
      </w:r>
    </w:p>
    <w:p w14:paraId="3EF3A0DE">
      <w:pPr>
        <w:numPr>
          <w:ilvl w:val="0"/>
          <w:numId w:val="30"/>
        </w:numPr>
        <w:tabs>
          <w:tab w:val="left" w:pos="420"/>
          <w:tab w:val="left" w:pos="1050"/>
        </w:tabs>
        <w:spacing w:line="520" w:lineRule="exact"/>
        <w:ind w:right="2"/>
        <w:rPr>
          <w:rFonts w:ascii="宋体" w:hAnsi="Courier New"/>
          <w:szCs w:val="22"/>
        </w:rPr>
      </w:pPr>
      <w:r>
        <w:rPr>
          <w:rFonts w:hint="eastAsia" w:ascii="宋体" w:hAnsi="Courier New"/>
          <w:szCs w:val="22"/>
        </w:rPr>
        <w:t>防雷检测明细，详见明细见下表：</w:t>
      </w:r>
    </w:p>
    <w:tbl>
      <w:tblPr>
        <w:tblStyle w:val="33"/>
        <w:tblW w:w="9578" w:type="dxa"/>
        <w:tblInd w:w="98" w:type="dxa"/>
        <w:tblLayout w:type="autofit"/>
        <w:tblCellMar>
          <w:top w:w="0" w:type="dxa"/>
          <w:left w:w="108" w:type="dxa"/>
          <w:bottom w:w="0" w:type="dxa"/>
          <w:right w:w="108" w:type="dxa"/>
        </w:tblCellMar>
      </w:tblPr>
      <w:tblGrid>
        <w:gridCol w:w="2081"/>
        <w:gridCol w:w="1609"/>
        <w:gridCol w:w="1831"/>
        <w:gridCol w:w="1269"/>
        <w:gridCol w:w="2788"/>
      </w:tblGrid>
      <w:tr w14:paraId="55E7FF64">
        <w:tblPrEx>
          <w:tblCellMar>
            <w:top w:w="0" w:type="dxa"/>
            <w:left w:w="108" w:type="dxa"/>
            <w:bottom w:w="0" w:type="dxa"/>
            <w:right w:w="108" w:type="dxa"/>
          </w:tblCellMar>
        </w:tblPrEx>
        <w:trPr>
          <w:trHeight w:val="612" w:hRule="atLeast"/>
        </w:trPr>
        <w:tc>
          <w:tcPr>
            <w:tcW w:w="2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BCAA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公司名称</w:t>
            </w:r>
          </w:p>
        </w:tc>
        <w:tc>
          <w:tcPr>
            <w:tcW w:w="16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90E5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Ⅰ类点数量（个）</w:t>
            </w:r>
          </w:p>
        </w:tc>
        <w:tc>
          <w:tcPr>
            <w:tcW w:w="183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1F12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Ⅱ类点数量（个）</w:t>
            </w:r>
          </w:p>
        </w:tc>
        <w:tc>
          <w:tcPr>
            <w:tcW w:w="1269" w:type="dxa"/>
            <w:tcBorders>
              <w:top w:val="single" w:color="000000" w:sz="4" w:space="0"/>
              <w:left w:val="single" w:color="000000" w:sz="4" w:space="0"/>
              <w:bottom w:val="single" w:color="auto" w:sz="4" w:space="0"/>
              <w:right w:val="single" w:color="000000" w:sz="4" w:space="0"/>
            </w:tcBorders>
            <w:shd w:val="clear" w:color="auto" w:fill="auto"/>
            <w:vAlign w:val="center"/>
          </w:tcPr>
          <w:p w14:paraId="237ED0E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Ⅲ类点数量（个）</w:t>
            </w:r>
          </w:p>
        </w:tc>
        <w:tc>
          <w:tcPr>
            <w:tcW w:w="2788" w:type="dxa"/>
            <w:tcBorders>
              <w:top w:val="single" w:color="000000" w:sz="4" w:space="0"/>
              <w:left w:val="single" w:color="000000" w:sz="4" w:space="0"/>
              <w:bottom w:val="single" w:color="auto" w:sz="4" w:space="0"/>
              <w:right w:val="single" w:color="000000" w:sz="4" w:space="0"/>
            </w:tcBorders>
            <w:shd w:val="clear" w:color="auto" w:fill="auto"/>
            <w:vAlign w:val="center"/>
          </w:tcPr>
          <w:p w14:paraId="227512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监测时间要求</w:t>
            </w:r>
          </w:p>
        </w:tc>
      </w:tr>
      <w:tr w14:paraId="38660981">
        <w:tblPrEx>
          <w:tblCellMar>
            <w:top w:w="0" w:type="dxa"/>
            <w:left w:w="108" w:type="dxa"/>
            <w:bottom w:w="0" w:type="dxa"/>
            <w:right w:w="108" w:type="dxa"/>
          </w:tblCellMar>
        </w:tblPrEx>
        <w:trPr>
          <w:trHeight w:val="1233" w:hRule="atLeast"/>
        </w:trPr>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6DE5529">
            <w:pPr>
              <w:widowControl/>
              <w:jc w:val="center"/>
              <w:rPr>
                <w:rFonts w:hint="default" w:eastAsia="宋体"/>
                <w:color w:val="000000"/>
                <w:kern w:val="0"/>
                <w:sz w:val="24"/>
                <w:lang w:val="en-US" w:eastAsia="zh-CN"/>
              </w:rPr>
            </w:pPr>
            <w:r>
              <w:rPr>
                <w:rFonts w:hint="eastAsia"/>
                <w:color w:val="000000"/>
                <w:kern w:val="0"/>
                <w:sz w:val="24"/>
                <w:lang w:val="en-US" w:eastAsia="zh-CN"/>
              </w:rPr>
              <w:t>杭发公司</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376E008">
            <w:pPr>
              <w:jc w:val="center"/>
              <w:rPr>
                <w:color w:val="000000"/>
              </w:rPr>
            </w:pPr>
            <w:r>
              <w:rPr>
                <w:rFonts w:hint="eastAsia"/>
                <w:color w:val="000000"/>
              </w:rPr>
              <w:t>0</w:t>
            </w:r>
          </w:p>
        </w:tc>
        <w:tc>
          <w:tcPr>
            <w:tcW w:w="1831" w:type="dxa"/>
            <w:tcBorders>
              <w:top w:val="single" w:color="auto" w:sz="4" w:space="0"/>
              <w:left w:val="single" w:color="auto" w:sz="4" w:space="0"/>
              <w:bottom w:val="single" w:color="auto" w:sz="4" w:space="0"/>
              <w:right w:val="single" w:color="auto" w:sz="4" w:space="0"/>
            </w:tcBorders>
            <w:shd w:val="clear" w:color="auto" w:fill="auto"/>
            <w:vAlign w:val="center"/>
          </w:tcPr>
          <w:p w14:paraId="0690B058">
            <w:pPr>
              <w:jc w:val="center"/>
              <w:rPr>
                <w:rFonts w:hint="default" w:eastAsia="宋体"/>
                <w:color w:val="000000"/>
                <w:lang w:val="en-US" w:eastAsia="zh-CN"/>
              </w:rPr>
            </w:pPr>
            <w:r>
              <w:rPr>
                <w:rFonts w:hint="eastAsia"/>
                <w:color w:val="000000"/>
                <w:lang w:val="en-US" w:eastAsia="zh-CN"/>
              </w:rPr>
              <w:t>62</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31290751">
            <w:pPr>
              <w:jc w:val="center"/>
              <w:rPr>
                <w:rFonts w:hint="default" w:eastAsia="宋体"/>
                <w:color w:val="000000"/>
                <w:lang w:val="en-US" w:eastAsia="zh-CN"/>
              </w:rPr>
            </w:pPr>
            <w:r>
              <w:rPr>
                <w:rFonts w:hint="eastAsia"/>
                <w:color w:val="000000"/>
                <w:lang w:val="en-US" w:eastAsia="zh-CN"/>
              </w:rPr>
              <w:t>2985</w:t>
            </w:r>
          </w:p>
        </w:tc>
        <w:tc>
          <w:tcPr>
            <w:tcW w:w="2788" w:type="dxa"/>
            <w:tcBorders>
              <w:top w:val="single" w:color="auto" w:sz="4" w:space="0"/>
              <w:left w:val="single" w:color="auto" w:sz="4" w:space="0"/>
              <w:bottom w:val="single" w:color="auto" w:sz="4" w:space="0"/>
              <w:right w:val="single" w:color="auto" w:sz="4" w:space="0"/>
            </w:tcBorders>
            <w:shd w:val="clear" w:color="auto" w:fill="auto"/>
            <w:vAlign w:val="center"/>
          </w:tcPr>
          <w:p w14:paraId="7B40EE7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bidi="ar"/>
              </w:rPr>
              <w:t>接到需方通知后</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7</w:t>
            </w:r>
            <w:r>
              <w:rPr>
                <w:rFonts w:hint="eastAsia" w:ascii="宋体" w:hAnsi="宋体" w:cs="宋体"/>
                <w:color w:val="000000"/>
                <w:kern w:val="0"/>
                <w:sz w:val="24"/>
                <w:szCs w:val="24"/>
                <w:lang w:bidi="ar"/>
              </w:rPr>
              <w:t>日内完成检测</w:t>
            </w:r>
            <w:r>
              <w:rPr>
                <w:rFonts w:hint="eastAsia" w:ascii="宋体" w:hAnsi="宋体" w:cs="宋体"/>
                <w:color w:val="000000"/>
                <w:kern w:val="0"/>
                <w:sz w:val="24"/>
                <w:szCs w:val="24"/>
                <w:lang w:val="en-US" w:eastAsia="zh-CN" w:bidi="ar"/>
              </w:rPr>
              <w:t>并出具检测报告</w:t>
            </w:r>
          </w:p>
        </w:tc>
      </w:tr>
    </w:tbl>
    <w:p w14:paraId="4CB4682A">
      <w:pPr>
        <w:tabs>
          <w:tab w:val="left" w:pos="420"/>
          <w:tab w:val="left" w:pos="1050"/>
        </w:tabs>
        <w:spacing w:line="520" w:lineRule="exact"/>
        <w:ind w:right="2"/>
        <w:rPr>
          <w:rFonts w:ascii="宋体" w:hAnsi="Courier New"/>
          <w:szCs w:val="22"/>
        </w:rPr>
      </w:pPr>
      <w:r>
        <w:rPr>
          <w:rFonts w:hint="eastAsia" w:ascii="宋体" w:hAnsi="Courier New"/>
          <w:szCs w:val="22"/>
        </w:rPr>
        <w:t xml:space="preserve">注：一类点、二类点一年检测两次，三类点一年检测一次。 </w:t>
      </w:r>
    </w:p>
    <w:p w14:paraId="4DA00878">
      <w:pPr>
        <w:numPr>
          <w:ilvl w:val="0"/>
          <w:numId w:val="30"/>
        </w:numPr>
        <w:tabs>
          <w:tab w:val="left" w:pos="420"/>
          <w:tab w:val="left" w:pos="1050"/>
        </w:tabs>
        <w:spacing w:line="520" w:lineRule="exact"/>
        <w:ind w:right="2"/>
        <w:rPr>
          <w:rFonts w:ascii="宋体" w:hAnsi="Courier New"/>
          <w:szCs w:val="22"/>
        </w:rPr>
      </w:pPr>
      <w:r>
        <w:rPr>
          <w:rFonts w:hint="eastAsia" w:ascii="宋体" w:hAnsi="Courier New"/>
          <w:szCs w:val="22"/>
        </w:rPr>
        <w:t>检测范围</w:t>
      </w:r>
    </w:p>
    <w:p w14:paraId="5F214552">
      <w:pPr>
        <w:tabs>
          <w:tab w:val="left" w:pos="420"/>
          <w:tab w:val="left" w:pos="1050"/>
        </w:tabs>
        <w:spacing w:line="520" w:lineRule="exact"/>
        <w:ind w:right="2"/>
        <w:rPr>
          <w:rFonts w:ascii="黑体" w:hAnsi="黑体" w:eastAsia="黑体"/>
          <w:b/>
          <w:bCs/>
          <w:sz w:val="28"/>
          <w:szCs w:val="28"/>
        </w:rPr>
      </w:pPr>
      <w:r>
        <w:rPr>
          <w:rFonts w:hint="eastAsia" w:ascii="宋体" w:hAnsi="Courier New"/>
          <w:szCs w:val="22"/>
        </w:rPr>
        <w:t xml:space="preserve">    </w:t>
      </w:r>
      <w:r>
        <w:rPr>
          <w:rFonts w:hint="eastAsia" w:ascii="宋体" w:hAnsi="Courier New"/>
          <w:szCs w:val="22"/>
          <w:highlight w:val="none"/>
        </w:rPr>
        <w:t>中国重汽集团</w:t>
      </w:r>
      <w:r>
        <w:rPr>
          <w:rFonts w:hint="eastAsia" w:ascii="宋体" w:hAnsi="Courier New"/>
          <w:szCs w:val="22"/>
          <w:highlight w:val="none"/>
          <w:lang w:val="en-US" w:eastAsia="zh-CN"/>
        </w:rPr>
        <w:t>杭州发动机有限公司</w:t>
      </w:r>
      <w:r>
        <w:rPr>
          <w:rFonts w:hint="eastAsia" w:ascii="宋体" w:hAnsi="Courier New"/>
          <w:szCs w:val="22"/>
          <w:highlight w:val="none"/>
        </w:rPr>
        <w:t>厂房设施</w:t>
      </w:r>
      <w:r>
        <w:rPr>
          <w:rFonts w:hint="eastAsia" w:ascii="宋体" w:hAnsi="Courier New"/>
          <w:szCs w:val="22"/>
          <w:highlight w:val="none"/>
          <w:lang w:eastAsia="zh-CN"/>
        </w:rPr>
        <w:t>（</w:t>
      </w:r>
      <w:r>
        <w:rPr>
          <w:rFonts w:hint="eastAsia" w:ascii="宋体" w:hAnsi="Courier New"/>
          <w:szCs w:val="22"/>
          <w:highlight w:val="none"/>
          <w:lang w:val="en-US" w:eastAsia="zh-CN"/>
        </w:rPr>
        <w:t>含杭研场地</w:t>
      </w:r>
      <w:r>
        <w:rPr>
          <w:rFonts w:hint="eastAsia" w:ascii="宋体" w:hAnsi="Courier New"/>
          <w:szCs w:val="22"/>
          <w:highlight w:val="none"/>
          <w:lang w:eastAsia="zh-CN"/>
        </w:rPr>
        <w:t>）</w:t>
      </w:r>
      <w:r>
        <w:rPr>
          <w:rFonts w:hint="eastAsia" w:ascii="宋体" w:hAnsi="Courier New"/>
          <w:szCs w:val="22"/>
          <w:highlight w:val="none"/>
        </w:rPr>
        <w:t>。</w:t>
      </w:r>
    </w:p>
    <w:p w14:paraId="7FFBC59A">
      <w:pPr>
        <w:pStyle w:val="16"/>
        <w:spacing w:line="360" w:lineRule="auto"/>
        <w:rPr>
          <w:rFonts w:ascii="黑体" w:hAnsi="黑体" w:eastAsia="黑体"/>
          <w:b/>
          <w:bCs/>
          <w:sz w:val="28"/>
          <w:szCs w:val="28"/>
        </w:rPr>
      </w:pPr>
      <w:r>
        <w:rPr>
          <w:rFonts w:hint="eastAsia" w:ascii="黑体" w:hAnsi="黑体" w:eastAsia="黑体"/>
          <w:b/>
          <w:bCs/>
          <w:sz w:val="28"/>
          <w:szCs w:val="28"/>
        </w:rPr>
        <w:t>三、质量要求</w:t>
      </w:r>
    </w:p>
    <w:p w14:paraId="271BCE90">
      <w:pPr>
        <w:pStyle w:val="16"/>
        <w:spacing w:line="360" w:lineRule="auto"/>
        <w:ind w:firstLine="420" w:firstLineChars="200"/>
        <w:rPr>
          <w:rFonts w:hint="eastAsia"/>
        </w:rPr>
      </w:pPr>
      <w:r>
        <w:rPr>
          <w:rFonts w:hint="eastAsia"/>
        </w:rPr>
        <w:t>中标单位乙方应当按照《建筑物防雷装置检测技术规范》（GB/T21431-2015）、《建筑物</w:t>
      </w:r>
    </w:p>
    <w:p w14:paraId="1C80A832">
      <w:pPr>
        <w:pStyle w:val="16"/>
        <w:spacing w:line="360" w:lineRule="auto"/>
        <w:ind w:firstLine="420" w:firstLineChars="200"/>
        <w:rPr>
          <w:rFonts w:hint="eastAsia"/>
        </w:rPr>
      </w:pPr>
      <w:r>
        <w:rPr>
          <w:rFonts w:hint="eastAsia"/>
        </w:rPr>
        <w:t>防雷设计规范》（GB50057-2010）、《建筑物电子信息系统防雷技术规范》</w:t>
      </w:r>
    </w:p>
    <w:p w14:paraId="6763099C">
      <w:pPr>
        <w:pStyle w:val="16"/>
        <w:spacing w:line="360" w:lineRule="auto"/>
        <w:ind w:firstLine="420" w:firstLineChars="200"/>
      </w:pPr>
      <w:r>
        <w:rPr>
          <w:rFonts w:hint="eastAsia"/>
        </w:rPr>
        <w:t>（GB50343-2012）等</w:t>
      </w:r>
      <w:r>
        <w:rPr>
          <w:rFonts w:hint="eastAsia"/>
          <w:lang w:val="en-US" w:eastAsia="zh-CN"/>
        </w:rPr>
        <w:t>规范要求进行检测</w:t>
      </w:r>
      <w:r>
        <w:rPr>
          <w:rFonts w:hint="eastAsia"/>
        </w:rPr>
        <w:t>。</w:t>
      </w:r>
    </w:p>
    <w:p w14:paraId="22472D4F">
      <w:pPr>
        <w:pStyle w:val="16"/>
        <w:spacing w:line="360" w:lineRule="auto"/>
        <w:rPr>
          <w:rFonts w:ascii="黑体" w:hAnsi="黑体" w:eastAsia="黑体"/>
          <w:b/>
          <w:bCs/>
          <w:sz w:val="28"/>
          <w:szCs w:val="28"/>
        </w:rPr>
      </w:pPr>
      <w:r>
        <w:rPr>
          <w:rFonts w:hint="eastAsia" w:ascii="黑体" w:hAnsi="黑体" w:eastAsia="黑体"/>
          <w:b/>
          <w:bCs/>
          <w:sz w:val="28"/>
          <w:szCs w:val="28"/>
        </w:rPr>
        <w:t>四、检测方法及规则</w:t>
      </w:r>
    </w:p>
    <w:p w14:paraId="61A839C1">
      <w:pPr>
        <w:pStyle w:val="16"/>
        <w:spacing w:line="360" w:lineRule="auto"/>
        <w:ind w:firstLine="420" w:firstLineChars="200"/>
      </w:pPr>
      <w:r>
        <w:rPr>
          <w:rFonts w:hint="eastAsia"/>
        </w:rPr>
        <w:t>中标单位提供现场检测设备的清单，现场检测人员提供相关的检测资质。</w:t>
      </w:r>
    </w:p>
    <w:p w14:paraId="65540644">
      <w:pPr>
        <w:pStyle w:val="16"/>
        <w:numPr>
          <w:ilvl w:val="0"/>
          <w:numId w:val="31"/>
        </w:numPr>
        <w:spacing w:line="360" w:lineRule="auto"/>
        <w:rPr>
          <w:rFonts w:ascii="黑体" w:hAnsi="黑体" w:eastAsia="黑体"/>
          <w:b/>
          <w:bCs/>
          <w:sz w:val="28"/>
          <w:szCs w:val="28"/>
        </w:rPr>
      </w:pPr>
      <w:r>
        <w:rPr>
          <w:rFonts w:ascii="黑体" w:hAnsi="黑体" w:eastAsia="黑体"/>
          <w:b/>
          <w:bCs/>
          <w:sz w:val="28"/>
          <w:szCs w:val="28"/>
        </w:rPr>
        <w:t>验收</w:t>
      </w:r>
    </w:p>
    <w:p w14:paraId="5726CD67">
      <w:pPr>
        <w:pStyle w:val="16"/>
        <w:spacing w:line="360" w:lineRule="auto"/>
        <w:ind w:firstLine="420" w:firstLineChars="200"/>
      </w:pPr>
      <w:r>
        <w:rPr>
          <w:rFonts w:hint="eastAsia"/>
        </w:rPr>
        <w:t>中标单位提供有效的检测报告，并满足政府职能部门的审查要求。</w:t>
      </w:r>
    </w:p>
    <w:p w14:paraId="16597EAB">
      <w:pPr>
        <w:pStyle w:val="16"/>
        <w:spacing w:line="360" w:lineRule="auto"/>
        <w:ind w:firstLine="420" w:firstLineChars="200"/>
      </w:pPr>
      <w:r>
        <w:rPr>
          <w:rFonts w:hint="eastAsia"/>
        </w:rPr>
        <w:t>如达不到政府职能部门的审核要求，由中标单位负责重新进行检测并出具检测报告，直至满足政府职能部门的审查要求为止。</w:t>
      </w:r>
    </w:p>
    <w:p w14:paraId="7728193C">
      <w:pPr>
        <w:pStyle w:val="16"/>
        <w:spacing w:line="360" w:lineRule="auto"/>
        <w:ind w:firstLine="420" w:firstLineChars="200"/>
      </w:pPr>
      <w:r>
        <w:rPr>
          <w:rFonts w:hint="eastAsia"/>
        </w:rPr>
        <w:t>如达不到政府职能部门的审核要求而产生的损失由招标方承担。</w:t>
      </w:r>
    </w:p>
    <w:p w14:paraId="11EBFF18">
      <w:pPr>
        <w:pStyle w:val="16"/>
        <w:spacing w:line="360" w:lineRule="auto"/>
      </w:pPr>
      <w:r>
        <w:rPr>
          <w:rFonts w:hint="eastAsia" w:ascii="黑体" w:hAnsi="黑体" w:eastAsia="黑体"/>
          <w:b/>
          <w:bCs/>
          <w:sz w:val="28"/>
          <w:szCs w:val="28"/>
        </w:rPr>
        <w:t>六、其他</w:t>
      </w:r>
    </w:p>
    <w:p w14:paraId="23FA4EA1">
      <w:pPr>
        <w:pStyle w:val="16"/>
        <w:spacing w:line="360" w:lineRule="auto"/>
        <w:ind w:firstLine="420" w:firstLineChars="200"/>
      </w:pPr>
      <w:r>
        <w:rPr>
          <w:rFonts w:hint="eastAsia"/>
        </w:rPr>
        <w:t>1.投标人承诺对参与该项目所获得的与招标人产品相关的所有信息都予以保密，并承担与此相关的所有法律责任。</w:t>
      </w:r>
    </w:p>
    <w:p w14:paraId="0DFA3AE2">
      <w:pPr>
        <w:pStyle w:val="16"/>
        <w:spacing w:line="360" w:lineRule="auto"/>
        <w:ind w:firstLine="420" w:firstLineChars="200"/>
      </w:pPr>
      <w:r>
        <w:rPr>
          <w:rFonts w:hint="eastAsia"/>
        </w:rPr>
        <w:t>2.其余未尽事宜，投标人应与招标人指派的答疑人员充分沟通，理解认可并接受相关技术规范及服务要求。</w:t>
      </w:r>
    </w:p>
    <w:p w14:paraId="691061FB">
      <w:pPr>
        <w:pStyle w:val="78"/>
        <w:rPr>
          <w:b/>
          <w:bCs/>
        </w:rPr>
      </w:pPr>
    </w:p>
    <w:p w14:paraId="41362990">
      <w:pPr>
        <w:pStyle w:val="78"/>
        <w:rPr>
          <w:b/>
          <w:bCs/>
        </w:rPr>
      </w:pPr>
    </w:p>
    <w:p w14:paraId="654EBC09">
      <w:pPr>
        <w:pStyle w:val="78"/>
        <w:rPr>
          <w:b/>
          <w:bCs/>
        </w:rPr>
      </w:pPr>
    </w:p>
    <w:p w14:paraId="03A4D662">
      <w:pPr>
        <w:pStyle w:val="78"/>
        <w:rPr>
          <w:b/>
          <w:bCs/>
        </w:rPr>
      </w:pPr>
    </w:p>
    <w:p w14:paraId="548B73A4">
      <w:pPr>
        <w:pStyle w:val="78"/>
        <w:rPr>
          <w:b/>
          <w:bCs/>
        </w:rPr>
      </w:pPr>
    </w:p>
    <w:p w14:paraId="7D18620C">
      <w:pPr>
        <w:pStyle w:val="78"/>
        <w:rPr>
          <w:b/>
          <w:bCs/>
        </w:rPr>
      </w:pPr>
    </w:p>
    <w:p w14:paraId="39C03B5E">
      <w:pPr>
        <w:pStyle w:val="78"/>
        <w:rPr>
          <w:b/>
          <w:bCs/>
        </w:rPr>
      </w:pPr>
    </w:p>
    <w:p w14:paraId="14776EC6">
      <w:pPr>
        <w:pStyle w:val="78"/>
        <w:rPr>
          <w:b/>
          <w:bCs/>
        </w:rPr>
      </w:pPr>
    </w:p>
    <w:p w14:paraId="709E9A61">
      <w:pPr>
        <w:pStyle w:val="78"/>
        <w:rPr>
          <w:b/>
          <w:bCs/>
        </w:rPr>
      </w:pPr>
    </w:p>
    <w:p w14:paraId="23A348F9">
      <w:pPr>
        <w:pStyle w:val="78"/>
        <w:rPr>
          <w:b/>
          <w:bCs/>
        </w:rPr>
      </w:pPr>
    </w:p>
    <w:p w14:paraId="73224B7D">
      <w:pPr>
        <w:pStyle w:val="78"/>
        <w:rPr>
          <w:b/>
          <w:bCs/>
        </w:rPr>
      </w:pPr>
    </w:p>
    <w:p w14:paraId="26B88BE8">
      <w:pPr>
        <w:pStyle w:val="78"/>
        <w:rPr>
          <w:b/>
          <w:bCs/>
        </w:rPr>
      </w:pPr>
    </w:p>
    <w:p w14:paraId="2E5F29B2">
      <w:pPr>
        <w:pStyle w:val="78"/>
        <w:rPr>
          <w:b/>
          <w:bCs/>
        </w:rPr>
      </w:pPr>
    </w:p>
    <w:p w14:paraId="7A414112">
      <w:pPr>
        <w:pStyle w:val="78"/>
        <w:rPr>
          <w:b/>
          <w:bCs/>
        </w:rPr>
      </w:pPr>
    </w:p>
    <w:p w14:paraId="260F1792">
      <w:pPr>
        <w:pStyle w:val="78"/>
        <w:rPr>
          <w:b/>
          <w:bCs/>
        </w:rPr>
      </w:pPr>
    </w:p>
    <w:p w14:paraId="32F3FE28">
      <w:pPr>
        <w:pStyle w:val="78"/>
        <w:rPr>
          <w:b/>
          <w:bCs/>
        </w:rPr>
      </w:pPr>
    </w:p>
    <w:p w14:paraId="5D1D0C8F">
      <w:pPr>
        <w:pStyle w:val="78"/>
        <w:rPr>
          <w:b/>
          <w:bCs/>
        </w:rPr>
      </w:pPr>
    </w:p>
    <w:p w14:paraId="36BF179E">
      <w:pPr>
        <w:pStyle w:val="78"/>
        <w:rPr>
          <w:b/>
          <w:bCs/>
        </w:rPr>
      </w:pPr>
    </w:p>
    <w:p w14:paraId="725789CF">
      <w:pPr>
        <w:pStyle w:val="78"/>
        <w:rPr>
          <w:b/>
          <w:bCs/>
        </w:rPr>
      </w:pPr>
    </w:p>
    <w:p w14:paraId="0AD288A8">
      <w:pPr>
        <w:pStyle w:val="78"/>
        <w:rPr>
          <w:b/>
          <w:bCs/>
        </w:rPr>
      </w:pPr>
    </w:p>
    <w:p w14:paraId="2557272E">
      <w:pPr>
        <w:pStyle w:val="78"/>
        <w:rPr>
          <w:b/>
          <w:bCs/>
        </w:rPr>
      </w:pPr>
    </w:p>
    <w:p w14:paraId="044B4F52">
      <w:pPr>
        <w:pStyle w:val="78"/>
        <w:rPr>
          <w:b/>
          <w:bCs/>
        </w:rPr>
      </w:pPr>
    </w:p>
    <w:p w14:paraId="1D325E81">
      <w:pPr>
        <w:pStyle w:val="78"/>
        <w:rPr>
          <w:b/>
          <w:bCs/>
        </w:rPr>
      </w:pPr>
    </w:p>
    <w:p w14:paraId="55E54AC2">
      <w:pPr>
        <w:pStyle w:val="78"/>
      </w:pPr>
    </w:p>
    <w:p w14:paraId="5B3AF699">
      <w:pPr>
        <w:pStyle w:val="73"/>
        <w:rPr>
          <w:rFonts w:hint="eastAsia"/>
        </w:rPr>
      </w:pPr>
      <w:bookmarkStart w:id="23" w:name="_Toc47976609"/>
      <w:bookmarkStart w:id="24" w:name="_Toc20595"/>
    </w:p>
    <w:p w14:paraId="289C889C">
      <w:pPr>
        <w:rPr>
          <w:rFonts w:hint="eastAsia"/>
        </w:rPr>
      </w:pPr>
      <w:r>
        <w:rPr>
          <w:rFonts w:hint="eastAsia"/>
        </w:rPr>
        <w:br w:type="page"/>
      </w:r>
    </w:p>
    <w:p w14:paraId="5871DF53">
      <w:pPr>
        <w:pStyle w:val="73"/>
        <w:rPr>
          <w:rFonts w:hint="eastAsia" w:eastAsia="黑体"/>
          <w:lang w:eastAsia="zh-CN"/>
        </w:rPr>
      </w:pPr>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3"/>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150257F3">
      <w:pPr>
        <w:pStyle w:val="78"/>
      </w:pPr>
    </w:p>
    <w:p w14:paraId="0B5DBAD5">
      <w:pPr>
        <w:rPr>
          <w:rFonts w:hint="eastAsia"/>
        </w:rPr>
      </w:pPr>
      <w:bookmarkStart w:id="25" w:name="_Toc47976615"/>
      <w:bookmarkStart w:id="26" w:name="_Toc5925"/>
      <w:r>
        <w:rPr>
          <w:rFonts w:hint="eastAsia"/>
        </w:rPr>
        <w:br w:type="page"/>
      </w:r>
    </w:p>
    <w:p w14:paraId="5B5C670C">
      <w:pPr>
        <w:rPr>
          <w:rFonts w:hint="eastAsia"/>
        </w:rPr>
      </w:pPr>
    </w:p>
    <w:p w14:paraId="0EB8BBEB">
      <w:pPr>
        <w:pStyle w:val="73"/>
        <w:rPr>
          <w:rFonts w:hint="default" w:eastAsia="黑体"/>
          <w:lang w:val="en-US" w:eastAsia="zh-CN"/>
        </w:rPr>
      </w:pPr>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3CD983BD">
      <w:pPr>
        <w:pStyle w:val="74"/>
        <w:numPr>
          <w:ilvl w:val="0"/>
          <w:numId w:val="0"/>
        </w:numPr>
        <w:ind w:leftChars="0"/>
        <w:rPr>
          <w:rFonts w:hint="eastAsia" w:ascii="宋体" w:hAnsi="宋体" w:eastAsia="宋体" w:cs="宋体"/>
          <w:sz w:val="32"/>
          <w:szCs w:val="32"/>
          <w:highlight w:val="none"/>
          <w:lang w:val="en-US" w:eastAsia="zh-CN"/>
        </w:rPr>
      </w:pPr>
      <w:bookmarkStart w:id="29" w:name="_Toc47976618"/>
      <w:bookmarkStart w:id="30" w:name="_Toc29366869"/>
      <w:bookmarkStart w:id="31" w:name="_Toc29366865"/>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581B33BC">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64A3F80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3"/>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6"/>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p w14:paraId="4BBC8489">
      <w:pPr>
        <w:pStyle w:val="12"/>
        <w:spacing w:line="460" w:lineRule="exact"/>
        <w:jc w:val="center"/>
        <w:rPr>
          <w:rFonts w:ascii="宋体" w:hAnsi="宋体"/>
        </w:rPr>
      </w:pPr>
      <w:r>
        <w:rPr>
          <w:rFonts w:ascii="宋体" w:hAnsi="宋体" w:cs="宋体"/>
        </w:rPr>
        <w:t xml:space="preserve">                         </w:t>
      </w:r>
    </w:p>
    <w:tbl>
      <w:tblPr>
        <w:tblStyle w:val="34"/>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91"/>
        <w:gridCol w:w="923"/>
        <w:gridCol w:w="975"/>
        <w:gridCol w:w="877"/>
        <w:gridCol w:w="612"/>
        <w:gridCol w:w="923"/>
        <w:gridCol w:w="900"/>
        <w:gridCol w:w="669"/>
        <w:gridCol w:w="911"/>
        <w:gridCol w:w="1039"/>
      </w:tblGrid>
      <w:tr w14:paraId="09E8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Align w:val="center"/>
          </w:tcPr>
          <w:p w14:paraId="3441D77F">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1091" w:type="dxa"/>
            <w:vAlign w:val="center"/>
          </w:tcPr>
          <w:p w14:paraId="05CD3DAC">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923" w:type="dxa"/>
            <w:vAlign w:val="center"/>
          </w:tcPr>
          <w:p w14:paraId="6A14158A">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w:t>
            </w:r>
          </w:p>
        </w:tc>
        <w:tc>
          <w:tcPr>
            <w:tcW w:w="975" w:type="dxa"/>
            <w:vAlign w:val="center"/>
          </w:tcPr>
          <w:p w14:paraId="64590135">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一年内检测次数（次）</w:t>
            </w:r>
          </w:p>
        </w:tc>
        <w:tc>
          <w:tcPr>
            <w:tcW w:w="877" w:type="dxa"/>
            <w:vAlign w:val="center"/>
          </w:tcPr>
          <w:p w14:paraId="0AC10C2C">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点位数（个）</w:t>
            </w:r>
          </w:p>
        </w:tc>
        <w:tc>
          <w:tcPr>
            <w:tcW w:w="612" w:type="dxa"/>
            <w:vAlign w:val="center"/>
          </w:tcPr>
          <w:p w14:paraId="79C3D85A">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c>
          <w:tcPr>
            <w:tcW w:w="923" w:type="dxa"/>
            <w:shd w:val="clear" w:color="auto" w:fill="auto"/>
            <w:vAlign w:val="center"/>
          </w:tcPr>
          <w:p w14:paraId="5B1A2F52">
            <w:pPr>
              <w:pStyle w:val="75"/>
              <w:numPr>
                <w:ilvl w:val="0"/>
                <w:numId w:val="0"/>
              </w:numPr>
              <w:ind w:left="0" w:leftChars="0" w:firstLine="0" w:firstLineChars="0"/>
              <w:jc w:val="center"/>
              <w:rPr>
                <w:rFonts w:hint="default" w:ascii="宋体" w:hAnsi="Courier New" w:eastAsia="宋体" w:cs="Times New Roman"/>
                <w:b/>
                <w:kern w:val="2"/>
                <w:sz w:val="15"/>
                <w:szCs w:val="15"/>
                <w:vertAlign w:val="baseline"/>
                <w:lang w:val="en-US" w:eastAsia="zh-CN" w:bidi="ar-SA"/>
              </w:rPr>
            </w:pPr>
            <w:r>
              <w:rPr>
                <w:rFonts w:hint="eastAsia"/>
                <w:sz w:val="15"/>
                <w:szCs w:val="15"/>
                <w:vertAlign w:val="baseline"/>
                <w:lang w:val="en-US" w:eastAsia="zh-CN"/>
              </w:rPr>
              <w:t>单价（元，未税）</w:t>
            </w:r>
          </w:p>
        </w:tc>
        <w:tc>
          <w:tcPr>
            <w:tcW w:w="900" w:type="dxa"/>
            <w:shd w:val="clear" w:color="auto" w:fill="auto"/>
            <w:vAlign w:val="center"/>
          </w:tcPr>
          <w:p w14:paraId="09B65260">
            <w:pPr>
              <w:pStyle w:val="75"/>
              <w:numPr>
                <w:ilvl w:val="0"/>
                <w:numId w:val="0"/>
              </w:numPr>
              <w:ind w:left="0" w:leftChars="0" w:firstLine="0" w:firstLineChars="0"/>
              <w:jc w:val="center"/>
              <w:rPr>
                <w:rFonts w:hint="eastAsia" w:ascii="宋体" w:hAnsi="Courier New" w:eastAsia="宋体" w:cs="Times New Roman"/>
                <w:b/>
                <w:kern w:val="2"/>
                <w:sz w:val="15"/>
                <w:szCs w:val="15"/>
                <w:vertAlign w:val="baseline"/>
                <w:lang w:val="en-US" w:eastAsia="zh-CN" w:bidi="ar-SA"/>
              </w:rPr>
            </w:pPr>
            <w:r>
              <w:rPr>
                <w:rFonts w:hint="eastAsia" w:cs="Times New Roman"/>
                <w:sz w:val="15"/>
                <w:szCs w:val="15"/>
                <w:vertAlign w:val="baseline"/>
                <w:lang w:val="en-US" w:eastAsia="zh-CN"/>
              </w:rPr>
              <w:t>总价（元，不含税）</w:t>
            </w:r>
          </w:p>
        </w:tc>
        <w:tc>
          <w:tcPr>
            <w:tcW w:w="669" w:type="dxa"/>
            <w:shd w:val="clear" w:color="auto" w:fill="auto"/>
            <w:vAlign w:val="center"/>
          </w:tcPr>
          <w:p w14:paraId="57339ACF">
            <w:pPr>
              <w:pStyle w:val="75"/>
              <w:numPr>
                <w:ilvl w:val="0"/>
                <w:numId w:val="0"/>
              </w:numPr>
              <w:ind w:left="0" w:leftChars="0" w:firstLine="0" w:firstLineChars="0"/>
              <w:jc w:val="center"/>
              <w:rPr>
                <w:rFonts w:hint="default" w:cs="Times New Roman"/>
                <w:sz w:val="15"/>
                <w:szCs w:val="15"/>
                <w:vertAlign w:val="baseline"/>
                <w:lang w:val="en-US" w:eastAsia="zh-CN"/>
              </w:rPr>
            </w:pPr>
            <w:r>
              <w:rPr>
                <w:rFonts w:hint="eastAsia" w:cs="Times New Roman"/>
                <w:sz w:val="15"/>
                <w:szCs w:val="15"/>
                <w:vertAlign w:val="baseline"/>
                <w:lang w:val="en-US" w:eastAsia="zh-CN"/>
              </w:rPr>
              <w:t>税率（%）</w:t>
            </w:r>
          </w:p>
        </w:tc>
        <w:tc>
          <w:tcPr>
            <w:tcW w:w="911" w:type="dxa"/>
            <w:shd w:val="clear" w:color="auto" w:fill="auto"/>
            <w:vAlign w:val="center"/>
          </w:tcPr>
          <w:p w14:paraId="387007A3">
            <w:pPr>
              <w:pStyle w:val="75"/>
              <w:numPr>
                <w:ilvl w:val="0"/>
                <w:numId w:val="0"/>
              </w:numPr>
              <w:ind w:left="0" w:leftChars="0" w:firstLine="0" w:firstLineChars="0"/>
              <w:jc w:val="center"/>
              <w:rPr>
                <w:rFonts w:hint="eastAsia" w:ascii="宋体" w:hAnsi="Courier New" w:eastAsia="宋体" w:cs="Times New Roman"/>
                <w:b/>
                <w:kern w:val="2"/>
                <w:sz w:val="15"/>
                <w:szCs w:val="15"/>
                <w:vertAlign w:val="baseline"/>
                <w:lang w:val="en-US" w:eastAsia="zh-CN" w:bidi="ar-SA"/>
              </w:rPr>
            </w:pPr>
            <w:r>
              <w:rPr>
                <w:rFonts w:hint="eastAsia" w:cs="Times New Roman"/>
                <w:sz w:val="15"/>
                <w:szCs w:val="15"/>
                <w:vertAlign w:val="baseline"/>
                <w:lang w:val="en-US" w:eastAsia="zh-CN"/>
              </w:rPr>
              <w:t>单价（元，含税）</w:t>
            </w:r>
          </w:p>
        </w:tc>
        <w:tc>
          <w:tcPr>
            <w:tcW w:w="1039" w:type="dxa"/>
            <w:shd w:val="clear" w:color="auto" w:fill="auto"/>
            <w:vAlign w:val="center"/>
          </w:tcPr>
          <w:p w14:paraId="282072E8">
            <w:pPr>
              <w:pStyle w:val="75"/>
              <w:numPr>
                <w:ilvl w:val="0"/>
                <w:numId w:val="0"/>
              </w:numPr>
              <w:ind w:left="0" w:leftChars="0" w:firstLine="0" w:firstLineChars="0"/>
              <w:jc w:val="center"/>
              <w:rPr>
                <w:rFonts w:hint="eastAsia" w:ascii="宋体" w:hAnsi="Courier New" w:eastAsia="宋体" w:cs="Times New Roman"/>
                <w:b/>
                <w:kern w:val="2"/>
                <w:sz w:val="15"/>
                <w:szCs w:val="15"/>
                <w:vertAlign w:val="baseline"/>
                <w:lang w:val="en-US" w:eastAsia="zh-CN" w:bidi="ar-SA"/>
              </w:rPr>
            </w:pPr>
            <w:r>
              <w:rPr>
                <w:rFonts w:hint="eastAsia" w:cs="Times New Roman"/>
                <w:sz w:val="15"/>
                <w:szCs w:val="15"/>
                <w:vertAlign w:val="baseline"/>
                <w:lang w:val="en-US" w:eastAsia="zh-CN"/>
              </w:rPr>
              <w:t>总价（元，含税）</w:t>
            </w:r>
          </w:p>
        </w:tc>
      </w:tr>
      <w:tr w14:paraId="1E9C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Align w:val="center"/>
          </w:tcPr>
          <w:p w14:paraId="006444F3">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1</w:t>
            </w:r>
          </w:p>
        </w:tc>
        <w:tc>
          <w:tcPr>
            <w:tcW w:w="1091" w:type="dxa"/>
            <w:vAlign w:val="center"/>
          </w:tcPr>
          <w:p w14:paraId="593AF53D">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二类检测点</w:t>
            </w:r>
          </w:p>
        </w:tc>
        <w:tc>
          <w:tcPr>
            <w:tcW w:w="923" w:type="dxa"/>
            <w:vAlign w:val="center"/>
          </w:tcPr>
          <w:p w14:paraId="2AEE3A09">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w:t>
            </w:r>
          </w:p>
        </w:tc>
        <w:tc>
          <w:tcPr>
            <w:tcW w:w="975" w:type="dxa"/>
            <w:vAlign w:val="center"/>
          </w:tcPr>
          <w:p w14:paraId="66A4E349">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2</w:t>
            </w:r>
          </w:p>
        </w:tc>
        <w:tc>
          <w:tcPr>
            <w:tcW w:w="877" w:type="dxa"/>
            <w:vAlign w:val="center"/>
          </w:tcPr>
          <w:p w14:paraId="261D9048">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62</w:t>
            </w:r>
          </w:p>
        </w:tc>
        <w:tc>
          <w:tcPr>
            <w:tcW w:w="612" w:type="dxa"/>
            <w:vAlign w:val="center"/>
          </w:tcPr>
          <w:p w14:paraId="36D74272">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次/点位</w:t>
            </w:r>
          </w:p>
        </w:tc>
        <w:tc>
          <w:tcPr>
            <w:tcW w:w="923" w:type="dxa"/>
            <w:vAlign w:val="center"/>
          </w:tcPr>
          <w:p w14:paraId="26471392">
            <w:pPr>
              <w:keepNext w:val="0"/>
              <w:keepLines w:val="0"/>
              <w:widowControl/>
              <w:suppressLineNumbers w:val="0"/>
              <w:jc w:val="center"/>
              <w:textAlignment w:val="center"/>
              <w:rPr>
                <w:rFonts w:hint="default"/>
                <w:sz w:val="15"/>
                <w:szCs w:val="15"/>
                <w:vertAlign w:val="baseline"/>
                <w:lang w:val="en-US" w:eastAsia="zh-CN"/>
              </w:rPr>
            </w:pPr>
          </w:p>
        </w:tc>
        <w:tc>
          <w:tcPr>
            <w:tcW w:w="900" w:type="dxa"/>
            <w:vAlign w:val="center"/>
          </w:tcPr>
          <w:p w14:paraId="509F1C83">
            <w:pPr>
              <w:keepNext w:val="0"/>
              <w:keepLines w:val="0"/>
              <w:widowControl/>
              <w:suppressLineNumbers w:val="0"/>
              <w:jc w:val="center"/>
              <w:textAlignment w:val="center"/>
              <w:rPr>
                <w:rFonts w:hint="default"/>
                <w:sz w:val="15"/>
                <w:szCs w:val="15"/>
                <w:vertAlign w:val="baseline"/>
                <w:lang w:val="en-US" w:eastAsia="zh-CN"/>
              </w:rPr>
            </w:pPr>
          </w:p>
        </w:tc>
        <w:tc>
          <w:tcPr>
            <w:tcW w:w="669" w:type="dxa"/>
            <w:vAlign w:val="center"/>
          </w:tcPr>
          <w:p w14:paraId="09672D09">
            <w:pPr>
              <w:keepNext w:val="0"/>
              <w:keepLines w:val="0"/>
              <w:widowControl/>
              <w:suppressLineNumbers w:val="0"/>
              <w:jc w:val="center"/>
              <w:textAlignment w:val="center"/>
              <w:rPr>
                <w:rFonts w:hint="default"/>
                <w:sz w:val="15"/>
                <w:szCs w:val="15"/>
                <w:vertAlign w:val="baseline"/>
                <w:lang w:val="en-US" w:eastAsia="zh-CN"/>
              </w:rPr>
            </w:pPr>
          </w:p>
        </w:tc>
        <w:tc>
          <w:tcPr>
            <w:tcW w:w="911" w:type="dxa"/>
            <w:vAlign w:val="center"/>
          </w:tcPr>
          <w:p w14:paraId="300C67E8">
            <w:pPr>
              <w:keepNext w:val="0"/>
              <w:keepLines w:val="0"/>
              <w:widowControl/>
              <w:suppressLineNumbers w:val="0"/>
              <w:jc w:val="center"/>
              <w:textAlignment w:val="center"/>
              <w:rPr>
                <w:rFonts w:hint="default"/>
                <w:sz w:val="15"/>
                <w:szCs w:val="15"/>
                <w:vertAlign w:val="baseline"/>
                <w:lang w:val="en-US" w:eastAsia="zh-CN"/>
              </w:rPr>
            </w:pPr>
          </w:p>
        </w:tc>
        <w:tc>
          <w:tcPr>
            <w:tcW w:w="1039" w:type="dxa"/>
            <w:vAlign w:val="center"/>
          </w:tcPr>
          <w:p w14:paraId="3ADA39C9">
            <w:pPr>
              <w:keepNext w:val="0"/>
              <w:keepLines w:val="0"/>
              <w:widowControl/>
              <w:suppressLineNumbers w:val="0"/>
              <w:jc w:val="center"/>
              <w:textAlignment w:val="center"/>
              <w:rPr>
                <w:rFonts w:hint="default"/>
                <w:sz w:val="15"/>
                <w:szCs w:val="15"/>
                <w:vertAlign w:val="baseline"/>
                <w:lang w:val="en-US" w:eastAsia="zh-CN"/>
              </w:rPr>
            </w:pPr>
          </w:p>
        </w:tc>
      </w:tr>
      <w:tr w14:paraId="2FF7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Align w:val="center"/>
          </w:tcPr>
          <w:p w14:paraId="4F35094A">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2</w:t>
            </w:r>
          </w:p>
        </w:tc>
        <w:tc>
          <w:tcPr>
            <w:tcW w:w="1091" w:type="dxa"/>
            <w:vAlign w:val="center"/>
          </w:tcPr>
          <w:p w14:paraId="1825BB70">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三类检测点</w:t>
            </w:r>
          </w:p>
        </w:tc>
        <w:tc>
          <w:tcPr>
            <w:tcW w:w="923" w:type="dxa"/>
            <w:vAlign w:val="center"/>
          </w:tcPr>
          <w:p w14:paraId="1D04656F">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w:t>
            </w:r>
          </w:p>
        </w:tc>
        <w:tc>
          <w:tcPr>
            <w:tcW w:w="975" w:type="dxa"/>
            <w:vAlign w:val="center"/>
          </w:tcPr>
          <w:p w14:paraId="5139EB69">
            <w:pPr>
              <w:keepNext w:val="0"/>
              <w:keepLines w:val="0"/>
              <w:widowControl/>
              <w:suppressLineNumbers w:val="0"/>
              <w:jc w:val="center"/>
              <w:textAlignment w:val="center"/>
              <w:rPr>
                <w:rFonts w:hint="default"/>
                <w:sz w:val="15"/>
                <w:szCs w:val="15"/>
                <w:vertAlign w:val="baseline"/>
                <w:lang w:val="en-US"/>
              </w:rPr>
            </w:pPr>
            <w:r>
              <w:rPr>
                <w:rFonts w:hint="eastAsia" w:ascii="宋体" w:hAnsi="宋体" w:cs="宋体"/>
                <w:i w:val="0"/>
                <w:iCs w:val="0"/>
                <w:color w:val="000000"/>
                <w:kern w:val="0"/>
                <w:sz w:val="15"/>
                <w:szCs w:val="15"/>
                <w:u w:val="none"/>
                <w:lang w:val="en-US" w:eastAsia="zh-CN" w:bidi="ar"/>
              </w:rPr>
              <w:t>1</w:t>
            </w:r>
          </w:p>
        </w:tc>
        <w:tc>
          <w:tcPr>
            <w:tcW w:w="877" w:type="dxa"/>
            <w:vAlign w:val="center"/>
          </w:tcPr>
          <w:p w14:paraId="12811B7B">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2985</w:t>
            </w:r>
          </w:p>
        </w:tc>
        <w:tc>
          <w:tcPr>
            <w:tcW w:w="612" w:type="dxa"/>
            <w:vAlign w:val="center"/>
          </w:tcPr>
          <w:p w14:paraId="367BAD19">
            <w:pPr>
              <w:keepNext w:val="0"/>
              <w:keepLines w:val="0"/>
              <w:widowControl/>
              <w:suppressLineNumbers w:val="0"/>
              <w:jc w:val="center"/>
              <w:textAlignment w:val="center"/>
              <w:rPr>
                <w:sz w:val="15"/>
                <w:szCs w:val="15"/>
                <w:vertAlign w:val="baseline"/>
              </w:rPr>
            </w:pPr>
            <w:r>
              <w:rPr>
                <w:rFonts w:hint="eastAsia"/>
                <w:sz w:val="15"/>
                <w:szCs w:val="15"/>
                <w:vertAlign w:val="baseline"/>
                <w:lang w:val="en-US" w:eastAsia="zh-CN"/>
              </w:rPr>
              <w:t>次/点位</w:t>
            </w:r>
          </w:p>
        </w:tc>
        <w:tc>
          <w:tcPr>
            <w:tcW w:w="923" w:type="dxa"/>
            <w:vAlign w:val="center"/>
          </w:tcPr>
          <w:p w14:paraId="1A9C7024">
            <w:pPr>
              <w:keepNext w:val="0"/>
              <w:keepLines w:val="0"/>
              <w:widowControl/>
              <w:suppressLineNumbers w:val="0"/>
              <w:jc w:val="center"/>
              <w:textAlignment w:val="center"/>
              <w:rPr>
                <w:rFonts w:hint="eastAsia"/>
                <w:sz w:val="15"/>
                <w:szCs w:val="15"/>
                <w:vertAlign w:val="baseline"/>
                <w:lang w:val="en-US" w:eastAsia="zh-CN"/>
              </w:rPr>
            </w:pPr>
          </w:p>
        </w:tc>
        <w:tc>
          <w:tcPr>
            <w:tcW w:w="900" w:type="dxa"/>
            <w:vAlign w:val="center"/>
          </w:tcPr>
          <w:p w14:paraId="0A378338">
            <w:pPr>
              <w:keepNext w:val="0"/>
              <w:keepLines w:val="0"/>
              <w:widowControl/>
              <w:suppressLineNumbers w:val="0"/>
              <w:jc w:val="center"/>
              <w:textAlignment w:val="center"/>
              <w:rPr>
                <w:rFonts w:hint="eastAsia"/>
                <w:sz w:val="15"/>
                <w:szCs w:val="15"/>
                <w:vertAlign w:val="baseline"/>
                <w:lang w:val="en-US" w:eastAsia="zh-CN"/>
              </w:rPr>
            </w:pPr>
          </w:p>
        </w:tc>
        <w:tc>
          <w:tcPr>
            <w:tcW w:w="669" w:type="dxa"/>
            <w:vAlign w:val="center"/>
          </w:tcPr>
          <w:p w14:paraId="1012F735">
            <w:pPr>
              <w:keepNext w:val="0"/>
              <w:keepLines w:val="0"/>
              <w:widowControl/>
              <w:suppressLineNumbers w:val="0"/>
              <w:jc w:val="center"/>
              <w:textAlignment w:val="center"/>
              <w:rPr>
                <w:rFonts w:hint="eastAsia"/>
                <w:sz w:val="15"/>
                <w:szCs w:val="15"/>
                <w:vertAlign w:val="baseline"/>
                <w:lang w:val="en-US" w:eastAsia="zh-CN"/>
              </w:rPr>
            </w:pPr>
          </w:p>
        </w:tc>
        <w:tc>
          <w:tcPr>
            <w:tcW w:w="911" w:type="dxa"/>
            <w:vAlign w:val="center"/>
          </w:tcPr>
          <w:p w14:paraId="22BA28E7">
            <w:pPr>
              <w:keepNext w:val="0"/>
              <w:keepLines w:val="0"/>
              <w:widowControl/>
              <w:suppressLineNumbers w:val="0"/>
              <w:jc w:val="center"/>
              <w:textAlignment w:val="center"/>
              <w:rPr>
                <w:rFonts w:hint="eastAsia"/>
                <w:sz w:val="15"/>
                <w:szCs w:val="15"/>
                <w:vertAlign w:val="baseline"/>
                <w:lang w:val="en-US" w:eastAsia="zh-CN"/>
              </w:rPr>
            </w:pPr>
          </w:p>
        </w:tc>
        <w:tc>
          <w:tcPr>
            <w:tcW w:w="1039" w:type="dxa"/>
            <w:vAlign w:val="center"/>
          </w:tcPr>
          <w:p w14:paraId="00BD70AC">
            <w:pPr>
              <w:keepNext w:val="0"/>
              <w:keepLines w:val="0"/>
              <w:widowControl/>
              <w:suppressLineNumbers w:val="0"/>
              <w:jc w:val="center"/>
              <w:textAlignment w:val="center"/>
              <w:rPr>
                <w:rFonts w:hint="eastAsia"/>
                <w:sz w:val="15"/>
                <w:szCs w:val="15"/>
                <w:vertAlign w:val="baseline"/>
                <w:lang w:val="en-US" w:eastAsia="zh-CN"/>
              </w:rPr>
            </w:pPr>
          </w:p>
        </w:tc>
      </w:tr>
    </w:tbl>
    <w:p w14:paraId="6A72ACA3">
      <w:pPr>
        <w:spacing w:line="400" w:lineRule="exact"/>
        <w:rPr>
          <w:rFonts w:ascii="宋体" w:hAnsi="宋体"/>
          <w:b/>
          <w:bCs/>
        </w:rPr>
      </w:pPr>
    </w:p>
    <w:p w14:paraId="163B6978">
      <w:pPr>
        <w:spacing w:line="400" w:lineRule="exact"/>
        <w:rPr>
          <w:rFonts w:ascii="宋体" w:hAnsi="宋体"/>
        </w:rPr>
      </w:pPr>
      <w:r>
        <w:rPr>
          <w:rFonts w:hint="eastAsia" w:ascii="宋体" w:hAnsi="宋体"/>
          <w:b/>
          <w:bCs/>
        </w:rPr>
        <w:t>注：</w:t>
      </w:r>
    </w:p>
    <w:p w14:paraId="558C4A24">
      <w:pPr>
        <w:numPr>
          <w:ilvl w:val="0"/>
          <w:numId w:val="32"/>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2"/>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2"/>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2"/>
        </w:numPr>
        <w:spacing w:line="300" w:lineRule="auto"/>
        <w:rPr>
          <w:rFonts w:ascii="宋体" w:hAnsi="Calibri" w:eastAsia="宋体" w:cs="Times New Roman"/>
          <w:b/>
          <w:bCs/>
          <w:szCs w:val="21"/>
        </w:rPr>
      </w:pPr>
      <w:r>
        <w:rPr>
          <w:rFonts w:hint="eastAsia" w:hAnsi="宋体" w:cs="Times New Roman"/>
          <w:b/>
          <w:bCs/>
          <w:szCs w:val="21"/>
          <w:highlight w:val="none"/>
          <w:u w:val="none"/>
          <w:lang w:val="en-US" w:eastAsia="zh-CN"/>
        </w:rPr>
        <w:t>总价=单价*检测点位数*检测次数，</w:t>
      </w: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4F58F717">
      <w:pPr>
        <w:numPr>
          <w:ilvl w:val="0"/>
          <w:numId w:val="32"/>
        </w:numPr>
        <w:spacing w:line="300" w:lineRule="auto"/>
        <w:rPr>
          <w:rFonts w:hint="eastAsia" w:hAnsi="宋体" w:eastAsia="宋体" w:cs="Times New Roman"/>
          <w:b/>
          <w:bCs/>
          <w:szCs w:val="21"/>
          <w:highlight w:val="none"/>
          <w:lang w:eastAsia="zh-CN"/>
        </w:rPr>
      </w:pPr>
      <w:r>
        <w:rPr>
          <w:rFonts w:hint="eastAsia" w:ascii="宋体" w:hAnsi="宋体" w:cs="宋体"/>
          <w:b/>
          <w:szCs w:val="20"/>
          <w:lang w:val="en-US" w:eastAsia="zh-CN"/>
        </w:rPr>
        <w:t>最终不含税总价不得高于9.11万元</w:t>
      </w:r>
      <w:r>
        <w:rPr>
          <w:rFonts w:hint="eastAsia" w:ascii="宋体" w:hAnsi="宋体" w:eastAsia="宋体" w:cs="宋体"/>
          <w:b/>
          <w:szCs w:val="20"/>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3"/>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3"/>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3"/>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3"/>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3"/>
              <w:ind w:left="482" w:hanging="482"/>
              <w:jc w:val="center"/>
              <w:rPr>
                <w:rFonts w:ascii="宋体" w:hAnsi="宋体"/>
                <w:b/>
                <w:sz w:val="24"/>
                <w:szCs w:val="24"/>
              </w:rPr>
            </w:pPr>
            <w:r>
              <w:rPr>
                <w:rFonts w:hint="eastAsia" w:ascii="宋体" w:hAnsi="宋体"/>
                <w:b/>
                <w:sz w:val="24"/>
                <w:szCs w:val="24"/>
              </w:rPr>
              <w:t>规格型号及</w:t>
            </w:r>
          </w:p>
          <w:p w14:paraId="0FAFDFCC">
            <w:pPr>
              <w:pStyle w:val="23"/>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3"/>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3"/>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3"/>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3"/>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3"/>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3"/>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3"/>
              <w:ind w:left="482" w:hanging="482"/>
              <w:jc w:val="center"/>
              <w:rPr>
                <w:rFonts w:ascii="宋体" w:hAnsi="宋体"/>
                <w:b/>
                <w:sz w:val="24"/>
                <w:szCs w:val="24"/>
              </w:rPr>
            </w:pPr>
            <w:r>
              <w:rPr>
                <w:rFonts w:hint="eastAsia" w:ascii="宋体" w:hAnsi="宋体"/>
                <w:b/>
                <w:sz w:val="24"/>
                <w:szCs w:val="24"/>
              </w:rPr>
              <w:t>单价</w:t>
            </w:r>
          </w:p>
          <w:p w14:paraId="2E91FFA4">
            <w:pPr>
              <w:pStyle w:val="23"/>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3"/>
              <w:ind w:left="482" w:hanging="482"/>
              <w:jc w:val="center"/>
              <w:rPr>
                <w:rFonts w:ascii="宋体" w:hAnsi="宋体"/>
                <w:b/>
                <w:sz w:val="24"/>
                <w:szCs w:val="24"/>
              </w:rPr>
            </w:pPr>
            <w:r>
              <w:rPr>
                <w:rFonts w:hint="eastAsia" w:ascii="宋体" w:hAnsi="宋体"/>
                <w:b/>
                <w:sz w:val="24"/>
                <w:szCs w:val="24"/>
              </w:rPr>
              <w:t>总价</w:t>
            </w:r>
          </w:p>
          <w:p w14:paraId="7CBDCB8E">
            <w:pPr>
              <w:pStyle w:val="23"/>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3"/>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3"/>
              <w:ind w:left="480" w:hanging="480"/>
              <w:rPr>
                <w:rFonts w:ascii="宋体" w:hAnsi="宋体"/>
                <w:sz w:val="24"/>
                <w:szCs w:val="24"/>
              </w:rPr>
            </w:pPr>
          </w:p>
        </w:tc>
        <w:tc>
          <w:tcPr>
            <w:tcW w:w="1678" w:type="dxa"/>
          </w:tcPr>
          <w:p w14:paraId="366AAA11">
            <w:pPr>
              <w:pStyle w:val="23"/>
              <w:ind w:left="480" w:hanging="480"/>
              <w:rPr>
                <w:rFonts w:ascii="宋体" w:hAnsi="宋体"/>
                <w:sz w:val="24"/>
                <w:szCs w:val="24"/>
              </w:rPr>
            </w:pPr>
          </w:p>
        </w:tc>
        <w:tc>
          <w:tcPr>
            <w:tcW w:w="1009" w:type="dxa"/>
          </w:tcPr>
          <w:p w14:paraId="5425DD26">
            <w:pPr>
              <w:pStyle w:val="23"/>
              <w:ind w:left="480" w:hanging="480"/>
              <w:rPr>
                <w:rFonts w:ascii="宋体" w:hAnsi="宋体"/>
                <w:sz w:val="24"/>
                <w:szCs w:val="24"/>
              </w:rPr>
            </w:pPr>
          </w:p>
        </w:tc>
        <w:tc>
          <w:tcPr>
            <w:tcW w:w="835" w:type="dxa"/>
          </w:tcPr>
          <w:p w14:paraId="1DFB85ED">
            <w:pPr>
              <w:pStyle w:val="23"/>
              <w:ind w:left="480" w:hanging="480"/>
              <w:rPr>
                <w:rFonts w:ascii="宋体" w:hAnsi="宋体"/>
                <w:sz w:val="24"/>
                <w:szCs w:val="24"/>
              </w:rPr>
            </w:pPr>
          </w:p>
        </w:tc>
        <w:tc>
          <w:tcPr>
            <w:tcW w:w="1194" w:type="dxa"/>
          </w:tcPr>
          <w:p w14:paraId="240BAB94">
            <w:pPr>
              <w:pStyle w:val="23"/>
              <w:ind w:left="480" w:hanging="480"/>
              <w:rPr>
                <w:rFonts w:ascii="宋体" w:hAnsi="宋体"/>
                <w:sz w:val="24"/>
                <w:szCs w:val="24"/>
              </w:rPr>
            </w:pPr>
          </w:p>
        </w:tc>
        <w:tc>
          <w:tcPr>
            <w:tcW w:w="1194" w:type="dxa"/>
          </w:tcPr>
          <w:p w14:paraId="00A7D4A1">
            <w:pPr>
              <w:pStyle w:val="23"/>
              <w:ind w:left="480" w:hanging="480"/>
              <w:rPr>
                <w:rFonts w:ascii="宋体" w:hAnsi="宋体"/>
                <w:sz w:val="24"/>
                <w:szCs w:val="24"/>
              </w:rPr>
            </w:pPr>
          </w:p>
        </w:tc>
        <w:tc>
          <w:tcPr>
            <w:tcW w:w="1194" w:type="dxa"/>
          </w:tcPr>
          <w:p w14:paraId="48C1EE49">
            <w:pPr>
              <w:pStyle w:val="23"/>
              <w:ind w:left="480" w:hanging="480"/>
              <w:rPr>
                <w:rFonts w:ascii="宋体" w:hAnsi="宋体"/>
                <w:sz w:val="24"/>
                <w:szCs w:val="24"/>
              </w:rPr>
            </w:pPr>
          </w:p>
        </w:tc>
        <w:tc>
          <w:tcPr>
            <w:tcW w:w="1207" w:type="dxa"/>
          </w:tcPr>
          <w:p w14:paraId="76D56E44">
            <w:pPr>
              <w:pStyle w:val="23"/>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3"/>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3"/>
              <w:ind w:left="480" w:hanging="480"/>
              <w:rPr>
                <w:rFonts w:ascii="宋体" w:hAnsi="宋体"/>
                <w:sz w:val="24"/>
                <w:szCs w:val="24"/>
              </w:rPr>
            </w:pPr>
          </w:p>
        </w:tc>
        <w:tc>
          <w:tcPr>
            <w:tcW w:w="1678" w:type="dxa"/>
          </w:tcPr>
          <w:p w14:paraId="4506C6CD">
            <w:pPr>
              <w:pStyle w:val="23"/>
              <w:ind w:left="480" w:hanging="480"/>
              <w:rPr>
                <w:rFonts w:ascii="宋体" w:hAnsi="宋体"/>
                <w:sz w:val="24"/>
                <w:szCs w:val="24"/>
              </w:rPr>
            </w:pPr>
          </w:p>
        </w:tc>
        <w:tc>
          <w:tcPr>
            <w:tcW w:w="1009" w:type="dxa"/>
          </w:tcPr>
          <w:p w14:paraId="4F551082">
            <w:pPr>
              <w:pStyle w:val="23"/>
              <w:ind w:left="480" w:hanging="480"/>
              <w:rPr>
                <w:rFonts w:ascii="宋体" w:hAnsi="宋体"/>
                <w:sz w:val="24"/>
                <w:szCs w:val="24"/>
              </w:rPr>
            </w:pPr>
          </w:p>
        </w:tc>
        <w:tc>
          <w:tcPr>
            <w:tcW w:w="835" w:type="dxa"/>
          </w:tcPr>
          <w:p w14:paraId="6033C440">
            <w:pPr>
              <w:pStyle w:val="23"/>
              <w:ind w:left="480" w:hanging="480"/>
              <w:rPr>
                <w:rFonts w:ascii="宋体" w:hAnsi="宋体"/>
                <w:sz w:val="24"/>
                <w:szCs w:val="24"/>
              </w:rPr>
            </w:pPr>
          </w:p>
        </w:tc>
        <w:tc>
          <w:tcPr>
            <w:tcW w:w="1194" w:type="dxa"/>
          </w:tcPr>
          <w:p w14:paraId="400CEF6B">
            <w:pPr>
              <w:pStyle w:val="23"/>
              <w:ind w:left="480" w:hanging="480"/>
              <w:rPr>
                <w:rFonts w:ascii="宋体" w:hAnsi="宋体"/>
                <w:sz w:val="24"/>
                <w:szCs w:val="24"/>
              </w:rPr>
            </w:pPr>
          </w:p>
        </w:tc>
        <w:tc>
          <w:tcPr>
            <w:tcW w:w="1194" w:type="dxa"/>
          </w:tcPr>
          <w:p w14:paraId="5D9CB285">
            <w:pPr>
              <w:pStyle w:val="23"/>
              <w:ind w:left="480" w:hanging="480"/>
              <w:rPr>
                <w:rFonts w:ascii="宋体" w:hAnsi="宋体"/>
                <w:sz w:val="24"/>
                <w:szCs w:val="24"/>
              </w:rPr>
            </w:pPr>
          </w:p>
        </w:tc>
        <w:tc>
          <w:tcPr>
            <w:tcW w:w="1194" w:type="dxa"/>
          </w:tcPr>
          <w:p w14:paraId="43E50F70">
            <w:pPr>
              <w:pStyle w:val="23"/>
              <w:ind w:left="480" w:hanging="480"/>
              <w:rPr>
                <w:rFonts w:ascii="宋体" w:hAnsi="宋体"/>
                <w:sz w:val="24"/>
                <w:szCs w:val="24"/>
              </w:rPr>
            </w:pPr>
          </w:p>
        </w:tc>
        <w:tc>
          <w:tcPr>
            <w:tcW w:w="1207" w:type="dxa"/>
          </w:tcPr>
          <w:p w14:paraId="67E09109">
            <w:pPr>
              <w:pStyle w:val="23"/>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3"/>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3"/>
              <w:ind w:left="480" w:hanging="480"/>
              <w:rPr>
                <w:rFonts w:ascii="宋体" w:hAnsi="宋体"/>
                <w:sz w:val="24"/>
                <w:szCs w:val="24"/>
              </w:rPr>
            </w:pPr>
          </w:p>
        </w:tc>
        <w:tc>
          <w:tcPr>
            <w:tcW w:w="1678" w:type="dxa"/>
          </w:tcPr>
          <w:p w14:paraId="6BBA7A77">
            <w:pPr>
              <w:pStyle w:val="23"/>
              <w:ind w:left="480" w:hanging="480"/>
              <w:rPr>
                <w:rFonts w:ascii="宋体" w:hAnsi="宋体"/>
                <w:sz w:val="24"/>
                <w:szCs w:val="24"/>
              </w:rPr>
            </w:pPr>
          </w:p>
        </w:tc>
        <w:tc>
          <w:tcPr>
            <w:tcW w:w="1009" w:type="dxa"/>
          </w:tcPr>
          <w:p w14:paraId="19A2ACEC">
            <w:pPr>
              <w:pStyle w:val="23"/>
              <w:ind w:left="480" w:hanging="480"/>
              <w:rPr>
                <w:rFonts w:ascii="宋体" w:hAnsi="宋体"/>
                <w:sz w:val="24"/>
                <w:szCs w:val="24"/>
              </w:rPr>
            </w:pPr>
          </w:p>
        </w:tc>
        <w:tc>
          <w:tcPr>
            <w:tcW w:w="835" w:type="dxa"/>
          </w:tcPr>
          <w:p w14:paraId="25196DAC">
            <w:pPr>
              <w:pStyle w:val="23"/>
              <w:ind w:left="480" w:hanging="480"/>
              <w:rPr>
                <w:rFonts w:ascii="宋体" w:hAnsi="宋体"/>
                <w:sz w:val="24"/>
                <w:szCs w:val="24"/>
              </w:rPr>
            </w:pPr>
          </w:p>
        </w:tc>
        <w:tc>
          <w:tcPr>
            <w:tcW w:w="1194" w:type="dxa"/>
          </w:tcPr>
          <w:p w14:paraId="619AE69A">
            <w:pPr>
              <w:pStyle w:val="23"/>
              <w:ind w:left="480" w:hanging="480"/>
              <w:rPr>
                <w:rFonts w:ascii="宋体" w:hAnsi="宋体"/>
                <w:sz w:val="24"/>
                <w:szCs w:val="24"/>
              </w:rPr>
            </w:pPr>
          </w:p>
        </w:tc>
        <w:tc>
          <w:tcPr>
            <w:tcW w:w="1194" w:type="dxa"/>
          </w:tcPr>
          <w:p w14:paraId="72EF675C">
            <w:pPr>
              <w:pStyle w:val="23"/>
              <w:ind w:left="480" w:hanging="480"/>
              <w:rPr>
                <w:rFonts w:ascii="宋体" w:hAnsi="宋体"/>
                <w:sz w:val="24"/>
                <w:szCs w:val="24"/>
              </w:rPr>
            </w:pPr>
          </w:p>
        </w:tc>
        <w:tc>
          <w:tcPr>
            <w:tcW w:w="1194" w:type="dxa"/>
          </w:tcPr>
          <w:p w14:paraId="78A72BB4">
            <w:pPr>
              <w:pStyle w:val="23"/>
              <w:ind w:left="480" w:hanging="480"/>
              <w:rPr>
                <w:rFonts w:ascii="宋体" w:hAnsi="宋体"/>
                <w:sz w:val="24"/>
                <w:szCs w:val="24"/>
              </w:rPr>
            </w:pPr>
          </w:p>
        </w:tc>
        <w:tc>
          <w:tcPr>
            <w:tcW w:w="1207" w:type="dxa"/>
          </w:tcPr>
          <w:p w14:paraId="61A123EC">
            <w:pPr>
              <w:pStyle w:val="23"/>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3"/>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3"/>
              <w:ind w:left="480" w:hanging="480"/>
              <w:rPr>
                <w:rFonts w:ascii="宋体" w:hAnsi="宋体"/>
                <w:sz w:val="24"/>
                <w:szCs w:val="24"/>
              </w:rPr>
            </w:pPr>
          </w:p>
        </w:tc>
        <w:tc>
          <w:tcPr>
            <w:tcW w:w="1678" w:type="dxa"/>
          </w:tcPr>
          <w:p w14:paraId="3633A88E">
            <w:pPr>
              <w:pStyle w:val="23"/>
              <w:ind w:left="480" w:hanging="480"/>
              <w:rPr>
                <w:rFonts w:ascii="宋体" w:hAnsi="宋体"/>
                <w:sz w:val="24"/>
                <w:szCs w:val="24"/>
              </w:rPr>
            </w:pPr>
          </w:p>
        </w:tc>
        <w:tc>
          <w:tcPr>
            <w:tcW w:w="1009" w:type="dxa"/>
          </w:tcPr>
          <w:p w14:paraId="27966D0B">
            <w:pPr>
              <w:pStyle w:val="23"/>
              <w:ind w:left="480" w:hanging="480"/>
              <w:rPr>
                <w:rFonts w:ascii="宋体" w:hAnsi="宋体"/>
                <w:sz w:val="24"/>
                <w:szCs w:val="24"/>
              </w:rPr>
            </w:pPr>
          </w:p>
        </w:tc>
        <w:tc>
          <w:tcPr>
            <w:tcW w:w="835" w:type="dxa"/>
          </w:tcPr>
          <w:p w14:paraId="657F5FCE">
            <w:pPr>
              <w:pStyle w:val="23"/>
              <w:ind w:left="480" w:hanging="480"/>
              <w:rPr>
                <w:rFonts w:ascii="宋体" w:hAnsi="宋体"/>
                <w:sz w:val="24"/>
                <w:szCs w:val="24"/>
              </w:rPr>
            </w:pPr>
          </w:p>
        </w:tc>
        <w:tc>
          <w:tcPr>
            <w:tcW w:w="1194" w:type="dxa"/>
          </w:tcPr>
          <w:p w14:paraId="10E34E5C">
            <w:pPr>
              <w:pStyle w:val="23"/>
              <w:ind w:left="480" w:hanging="480"/>
              <w:rPr>
                <w:rFonts w:ascii="宋体" w:hAnsi="宋体"/>
                <w:sz w:val="24"/>
                <w:szCs w:val="24"/>
              </w:rPr>
            </w:pPr>
          </w:p>
        </w:tc>
        <w:tc>
          <w:tcPr>
            <w:tcW w:w="1194" w:type="dxa"/>
          </w:tcPr>
          <w:p w14:paraId="6F83A841">
            <w:pPr>
              <w:pStyle w:val="23"/>
              <w:ind w:left="480" w:hanging="480"/>
              <w:rPr>
                <w:rFonts w:ascii="宋体" w:hAnsi="宋体"/>
                <w:sz w:val="24"/>
                <w:szCs w:val="24"/>
              </w:rPr>
            </w:pPr>
          </w:p>
        </w:tc>
        <w:tc>
          <w:tcPr>
            <w:tcW w:w="1194" w:type="dxa"/>
          </w:tcPr>
          <w:p w14:paraId="665A6438">
            <w:pPr>
              <w:pStyle w:val="23"/>
              <w:ind w:left="480" w:hanging="480"/>
              <w:rPr>
                <w:rFonts w:ascii="宋体" w:hAnsi="宋体"/>
                <w:sz w:val="24"/>
                <w:szCs w:val="24"/>
              </w:rPr>
            </w:pPr>
          </w:p>
        </w:tc>
        <w:tc>
          <w:tcPr>
            <w:tcW w:w="1207" w:type="dxa"/>
          </w:tcPr>
          <w:p w14:paraId="3BD13448">
            <w:pPr>
              <w:pStyle w:val="23"/>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3"/>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3"/>
              <w:ind w:left="480" w:hanging="480"/>
              <w:rPr>
                <w:rFonts w:ascii="宋体" w:hAnsi="宋体"/>
                <w:sz w:val="24"/>
                <w:szCs w:val="24"/>
              </w:rPr>
            </w:pPr>
          </w:p>
        </w:tc>
        <w:tc>
          <w:tcPr>
            <w:tcW w:w="1678" w:type="dxa"/>
          </w:tcPr>
          <w:p w14:paraId="0DD203B5">
            <w:pPr>
              <w:pStyle w:val="23"/>
              <w:ind w:left="480" w:hanging="480"/>
              <w:rPr>
                <w:rFonts w:ascii="宋体" w:hAnsi="宋体"/>
                <w:sz w:val="24"/>
                <w:szCs w:val="24"/>
              </w:rPr>
            </w:pPr>
          </w:p>
        </w:tc>
        <w:tc>
          <w:tcPr>
            <w:tcW w:w="1009" w:type="dxa"/>
          </w:tcPr>
          <w:p w14:paraId="5A550552">
            <w:pPr>
              <w:pStyle w:val="23"/>
              <w:ind w:left="480" w:hanging="480"/>
              <w:rPr>
                <w:rFonts w:ascii="宋体" w:hAnsi="宋体"/>
                <w:sz w:val="24"/>
                <w:szCs w:val="24"/>
              </w:rPr>
            </w:pPr>
          </w:p>
        </w:tc>
        <w:tc>
          <w:tcPr>
            <w:tcW w:w="835" w:type="dxa"/>
          </w:tcPr>
          <w:p w14:paraId="47ECE9CD">
            <w:pPr>
              <w:pStyle w:val="23"/>
              <w:ind w:left="480" w:hanging="480"/>
              <w:rPr>
                <w:rFonts w:ascii="宋体" w:hAnsi="宋体"/>
                <w:sz w:val="24"/>
                <w:szCs w:val="24"/>
              </w:rPr>
            </w:pPr>
          </w:p>
        </w:tc>
        <w:tc>
          <w:tcPr>
            <w:tcW w:w="1194" w:type="dxa"/>
          </w:tcPr>
          <w:p w14:paraId="65B46053">
            <w:pPr>
              <w:pStyle w:val="23"/>
              <w:ind w:left="480" w:hanging="480"/>
              <w:rPr>
                <w:rFonts w:ascii="宋体" w:hAnsi="宋体"/>
                <w:sz w:val="24"/>
                <w:szCs w:val="24"/>
              </w:rPr>
            </w:pPr>
          </w:p>
        </w:tc>
        <w:tc>
          <w:tcPr>
            <w:tcW w:w="1194" w:type="dxa"/>
          </w:tcPr>
          <w:p w14:paraId="0002F9C1">
            <w:pPr>
              <w:pStyle w:val="23"/>
              <w:ind w:left="480" w:hanging="480"/>
              <w:rPr>
                <w:rFonts w:ascii="宋体" w:hAnsi="宋体"/>
                <w:sz w:val="24"/>
                <w:szCs w:val="24"/>
              </w:rPr>
            </w:pPr>
          </w:p>
        </w:tc>
        <w:tc>
          <w:tcPr>
            <w:tcW w:w="1194" w:type="dxa"/>
          </w:tcPr>
          <w:p w14:paraId="365AA1B0">
            <w:pPr>
              <w:pStyle w:val="23"/>
              <w:ind w:left="480" w:hanging="480"/>
              <w:rPr>
                <w:rFonts w:ascii="宋体" w:hAnsi="宋体"/>
                <w:sz w:val="24"/>
                <w:szCs w:val="24"/>
              </w:rPr>
            </w:pPr>
          </w:p>
        </w:tc>
        <w:tc>
          <w:tcPr>
            <w:tcW w:w="1207" w:type="dxa"/>
          </w:tcPr>
          <w:p w14:paraId="6A73B35A">
            <w:pPr>
              <w:pStyle w:val="23"/>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3"/>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3"/>
              <w:ind w:left="480" w:hanging="480"/>
              <w:jc w:val="center"/>
              <w:rPr>
                <w:rFonts w:ascii="宋体" w:hAnsi="宋体"/>
                <w:sz w:val="24"/>
                <w:szCs w:val="24"/>
              </w:rPr>
            </w:pPr>
          </w:p>
        </w:tc>
        <w:tc>
          <w:tcPr>
            <w:tcW w:w="1009" w:type="dxa"/>
          </w:tcPr>
          <w:p w14:paraId="35356522">
            <w:pPr>
              <w:pStyle w:val="23"/>
              <w:ind w:left="480" w:hanging="480"/>
              <w:jc w:val="center"/>
              <w:rPr>
                <w:rFonts w:ascii="宋体" w:hAnsi="宋体"/>
                <w:sz w:val="24"/>
                <w:szCs w:val="24"/>
              </w:rPr>
            </w:pPr>
          </w:p>
        </w:tc>
        <w:tc>
          <w:tcPr>
            <w:tcW w:w="835" w:type="dxa"/>
          </w:tcPr>
          <w:p w14:paraId="7083D94A">
            <w:pPr>
              <w:pStyle w:val="23"/>
              <w:ind w:left="480" w:hanging="480"/>
              <w:jc w:val="center"/>
              <w:rPr>
                <w:rFonts w:ascii="宋体" w:hAnsi="宋体"/>
                <w:sz w:val="24"/>
                <w:szCs w:val="24"/>
              </w:rPr>
            </w:pPr>
          </w:p>
        </w:tc>
        <w:tc>
          <w:tcPr>
            <w:tcW w:w="1194" w:type="dxa"/>
          </w:tcPr>
          <w:p w14:paraId="195FD571">
            <w:pPr>
              <w:pStyle w:val="23"/>
              <w:ind w:left="480" w:hanging="480"/>
              <w:jc w:val="center"/>
              <w:rPr>
                <w:rFonts w:ascii="宋体" w:hAnsi="宋体"/>
                <w:sz w:val="24"/>
                <w:szCs w:val="24"/>
              </w:rPr>
            </w:pPr>
          </w:p>
        </w:tc>
        <w:tc>
          <w:tcPr>
            <w:tcW w:w="1194" w:type="dxa"/>
          </w:tcPr>
          <w:p w14:paraId="0BE35429">
            <w:pPr>
              <w:pStyle w:val="23"/>
              <w:ind w:left="480" w:hanging="480"/>
              <w:jc w:val="center"/>
              <w:rPr>
                <w:rFonts w:ascii="宋体" w:hAnsi="宋体"/>
                <w:sz w:val="24"/>
                <w:szCs w:val="24"/>
              </w:rPr>
            </w:pPr>
          </w:p>
        </w:tc>
        <w:tc>
          <w:tcPr>
            <w:tcW w:w="1194" w:type="dxa"/>
          </w:tcPr>
          <w:p w14:paraId="4BBFC2B7">
            <w:pPr>
              <w:pStyle w:val="23"/>
              <w:ind w:left="480" w:hanging="480"/>
              <w:jc w:val="center"/>
              <w:rPr>
                <w:rFonts w:ascii="宋体" w:hAnsi="宋体"/>
                <w:sz w:val="24"/>
                <w:szCs w:val="24"/>
              </w:rPr>
            </w:pPr>
          </w:p>
        </w:tc>
        <w:tc>
          <w:tcPr>
            <w:tcW w:w="1207" w:type="dxa"/>
          </w:tcPr>
          <w:p w14:paraId="42F39966">
            <w:pPr>
              <w:pStyle w:val="23"/>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3"/>
        </w:numPr>
        <w:rPr>
          <w:rFonts w:ascii="宋体" w:hAnsi="宋体"/>
          <w:sz w:val="24"/>
        </w:rPr>
      </w:pPr>
      <w:r>
        <w:rPr>
          <w:rFonts w:hint="eastAsia" w:ascii="宋体" w:hAnsi="宋体"/>
          <w:sz w:val="24"/>
        </w:rPr>
        <w:t>选购件不包括在本报价表内，应另附纸分项单报。</w:t>
      </w:r>
    </w:p>
    <w:p w14:paraId="14D33BFD">
      <w:pPr>
        <w:numPr>
          <w:ilvl w:val="0"/>
          <w:numId w:val="33"/>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6"/>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3"/>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6"/>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6"/>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6"/>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6"/>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6"/>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6"/>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6"/>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6"/>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6"/>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6"/>
              <w:spacing w:line="360" w:lineRule="auto"/>
            </w:pPr>
            <w:r>
              <w:rPr>
                <w:rFonts w:hint="eastAsia"/>
              </w:rPr>
              <w:t>纳税人识别号：</w:t>
            </w:r>
          </w:p>
        </w:tc>
      </w:tr>
    </w:tbl>
    <w:p w14:paraId="403449FB">
      <w:pPr>
        <w:pStyle w:val="16"/>
        <w:spacing w:line="360" w:lineRule="auto"/>
        <w:ind w:firstLine="240" w:firstLineChars="100"/>
        <w:rPr>
          <w:rFonts w:ascii="仿宋_GB2312" w:hAnsi="宋体" w:eastAsia="仿宋_GB2312"/>
          <w:color w:val="000000"/>
          <w:sz w:val="24"/>
        </w:rPr>
      </w:pPr>
    </w:p>
    <w:p w14:paraId="5F9E6A54">
      <w:pPr>
        <w:pStyle w:val="1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6"/>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398483ED">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中国重汽集团杭州发动机有限公司：</w:t>
      </w:r>
    </w:p>
    <w:p w14:paraId="0766F3DE">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根据贵公司的招标邀请，遵照国家有关政策法规及《中华人民共和国招标投标法》《中华人民共和国招标投标法实施条例》相关规定，我公司经研究决定，愿以按照贵公司所要求的条件参与</w:t>
      </w:r>
      <w:r>
        <w:rPr>
          <w:rFonts w:hint="eastAsia"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0AEADEEC">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一、提供的相关资质、文件、授权书等材料均真实、合法、有效，无任何伪造、篡改、虚假陈述等情形；</w:t>
      </w:r>
    </w:p>
    <w:p w14:paraId="2AD7D2E0">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二、应在开标前提供营业执照副本原件,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51F6BFD7">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25A6578D">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四、我公司认可贵公司的招标工作流程及依据该流程确定的招标结果；</w:t>
      </w:r>
    </w:p>
    <w:p w14:paraId="14FE90C6">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5B7078D6">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六、我公司同意在签订该承诺书的同时向贵公司缴纳投标保金；</w:t>
      </w:r>
    </w:p>
    <w:p w14:paraId="3C89922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七、关于杜绝串标及相关违约处置承诺：</w:t>
      </w:r>
    </w:p>
    <w:p w14:paraId="6E0A1644">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1.  我公司承诺，本次参与本项目投标系独立自主开展，为我公司独立行为，严格遵守《中华人民共和国招标投标法》《中华人民共和国招标投标法实施条例》及相关法律法规规定，坚决杜绝任何形式的串标、围标、陪标等违法违规行为，具体包括但不限于：与其他供应商协商投标报价等投标文件实质性内容、约定中标人、约定部分供应商放弃投标或中标、由同一单位或个人编制投标文件、委托同一单位或个人办理投标事宜、投标保证金从同一单位或个人账户转出等串通投标情形，也不存在挂靠其他单位投标、借用他人资质投标或为他人投标提供便利等违规情形；</w:t>
      </w:r>
    </w:p>
    <w:p w14:paraId="5808943D">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2.  我公司承诺，不与贵公司（甲方）任何工作人员、评标委员会成员串通投标，不向其赠送财物、提供不正当利益或进行其他利益输送，不泄露投标相关的敏感信息；</w:t>
      </w:r>
    </w:p>
    <w:p w14:paraId="57BFBF84">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3.  若经贵公司、招标代理机构、招投标监督管理部门或司法机关查明，我公司存在本条所述任何串标、违规投标行为，无论该行为发生在投标阶段、中标阶段还是合同履约阶段，我公司自愿承担全部责任，与贵公司无任何关联，贵公司无需承担任何因我公司串标行为引发的法律责任、经济损失及不良影响，同时我公司自愿接受以下处置：</w:t>
      </w:r>
    </w:p>
    <w:p w14:paraId="31C9B2D0">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（1） 立即被取消投标资格、中标资格（若已中标），中标结果自动无效；</w:t>
      </w:r>
    </w:p>
    <w:p w14:paraId="11B82C6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（2） 已缴纳的投标保证金、履约保证金（若已缴纳）全部不予退还，任由贵公司处置；</w:t>
      </w:r>
    </w:p>
    <w:p w14:paraId="73F51B1E">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（3） 赔偿贵公司因我公司串标行为遭受的全部直接经济损失，包括但不限于招标费用、重新招标费用、工期延误损失、价格虚高差额等；</w:t>
      </w:r>
    </w:p>
    <w:p w14:paraId="1E9C90BA">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（4） 自愿接受行业主管部门的行政处罚，包括但不限于列入失信名单、限制1-2年内参与贵公司及同类项目投标，情节严重的接受吊销营业执照等处罚；</w:t>
      </w:r>
    </w:p>
    <w:p w14:paraId="50A85EDC">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（5） 若串标行为涉嫌刑事犯罪（如造成直接经济损失30万元以上、违法所得10万元以上等），我公司自愿配合司法机关调查，依法承担刑事责任，与贵公司无任何牵连，同时承担由此给贵公司造成的全部间接损失及名誉损失；</w:t>
      </w:r>
    </w:p>
    <w:p w14:paraId="4799D9E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（6） 我公司承诺，配合贵公司及监管部门的调查工作，如实提供所有相关资料，不隐瞒、不篡改、不销毁证据，主动撇清贵公司责任。</w:t>
      </w:r>
    </w:p>
    <w:p w14:paraId="00F111CD">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如果我公司违反了上述第一至第七条的任一条款，我公司愿意承担由此引起的一切后果和相应的法律责任，同时上述第六条所述的投标保证金我公司自愿放弃，任由贵公司处理。</w:t>
      </w:r>
    </w:p>
    <w:p w14:paraId="5B6D613A">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0A432614">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a）截至开标前5天，投标人无正当理由且未以书面形式递交说明而在投标截止日不来投标的；</w:t>
      </w:r>
    </w:p>
    <w:p w14:paraId="60F8D8F7">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b）递送投标文件后，无正当理由放弃投标；</w:t>
      </w:r>
    </w:p>
    <w:p w14:paraId="143636EF">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c）自中标通知书发出之日起30日内，无正当理由不签订合同；</w:t>
      </w:r>
    </w:p>
    <w:p w14:paraId="5CB6AF25">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d）在投标过程中被查实有串标、围标、陪标等违规违纪行为；</w:t>
      </w:r>
    </w:p>
    <w:p w14:paraId="5F726F6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e）有违约违规行为或被投诉、举报的，在调查处理期间，保证金暂不退还，待调查处理结束后按有关规定处理。</w:t>
      </w:r>
    </w:p>
    <w:p w14:paraId="3F8B1E1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特此承诺！</w:t>
      </w:r>
    </w:p>
    <w:p w14:paraId="228AC68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 xml:space="preserve">投标人：                        </w:t>
      </w:r>
    </w:p>
    <w:p w14:paraId="0D7C303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 xml:space="preserve">公司 (盖章) </w:t>
      </w:r>
    </w:p>
    <w:p w14:paraId="0B77204C">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法定代表人或委托代理人：(签字)</w:t>
      </w:r>
    </w:p>
    <w:p w14:paraId="65841A02">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户名：</w:t>
      </w:r>
    </w:p>
    <w:p w14:paraId="1F2D7DAC">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开户行：</w:t>
      </w:r>
    </w:p>
    <w:p w14:paraId="0F94DC5B">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账号：</w:t>
      </w:r>
    </w:p>
    <w:p w14:paraId="24680183">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公司地址：</w:t>
      </w:r>
    </w:p>
    <w:p w14:paraId="4B948207">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联系电话：</w:t>
      </w:r>
    </w:p>
    <w:p w14:paraId="37D2E097">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eastAsia="仿宋"/>
          <w:kern w:val="0"/>
          <w:sz w:val="28"/>
          <w:szCs w:val="28"/>
        </w:rPr>
      </w:pPr>
      <w:r>
        <w:rPr>
          <w:rFonts w:hint="eastAsia" w:eastAsia="仿宋"/>
          <w:kern w:val="0"/>
          <w:sz w:val="28"/>
          <w:szCs w:val="28"/>
        </w:rPr>
        <w:t>日期：  年  月  日</w:t>
      </w:r>
    </w:p>
    <w:p w14:paraId="7A201DD8">
      <w:pPr>
        <w:widowControl/>
        <w:jc w:val="left"/>
        <w:rPr>
          <w:rFonts w:eastAsia="仿宋"/>
          <w:kern w:val="0"/>
          <w:sz w:val="28"/>
          <w:szCs w:val="28"/>
        </w:rPr>
      </w:pPr>
    </w:p>
    <w:p w14:paraId="1C5DC3E7">
      <w:pPr>
        <w:pStyle w:val="11"/>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6"/>
        <w:spacing w:line="360" w:lineRule="auto"/>
        <w:rPr>
          <w:rFonts w:hAnsi="宋体"/>
          <w:b/>
          <w:sz w:val="24"/>
          <w:szCs w:val="24"/>
        </w:rPr>
      </w:pPr>
    </w:p>
    <w:p w14:paraId="66889013">
      <w:pPr>
        <w:pStyle w:val="16"/>
        <w:spacing w:line="360" w:lineRule="auto"/>
        <w:rPr>
          <w:rFonts w:hAnsi="宋体"/>
          <w:b/>
          <w:sz w:val="24"/>
          <w:szCs w:val="24"/>
        </w:rPr>
      </w:pPr>
    </w:p>
    <w:p w14:paraId="060A6ACC">
      <w:pPr>
        <w:pStyle w:val="16"/>
        <w:spacing w:line="360" w:lineRule="auto"/>
        <w:rPr>
          <w:rFonts w:hAnsi="宋体"/>
          <w:b/>
          <w:sz w:val="24"/>
          <w:szCs w:val="24"/>
        </w:rPr>
      </w:pPr>
    </w:p>
    <w:p w14:paraId="43A32DB0">
      <w:pPr>
        <w:pStyle w:val="16"/>
        <w:spacing w:line="360" w:lineRule="auto"/>
        <w:rPr>
          <w:rFonts w:hAnsi="宋体"/>
          <w:b/>
          <w:sz w:val="24"/>
          <w:szCs w:val="24"/>
        </w:rPr>
      </w:pPr>
    </w:p>
    <w:p w14:paraId="680A4479">
      <w:pPr>
        <w:pStyle w:val="16"/>
        <w:spacing w:line="360" w:lineRule="auto"/>
        <w:rPr>
          <w:rFonts w:hAnsi="宋体"/>
          <w:b/>
          <w:sz w:val="24"/>
          <w:szCs w:val="24"/>
        </w:rPr>
      </w:pPr>
    </w:p>
    <w:p w14:paraId="4538381C">
      <w:pPr>
        <w:pStyle w:val="16"/>
        <w:spacing w:line="360" w:lineRule="auto"/>
        <w:rPr>
          <w:rFonts w:ascii="黑体" w:eastAsia="黑体"/>
          <w:b/>
          <w:bCs/>
          <w:sz w:val="36"/>
          <w:szCs w:val="36"/>
        </w:rPr>
      </w:pPr>
    </w:p>
    <w:p w14:paraId="72B4ECC3">
      <w:pPr>
        <w:pStyle w:val="16"/>
        <w:spacing w:line="360" w:lineRule="auto"/>
        <w:rPr>
          <w:rFonts w:hAnsi="宋体" w:cs="宋体"/>
          <w:bCs/>
          <w:sz w:val="30"/>
          <w:szCs w:val="30"/>
        </w:rPr>
      </w:pPr>
      <w:r>
        <w:rPr>
          <w:rFonts w:hAnsi="宋体" w:cs="宋体"/>
          <w:bCs/>
          <w:sz w:val="30"/>
          <w:szCs w:val="30"/>
        </w:rPr>
        <w:t xml:space="preserve"> </w:t>
      </w:r>
    </w:p>
    <w:p w14:paraId="6E33C165">
      <w:pPr>
        <w:pStyle w:val="16"/>
        <w:spacing w:line="360" w:lineRule="auto"/>
        <w:jc w:val="left"/>
        <w:rPr>
          <w:rFonts w:ascii="黑体" w:eastAsia="黑体"/>
          <w:b/>
          <w:bCs/>
          <w:sz w:val="36"/>
          <w:szCs w:val="36"/>
        </w:rPr>
      </w:pPr>
    </w:p>
    <w:p w14:paraId="676D8E0C">
      <w:pPr>
        <w:pStyle w:val="16"/>
        <w:spacing w:line="360" w:lineRule="auto"/>
        <w:jc w:val="center"/>
        <w:rPr>
          <w:rFonts w:ascii="黑体" w:eastAsia="黑体"/>
          <w:b/>
          <w:bCs/>
          <w:sz w:val="36"/>
          <w:szCs w:val="36"/>
        </w:rPr>
      </w:pPr>
    </w:p>
    <w:p w14:paraId="681A535A">
      <w:pPr>
        <w:pStyle w:val="16"/>
        <w:spacing w:line="360" w:lineRule="auto"/>
        <w:rPr>
          <w:rFonts w:ascii="黑体" w:eastAsia="黑体"/>
          <w:b/>
          <w:bCs/>
          <w:sz w:val="36"/>
          <w:szCs w:val="36"/>
        </w:rPr>
      </w:pPr>
    </w:p>
    <w:p w14:paraId="39F507F8">
      <w:pPr>
        <w:pStyle w:val="16"/>
        <w:spacing w:line="360" w:lineRule="auto"/>
        <w:rPr>
          <w:rFonts w:ascii="黑体" w:eastAsia="黑体"/>
          <w:b/>
          <w:bCs/>
          <w:sz w:val="36"/>
          <w:szCs w:val="36"/>
        </w:rPr>
      </w:pPr>
    </w:p>
    <w:p w14:paraId="7CDA6BD4">
      <w:pPr>
        <w:pStyle w:val="16"/>
        <w:spacing w:line="360" w:lineRule="auto"/>
        <w:jc w:val="center"/>
        <w:rPr>
          <w:rFonts w:ascii="黑体" w:eastAsia="黑体"/>
          <w:b/>
          <w:bCs/>
          <w:sz w:val="36"/>
          <w:szCs w:val="36"/>
        </w:rPr>
      </w:pPr>
    </w:p>
    <w:p w14:paraId="433CD999">
      <w:pPr>
        <w:pStyle w:val="16"/>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7"/>
      </w:rPr>
    </w:pPr>
    <w:r>
      <w:fldChar w:fldCharType="begin"/>
    </w:r>
    <w:r>
      <w:rPr>
        <w:rStyle w:val="37"/>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AA718816"/>
    <w:multiLevelType w:val="singleLevel"/>
    <w:tmpl w:val="AA718816"/>
    <w:lvl w:ilvl="0" w:tentative="0">
      <w:start w:val="5"/>
      <w:numFmt w:val="chineseCounting"/>
      <w:suff w:val="nothing"/>
      <w:lvlText w:val="%1、"/>
      <w:lvlJc w:val="left"/>
      <w:rPr>
        <w:rFonts w:hint="eastAsia"/>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5F48A93"/>
    <w:multiLevelType w:val="singleLevel"/>
    <w:tmpl w:val="B5F48A93"/>
    <w:lvl w:ilvl="0" w:tentative="0">
      <w:start w:val="3"/>
      <w:numFmt w:val="decimal"/>
      <w:lvlText w:val="%1."/>
      <w:lvlJc w:val="left"/>
      <w:pPr>
        <w:tabs>
          <w:tab w:val="left" w:pos="312"/>
        </w:tabs>
      </w:pPr>
    </w:lvl>
  </w:abstractNum>
  <w:abstractNum w:abstractNumId="8">
    <w:nsid w:val="BD4C6742"/>
    <w:multiLevelType w:val="singleLevel"/>
    <w:tmpl w:val="BD4C6742"/>
    <w:lvl w:ilvl="0" w:tentative="0">
      <w:start w:val="1"/>
      <w:numFmt w:val="decimal"/>
      <w:lvlText w:val="%1."/>
      <w:lvlJc w:val="left"/>
      <w:pPr>
        <w:ind w:left="425" w:hanging="425"/>
      </w:pPr>
      <w:rPr>
        <w:rFonts w:hint="default"/>
      </w:rPr>
    </w:lvl>
  </w:abstractNum>
  <w:abstractNum w:abstractNumId="9">
    <w:nsid w:val="CA70C5AE"/>
    <w:multiLevelType w:val="singleLevel"/>
    <w:tmpl w:val="CA70C5AE"/>
    <w:lvl w:ilvl="0" w:tentative="0">
      <w:start w:val="1"/>
      <w:numFmt w:val="decimal"/>
      <w:lvlText w:val="%1."/>
      <w:lvlJc w:val="left"/>
      <w:pPr>
        <w:ind w:left="425" w:hanging="425"/>
      </w:pPr>
      <w:rPr>
        <w:rFonts w:hint="default"/>
      </w:rPr>
    </w:lvl>
  </w:abstractNum>
  <w:abstractNum w:abstractNumId="10">
    <w:nsid w:val="D4CB66C7"/>
    <w:multiLevelType w:val="singleLevel"/>
    <w:tmpl w:val="D4CB66C7"/>
    <w:lvl w:ilvl="0" w:tentative="0">
      <w:start w:val="1"/>
      <w:numFmt w:val="decimal"/>
      <w:lvlText w:val="%1."/>
      <w:lvlJc w:val="left"/>
      <w:pPr>
        <w:ind w:left="425" w:hanging="425"/>
      </w:pPr>
      <w:rPr>
        <w:rFonts w:hint="default"/>
      </w:rPr>
    </w:lvl>
  </w:abstractNum>
  <w:abstractNum w:abstractNumId="11">
    <w:nsid w:val="D9A4530E"/>
    <w:multiLevelType w:val="singleLevel"/>
    <w:tmpl w:val="D9A4530E"/>
    <w:lvl w:ilvl="0" w:tentative="0">
      <w:start w:val="1"/>
      <w:numFmt w:val="decimal"/>
      <w:lvlText w:val="(%1)"/>
      <w:lvlJc w:val="left"/>
      <w:pPr>
        <w:ind w:left="425" w:hanging="425"/>
      </w:pPr>
      <w:rPr>
        <w:rFonts w:hint="default"/>
      </w:rPr>
    </w:lvl>
  </w:abstractNum>
  <w:abstractNum w:abstractNumId="12">
    <w:nsid w:val="DC3F8C8B"/>
    <w:multiLevelType w:val="singleLevel"/>
    <w:tmpl w:val="DC3F8C8B"/>
    <w:lvl w:ilvl="0" w:tentative="0">
      <w:start w:val="1"/>
      <w:numFmt w:val="decimal"/>
      <w:lvlText w:val="%1."/>
      <w:lvlJc w:val="left"/>
      <w:pPr>
        <w:ind w:left="425" w:hanging="425"/>
      </w:pPr>
      <w:rPr>
        <w:rFonts w:hint="default"/>
      </w:rPr>
    </w:lvl>
  </w:abstractNum>
  <w:abstractNum w:abstractNumId="13">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4">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5">
    <w:nsid w:val="1164A7F3"/>
    <w:multiLevelType w:val="singleLevel"/>
    <w:tmpl w:val="1164A7F3"/>
    <w:lvl w:ilvl="0" w:tentative="0">
      <w:start w:val="1"/>
      <w:numFmt w:val="decimal"/>
      <w:lvlText w:val="%1."/>
      <w:lvlJc w:val="left"/>
      <w:pPr>
        <w:tabs>
          <w:tab w:val="left" w:pos="312"/>
        </w:tabs>
      </w:pPr>
    </w:lvl>
  </w:abstractNum>
  <w:abstractNum w:abstractNumId="16">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21ED0EF5"/>
    <w:multiLevelType w:val="singleLevel"/>
    <w:tmpl w:val="21ED0EF5"/>
    <w:lvl w:ilvl="0" w:tentative="0">
      <w:start w:val="2"/>
      <w:numFmt w:val="chineseCounting"/>
      <w:suff w:val="nothing"/>
      <w:lvlText w:val="%1、"/>
      <w:lvlJc w:val="left"/>
      <w:rPr>
        <w:rFonts w:hint="eastAsia"/>
      </w:rPr>
    </w:lvl>
  </w:abstractNum>
  <w:abstractNum w:abstractNumId="19">
    <w:nsid w:val="3265E1EC"/>
    <w:multiLevelType w:val="singleLevel"/>
    <w:tmpl w:val="3265E1EC"/>
    <w:lvl w:ilvl="0" w:tentative="0">
      <w:start w:val="1"/>
      <w:numFmt w:val="decimal"/>
      <w:lvlText w:val="(%1)"/>
      <w:lvlJc w:val="left"/>
      <w:pPr>
        <w:ind w:left="425" w:hanging="425"/>
      </w:pPr>
      <w:rPr>
        <w:rFonts w:hint="default"/>
      </w:rPr>
    </w:lvl>
  </w:abstractNum>
  <w:abstractNum w:abstractNumId="20">
    <w:nsid w:val="3CF6EF77"/>
    <w:multiLevelType w:val="singleLevel"/>
    <w:tmpl w:val="3CF6EF77"/>
    <w:lvl w:ilvl="0" w:tentative="0">
      <w:start w:val="1"/>
      <w:numFmt w:val="decimal"/>
      <w:lvlText w:val="%1."/>
      <w:lvlJc w:val="left"/>
      <w:pPr>
        <w:ind w:left="425" w:hanging="425"/>
      </w:pPr>
      <w:rPr>
        <w:rFonts w:hint="default"/>
      </w:rPr>
    </w:lvl>
  </w:abstractNum>
  <w:abstractNum w:abstractNumId="21">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22">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3">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7">
    <w:nsid w:val="5983D379"/>
    <w:multiLevelType w:val="singleLevel"/>
    <w:tmpl w:val="5983D379"/>
    <w:lvl w:ilvl="0" w:tentative="0">
      <w:start w:val="1"/>
      <w:numFmt w:val="decimal"/>
      <w:lvlText w:val="(%1)"/>
      <w:lvlJc w:val="left"/>
      <w:pPr>
        <w:ind w:left="425" w:hanging="425"/>
      </w:pPr>
      <w:rPr>
        <w:rFonts w:hint="default"/>
      </w:rPr>
    </w:lvl>
  </w:abstractNum>
  <w:abstractNum w:abstractNumId="28">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30">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3"/>
  </w:num>
  <w:num w:numId="2">
    <w:abstractNumId w:val="28"/>
  </w:num>
  <w:num w:numId="3">
    <w:abstractNumId w:val="26"/>
  </w:num>
  <w:num w:numId="4">
    <w:abstractNumId w:val="24"/>
  </w:num>
  <w:num w:numId="5">
    <w:abstractNumId w:val="14"/>
  </w:num>
  <w:num w:numId="6">
    <w:abstractNumId w:val="16"/>
  </w:num>
  <w:num w:numId="7">
    <w:abstractNumId w:val="17"/>
  </w:num>
  <w:num w:numId="8">
    <w:abstractNumId w:val="2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1"/>
  </w:num>
  <w:num w:numId="14">
    <w:abstractNumId w:val="5"/>
  </w:num>
  <w:num w:numId="15">
    <w:abstractNumId w:val="0"/>
  </w:num>
  <w:num w:numId="16">
    <w:abstractNumId w:val="2"/>
  </w:num>
  <w:num w:numId="17">
    <w:abstractNumId w:val="27"/>
  </w:num>
  <w:num w:numId="18">
    <w:abstractNumId w:val="29"/>
  </w:num>
  <w:num w:numId="19">
    <w:abstractNumId w:val="19"/>
  </w:num>
  <w:num w:numId="20">
    <w:abstractNumId w:val="11"/>
  </w:num>
  <w:num w:numId="21">
    <w:abstractNumId w:val="9"/>
  </w:num>
  <w:num w:numId="22">
    <w:abstractNumId w:val="3"/>
  </w:num>
  <w:num w:numId="23">
    <w:abstractNumId w:val="1"/>
  </w:num>
  <w:num w:numId="24">
    <w:abstractNumId w:val="6"/>
  </w:num>
  <w:num w:numId="25">
    <w:abstractNumId w:val="13"/>
  </w:num>
  <w:num w:numId="26">
    <w:abstractNumId w:val="12"/>
  </w:num>
  <w:num w:numId="27">
    <w:abstractNumId w:val="22"/>
  </w:num>
  <w:num w:numId="28">
    <w:abstractNumId w:val="20"/>
  </w:num>
  <w:num w:numId="29">
    <w:abstractNumId w:val="18"/>
  </w:num>
  <w:num w:numId="30">
    <w:abstractNumId w:val="10"/>
  </w:num>
  <w:num w:numId="31">
    <w:abstractNumId w:val="4"/>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06B"/>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0E48E7"/>
    <w:rsid w:val="01D3146B"/>
    <w:rsid w:val="01EA2533"/>
    <w:rsid w:val="02402D97"/>
    <w:rsid w:val="02703797"/>
    <w:rsid w:val="02810A7C"/>
    <w:rsid w:val="02CC3DCA"/>
    <w:rsid w:val="02FE76EF"/>
    <w:rsid w:val="03CE5A7E"/>
    <w:rsid w:val="03EE0FAF"/>
    <w:rsid w:val="03F033B0"/>
    <w:rsid w:val="04AD3DAA"/>
    <w:rsid w:val="04FF28AB"/>
    <w:rsid w:val="05151950"/>
    <w:rsid w:val="05255292"/>
    <w:rsid w:val="057C1D39"/>
    <w:rsid w:val="05891259"/>
    <w:rsid w:val="05B91139"/>
    <w:rsid w:val="06090A5B"/>
    <w:rsid w:val="061D59CD"/>
    <w:rsid w:val="064029FC"/>
    <w:rsid w:val="07385FF8"/>
    <w:rsid w:val="073C0662"/>
    <w:rsid w:val="07511CDF"/>
    <w:rsid w:val="07D16002"/>
    <w:rsid w:val="083F0BB7"/>
    <w:rsid w:val="08633479"/>
    <w:rsid w:val="09273A00"/>
    <w:rsid w:val="09F24104"/>
    <w:rsid w:val="0A762E91"/>
    <w:rsid w:val="0AD823B8"/>
    <w:rsid w:val="0BAD28E2"/>
    <w:rsid w:val="0BD17FD7"/>
    <w:rsid w:val="0C0C541E"/>
    <w:rsid w:val="0C174EAA"/>
    <w:rsid w:val="0C300C4E"/>
    <w:rsid w:val="0C746EAB"/>
    <w:rsid w:val="0CB51572"/>
    <w:rsid w:val="0DA0500B"/>
    <w:rsid w:val="0E4D31E3"/>
    <w:rsid w:val="0E683D7D"/>
    <w:rsid w:val="0E811E04"/>
    <w:rsid w:val="0E9E4764"/>
    <w:rsid w:val="0F6326CB"/>
    <w:rsid w:val="104B26C9"/>
    <w:rsid w:val="107C6D27"/>
    <w:rsid w:val="10863702"/>
    <w:rsid w:val="10DC2AA3"/>
    <w:rsid w:val="10FA7C8C"/>
    <w:rsid w:val="114A5B4D"/>
    <w:rsid w:val="125976B2"/>
    <w:rsid w:val="12BB58E4"/>
    <w:rsid w:val="12DA145B"/>
    <w:rsid w:val="130B198F"/>
    <w:rsid w:val="13916645"/>
    <w:rsid w:val="13AC347F"/>
    <w:rsid w:val="13BC3C1F"/>
    <w:rsid w:val="14536E21"/>
    <w:rsid w:val="14F41D56"/>
    <w:rsid w:val="15173904"/>
    <w:rsid w:val="15BE5EAF"/>
    <w:rsid w:val="16A918E4"/>
    <w:rsid w:val="174A7237"/>
    <w:rsid w:val="17D966D6"/>
    <w:rsid w:val="18335F1D"/>
    <w:rsid w:val="187B075B"/>
    <w:rsid w:val="1901332A"/>
    <w:rsid w:val="190D7AB1"/>
    <w:rsid w:val="19222CB8"/>
    <w:rsid w:val="19617762"/>
    <w:rsid w:val="19AC5F87"/>
    <w:rsid w:val="1A0E6C42"/>
    <w:rsid w:val="1A3C0AAA"/>
    <w:rsid w:val="1A8E7D82"/>
    <w:rsid w:val="1BC71D3B"/>
    <w:rsid w:val="1BFE3EC5"/>
    <w:rsid w:val="1C006A5E"/>
    <w:rsid w:val="1C164ECA"/>
    <w:rsid w:val="1C59115B"/>
    <w:rsid w:val="1CFA16FF"/>
    <w:rsid w:val="1D9A259A"/>
    <w:rsid w:val="1DB23D88"/>
    <w:rsid w:val="1DE06B47"/>
    <w:rsid w:val="1EFD54D7"/>
    <w:rsid w:val="1FB23E60"/>
    <w:rsid w:val="1FBC09B0"/>
    <w:rsid w:val="1FEE015C"/>
    <w:rsid w:val="201E74B3"/>
    <w:rsid w:val="20BE4D41"/>
    <w:rsid w:val="20E722A6"/>
    <w:rsid w:val="21093CBF"/>
    <w:rsid w:val="210E39CB"/>
    <w:rsid w:val="21486EDD"/>
    <w:rsid w:val="21BF6A73"/>
    <w:rsid w:val="2247129B"/>
    <w:rsid w:val="22484CBB"/>
    <w:rsid w:val="22791318"/>
    <w:rsid w:val="228821AB"/>
    <w:rsid w:val="22AD3F14"/>
    <w:rsid w:val="22C5630B"/>
    <w:rsid w:val="22E95588"/>
    <w:rsid w:val="22FC5CFC"/>
    <w:rsid w:val="237A5348"/>
    <w:rsid w:val="23EC0BA6"/>
    <w:rsid w:val="24701A48"/>
    <w:rsid w:val="249B4BA3"/>
    <w:rsid w:val="24AD1DA0"/>
    <w:rsid w:val="24DE7B57"/>
    <w:rsid w:val="24EC1FBD"/>
    <w:rsid w:val="2540611D"/>
    <w:rsid w:val="256D6F65"/>
    <w:rsid w:val="260C2ECE"/>
    <w:rsid w:val="26722306"/>
    <w:rsid w:val="268B0052"/>
    <w:rsid w:val="270C275B"/>
    <w:rsid w:val="27610E37"/>
    <w:rsid w:val="27743C90"/>
    <w:rsid w:val="27FA0805"/>
    <w:rsid w:val="28813D0E"/>
    <w:rsid w:val="29CA2459"/>
    <w:rsid w:val="2A2B739C"/>
    <w:rsid w:val="2AA66A22"/>
    <w:rsid w:val="2AFB6D6E"/>
    <w:rsid w:val="2B271A58"/>
    <w:rsid w:val="2B397896"/>
    <w:rsid w:val="2B4A1AA4"/>
    <w:rsid w:val="2B6304A7"/>
    <w:rsid w:val="2B645F92"/>
    <w:rsid w:val="2B7967FF"/>
    <w:rsid w:val="2BCE2330"/>
    <w:rsid w:val="2C622E1D"/>
    <w:rsid w:val="2CBC5949"/>
    <w:rsid w:val="2CBE2D2A"/>
    <w:rsid w:val="2CE37ABA"/>
    <w:rsid w:val="2CF6734C"/>
    <w:rsid w:val="2D614E83"/>
    <w:rsid w:val="2D663463"/>
    <w:rsid w:val="2D855BEE"/>
    <w:rsid w:val="2E692241"/>
    <w:rsid w:val="2E956530"/>
    <w:rsid w:val="2EAF3825"/>
    <w:rsid w:val="2EF96EE4"/>
    <w:rsid w:val="2F437ACC"/>
    <w:rsid w:val="30542A7D"/>
    <w:rsid w:val="309A0DD7"/>
    <w:rsid w:val="30B027E8"/>
    <w:rsid w:val="316B62D0"/>
    <w:rsid w:val="31A57A34"/>
    <w:rsid w:val="31B77999"/>
    <w:rsid w:val="320A3D3B"/>
    <w:rsid w:val="329A43D4"/>
    <w:rsid w:val="32D83E39"/>
    <w:rsid w:val="32D8643E"/>
    <w:rsid w:val="32F0471A"/>
    <w:rsid w:val="331627E1"/>
    <w:rsid w:val="331F7372"/>
    <w:rsid w:val="3343707B"/>
    <w:rsid w:val="33574CDF"/>
    <w:rsid w:val="337E22EA"/>
    <w:rsid w:val="340622E0"/>
    <w:rsid w:val="341C4194"/>
    <w:rsid w:val="34594B05"/>
    <w:rsid w:val="34A254C1"/>
    <w:rsid w:val="352D221A"/>
    <w:rsid w:val="353C420B"/>
    <w:rsid w:val="358F4C83"/>
    <w:rsid w:val="35FE5984"/>
    <w:rsid w:val="36254FE4"/>
    <w:rsid w:val="36914C50"/>
    <w:rsid w:val="36962041"/>
    <w:rsid w:val="372F61E0"/>
    <w:rsid w:val="379171D7"/>
    <w:rsid w:val="37FB060D"/>
    <w:rsid w:val="39322FCA"/>
    <w:rsid w:val="397C5584"/>
    <w:rsid w:val="3A9B7C26"/>
    <w:rsid w:val="3AB90991"/>
    <w:rsid w:val="3ACA7C7F"/>
    <w:rsid w:val="3AED7D56"/>
    <w:rsid w:val="3B6B06B1"/>
    <w:rsid w:val="3B706131"/>
    <w:rsid w:val="3B8C53DF"/>
    <w:rsid w:val="3BD77460"/>
    <w:rsid w:val="3C6E4D25"/>
    <w:rsid w:val="3CB83334"/>
    <w:rsid w:val="3CC52D38"/>
    <w:rsid w:val="3D172303"/>
    <w:rsid w:val="3D490B59"/>
    <w:rsid w:val="3E6F041E"/>
    <w:rsid w:val="40337F4D"/>
    <w:rsid w:val="40C81580"/>
    <w:rsid w:val="40CD73AF"/>
    <w:rsid w:val="410F4ECA"/>
    <w:rsid w:val="412A1D04"/>
    <w:rsid w:val="414C3A28"/>
    <w:rsid w:val="41606952"/>
    <w:rsid w:val="41F93484"/>
    <w:rsid w:val="422D7163"/>
    <w:rsid w:val="4275481E"/>
    <w:rsid w:val="4280553B"/>
    <w:rsid w:val="428B617A"/>
    <w:rsid w:val="42C35F6C"/>
    <w:rsid w:val="43257A45"/>
    <w:rsid w:val="433D7BDC"/>
    <w:rsid w:val="435E3EE6"/>
    <w:rsid w:val="437E1813"/>
    <w:rsid w:val="438A2D79"/>
    <w:rsid w:val="44A43B7B"/>
    <w:rsid w:val="44B00772"/>
    <w:rsid w:val="44B35946"/>
    <w:rsid w:val="455260BB"/>
    <w:rsid w:val="456F6294"/>
    <w:rsid w:val="458D254E"/>
    <w:rsid w:val="45BD47FC"/>
    <w:rsid w:val="45CC5FB2"/>
    <w:rsid w:val="46052F7B"/>
    <w:rsid w:val="46116FEE"/>
    <w:rsid w:val="46144F18"/>
    <w:rsid w:val="464078D3"/>
    <w:rsid w:val="46802123"/>
    <w:rsid w:val="46B75BA8"/>
    <w:rsid w:val="46F91732"/>
    <w:rsid w:val="4842346F"/>
    <w:rsid w:val="48C97955"/>
    <w:rsid w:val="49201515"/>
    <w:rsid w:val="492D458E"/>
    <w:rsid w:val="49382AE4"/>
    <w:rsid w:val="4968161B"/>
    <w:rsid w:val="497C0C22"/>
    <w:rsid w:val="49880C8F"/>
    <w:rsid w:val="498D7E70"/>
    <w:rsid w:val="49A917EE"/>
    <w:rsid w:val="49CF398F"/>
    <w:rsid w:val="49D379CB"/>
    <w:rsid w:val="4A606796"/>
    <w:rsid w:val="4A8835F7"/>
    <w:rsid w:val="4B382369"/>
    <w:rsid w:val="4B592E71"/>
    <w:rsid w:val="4BE30D5E"/>
    <w:rsid w:val="4C87000A"/>
    <w:rsid w:val="4CB52948"/>
    <w:rsid w:val="4CE03BBE"/>
    <w:rsid w:val="4D354A04"/>
    <w:rsid w:val="4DAE616A"/>
    <w:rsid w:val="4F63587C"/>
    <w:rsid w:val="4F876573"/>
    <w:rsid w:val="4F9372D6"/>
    <w:rsid w:val="4FB122BD"/>
    <w:rsid w:val="4FC8015F"/>
    <w:rsid w:val="50005ABB"/>
    <w:rsid w:val="50BE4F65"/>
    <w:rsid w:val="513C3DC7"/>
    <w:rsid w:val="51612ABA"/>
    <w:rsid w:val="516C6F9F"/>
    <w:rsid w:val="51A928E4"/>
    <w:rsid w:val="51B353FD"/>
    <w:rsid w:val="51C2772F"/>
    <w:rsid w:val="52497665"/>
    <w:rsid w:val="52B72CCB"/>
    <w:rsid w:val="52B9239A"/>
    <w:rsid w:val="52F83A10"/>
    <w:rsid w:val="5367649F"/>
    <w:rsid w:val="538452A3"/>
    <w:rsid w:val="53CE3A6B"/>
    <w:rsid w:val="5435659E"/>
    <w:rsid w:val="547E162A"/>
    <w:rsid w:val="54BD78FD"/>
    <w:rsid w:val="54E85B62"/>
    <w:rsid w:val="54F9581D"/>
    <w:rsid w:val="5503564E"/>
    <w:rsid w:val="55742765"/>
    <w:rsid w:val="55C02F87"/>
    <w:rsid w:val="57295661"/>
    <w:rsid w:val="57C253EC"/>
    <w:rsid w:val="57D05F9C"/>
    <w:rsid w:val="584C37AF"/>
    <w:rsid w:val="58A86DDE"/>
    <w:rsid w:val="59154AD7"/>
    <w:rsid w:val="59CE7B31"/>
    <w:rsid w:val="5A272E2C"/>
    <w:rsid w:val="5ADF548D"/>
    <w:rsid w:val="5BF92E16"/>
    <w:rsid w:val="5C806824"/>
    <w:rsid w:val="5C8F2693"/>
    <w:rsid w:val="5CEC3EC6"/>
    <w:rsid w:val="5D5C60B4"/>
    <w:rsid w:val="5DCE5B23"/>
    <w:rsid w:val="5E9865C0"/>
    <w:rsid w:val="5EE5015A"/>
    <w:rsid w:val="5F3F6522"/>
    <w:rsid w:val="5FF7504F"/>
    <w:rsid w:val="602C4CF9"/>
    <w:rsid w:val="609E2195"/>
    <w:rsid w:val="60AF4EDD"/>
    <w:rsid w:val="618C4C10"/>
    <w:rsid w:val="623E2D7E"/>
    <w:rsid w:val="62487DE4"/>
    <w:rsid w:val="625A670B"/>
    <w:rsid w:val="62A600D1"/>
    <w:rsid w:val="62CB2478"/>
    <w:rsid w:val="62E302C4"/>
    <w:rsid w:val="62FD297C"/>
    <w:rsid w:val="63F04A69"/>
    <w:rsid w:val="63F20007"/>
    <w:rsid w:val="63FF2AB1"/>
    <w:rsid w:val="6426760F"/>
    <w:rsid w:val="6459522D"/>
    <w:rsid w:val="64DB4F3F"/>
    <w:rsid w:val="64DD334F"/>
    <w:rsid w:val="651069C0"/>
    <w:rsid w:val="652D1277"/>
    <w:rsid w:val="656232C3"/>
    <w:rsid w:val="65921AA2"/>
    <w:rsid w:val="65AC068A"/>
    <w:rsid w:val="66303069"/>
    <w:rsid w:val="66A50B1E"/>
    <w:rsid w:val="66B75538"/>
    <w:rsid w:val="67401089"/>
    <w:rsid w:val="67B2063C"/>
    <w:rsid w:val="67C97AC3"/>
    <w:rsid w:val="67E30EC1"/>
    <w:rsid w:val="685120C6"/>
    <w:rsid w:val="69020CEC"/>
    <w:rsid w:val="6A266C5C"/>
    <w:rsid w:val="6A4E3B2B"/>
    <w:rsid w:val="6B1261C9"/>
    <w:rsid w:val="6B481C3B"/>
    <w:rsid w:val="6B5C5EE2"/>
    <w:rsid w:val="6BF62521"/>
    <w:rsid w:val="6C1331A3"/>
    <w:rsid w:val="6CA84BC1"/>
    <w:rsid w:val="6D3E4756"/>
    <w:rsid w:val="6D602485"/>
    <w:rsid w:val="6DA23B2A"/>
    <w:rsid w:val="6DEA5FB9"/>
    <w:rsid w:val="6E225129"/>
    <w:rsid w:val="6EAB7B9B"/>
    <w:rsid w:val="6EBE7228"/>
    <w:rsid w:val="6F7D52B5"/>
    <w:rsid w:val="6FC523EB"/>
    <w:rsid w:val="6FF375E1"/>
    <w:rsid w:val="70477EA0"/>
    <w:rsid w:val="707F70C6"/>
    <w:rsid w:val="70834F97"/>
    <w:rsid w:val="70DF1913"/>
    <w:rsid w:val="71603688"/>
    <w:rsid w:val="725956F5"/>
    <w:rsid w:val="726F27D5"/>
    <w:rsid w:val="72895F2E"/>
    <w:rsid w:val="72C02EBE"/>
    <w:rsid w:val="72C507AD"/>
    <w:rsid w:val="72D028D8"/>
    <w:rsid w:val="732B52E4"/>
    <w:rsid w:val="745D47C3"/>
    <w:rsid w:val="74CB28DA"/>
    <w:rsid w:val="74CF2EE5"/>
    <w:rsid w:val="74DA48CB"/>
    <w:rsid w:val="75FB71EF"/>
    <w:rsid w:val="76116A13"/>
    <w:rsid w:val="761E295F"/>
    <w:rsid w:val="763335B4"/>
    <w:rsid w:val="767945B8"/>
    <w:rsid w:val="76AC3757"/>
    <w:rsid w:val="76EC6B38"/>
    <w:rsid w:val="774F7BA9"/>
    <w:rsid w:val="778B57FB"/>
    <w:rsid w:val="78306EF8"/>
    <w:rsid w:val="786A240A"/>
    <w:rsid w:val="79132AA2"/>
    <w:rsid w:val="794B6EAC"/>
    <w:rsid w:val="7A342CD0"/>
    <w:rsid w:val="7A777060"/>
    <w:rsid w:val="7B022DCE"/>
    <w:rsid w:val="7B286FB5"/>
    <w:rsid w:val="7B682776"/>
    <w:rsid w:val="7B9B57FE"/>
    <w:rsid w:val="7BAC4AE8"/>
    <w:rsid w:val="7CB93F8E"/>
    <w:rsid w:val="7CC3658D"/>
    <w:rsid w:val="7CDC13FD"/>
    <w:rsid w:val="7CE04A49"/>
    <w:rsid w:val="7CF66B46"/>
    <w:rsid w:val="7D51425B"/>
    <w:rsid w:val="7D7921C6"/>
    <w:rsid w:val="7DBD28BA"/>
    <w:rsid w:val="7DC71FDC"/>
    <w:rsid w:val="7EC108AA"/>
    <w:rsid w:val="7F3E1EFB"/>
    <w:rsid w:val="7F5C7D12"/>
    <w:rsid w:val="7F6565D6"/>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next w:val="13"/>
    <w:link w:val="44"/>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next w:val="1"/>
    <w:link w:val="51"/>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3"/>
    <w:qFormat/>
    <w:uiPriority w:val="0"/>
    <w:rPr>
      <w:rFonts w:ascii="宋体" w:hAnsi="Courier New"/>
    </w:rPr>
  </w:style>
  <w:style w:type="paragraph" w:styleId="17">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50"/>
    <w:semiHidden/>
    <w:qFormat/>
    <w:uiPriority w:val="0"/>
    <w:rPr>
      <w:sz w:val="18"/>
      <w:szCs w:val="18"/>
    </w:rPr>
  </w:style>
  <w:style w:type="paragraph" w:styleId="20">
    <w:name w:val="footer"/>
    <w:basedOn w:val="1"/>
    <w:link w:val="45"/>
    <w:semiHidden/>
    <w:qFormat/>
    <w:uiPriority w:val="0"/>
    <w:pPr>
      <w:tabs>
        <w:tab w:val="center" w:pos="4153"/>
        <w:tab w:val="right" w:pos="8306"/>
      </w:tabs>
      <w:snapToGrid w:val="0"/>
      <w:jc w:val="left"/>
    </w:pPr>
    <w:rPr>
      <w:sz w:val="18"/>
      <w:szCs w:val="18"/>
    </w:rPr>
  </w:style>
  <w:style w:type="paragraph" w:styleId="21">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0"/>
    <w:next w:val="10"/>
    <w:link w:val="56"/>
    <w:semiHidden/>
    <w:qFormat/>
    <w:uiPriority w:val="98"/>
    <w:rPr>
      <w:b/>
      <w:bCs/>
    </w:rPr>
  </w:style>
  <w:style w:type="paragraph" w:styleId="31">
    <w:name w:val="Body Text First Indent"/>
    <w:basedOn w:val="12"/>
    <w:unhideWhenUsed/>
    <w:qFormat/>
    <w:uiPriority w:val="99"/>
    <w:pPr>
      <w:ind w:firstLine="420" w:firstLineChars="100"/>
    </w:pPr>
  </w:style>
  <w:style w:type="paragraph" w:styleId="32">
    <w:name w:val="Body Text First Indent 2"/>
    <w:basedOn w:val="14"/>
    <w:next w:val="26"/>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20"/>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字符"/>
    <w:link w:val="19"/>
    <w:semiHidden/>
    <w:qFormat/>
    <w:uiPriority w:val="98"/>
    <w:rPr>
      <w:kern w:val="2"/>
      <w:sz w:val="18"/>
      <w:szCs w:val="18"/>
    </w:rPr>
  </w:style>
  <w:style w:type="character" w:customStyle="1" w:styleId="51">
    <w:name w:val="正文文本缩进 字符"/>
    <w:link w:val="14"/>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6"/>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1"/>
    <w:semiHidden/>
    <w:qFormat/>
    <w:uiPriority w:val="0"/>
    <w:rPr>
      <w:kern w:val="2"/>
      <w:sz w:val="18"/>
      <w:szCs w:val="18"/>
    </w:rPr>
  </w:style>
  <w:style w:type="character" w:customStyle="1" w:styleId="56">
    <w:name w:val="批注主题 字符"/>
    <w:link w:val="30"/>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5"/>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5"/>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5"/>
    <w:link w:val="29"/>
    <w:semiHidden/>
    <w:qFormat/>
    <w:uiPriority w:val="0"/>
    <w:rPr>
      <w:rFonts w:eastAsia="黑体" w:asciiTheme="majorHAnsi" w:hAnsiTheme="majorHAnsi" w:cstheme="majorBidi"/>
      <w:b/>
      <w:bCs/>
      <w:kern w:val="2"/>
      <w:sz w:val="36"/>
      <w:szCs w:val="32"/>
    </w:rPr>
  </w:style>
  <w:style w:type="paragraph" w:customStyle="1" w:styleId="73">
    <w:name w:val="章节"/>
    <w:basedOn w:val="16"/>
    <w:qFormat/>
    <w:uiPriority w:val="0"/>
    <w:pPr>
      <w:spacing w:line="360" w:lineRule="auto"/>
      <w:jc w:val="center"/>
      <w:outlineLvl w:val="0"/>
    </w:pPr>
    <w:rPr>
      <w:rFonts w:ascii="黑体" w:eastAsia="黑体"/>
      <w:b/>
      <w:bCs/>
      <w:sz w:val="36"/>
      <w:szCs w:val="36"/>
    </w:rPr>
  </w:style>
  <w:style w:type="paragraph" w:customStyle="1" w:styleId="74">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6"/>
    <w:qFormat/>
    <w:uiPriority w:val="2"/>
    <w:pPr>
      <w:numPr>
        <w:ilvl w:val="0"/>
        <w:numId w:val="3"/>
      </w:numPr>
      <w:spacing w:line="360" w:lineRule="auto"/>
      <w:outlineLvl w:val="2"/>
    </w:pPr>
    <w:rPr>
      <w:b/>
    </w:rPr>
  </w:style>
  <w:style w:type="paragraph" w:customStyle="1" w:styleId="76">
    <w:name w:val="3级标题"/>
    <w:basedOn w:val="16"/>
    <w:link w:val="104"/>
    <w:qFormat/>
    <w:uiPriority w:val="3"/>
    <w:pPr>
      <w:numPr>
        <w:ilvl w:val="0"/>
        <w:numId w:val="4"/>
      </w:numPr>
      <w:spacing w:line="360" w:lineRule="auto"/>
      <w:outlineLvl w:val="3"/>
    </w:pPr>
    <w:rPr>
      <w:b/>
    </w:rPr>
  </w:style>
  <w:style w:type="paragraph" w:customStyle="1" w:styleId="77">
    <w:name w:val="（4）级标题"/>
    <w:basedOn w:val="16"/>
    <w:qFormat/>
    <w:uiPriority w:val="8"/>
    <w:pPr>
      <w:numPr>
        <w:ilvl w:val="0"/>
        <w:numId w:val="5"/>
      </w:numPr>
      <w:spacing w:line="360" w:lineRule="auto"/>
      <w:outlineLvl w:val="4"/>
    </w:pPr>
  </w:style>
  <w:style w:type="paragraph" w:customStyle="1" w:styleId="78">
    <w:name w:val="标书正文"/>
    <w:basedOn w:val="16"/>
    <w:link w:val="99"/>
    <w:qFormat/>
    <w:uiPriority w:val="9"/>
    <w:pPr>
      <w:spacing w:line="360" w:lineRule="auto"/>
      <w:jc w:val="left"/>
    </w:pPr>
  </w:style>
  <w:style w:type="character" w:customStyle="1" w:styleId="79">
    <w:name w:val="标题 4 字符"/>
    <w:basedOn w:val="35"/>
    <w:link w:val="5"/>
    <w:semiHidden/>
    <w:qFormat/>
    <w:uiPriority w:val="0"/>
    <w:rPr>
      <w:rFonts w:ascii="Arial" w:hAnsi="Arial"/>
      <w:b/>
      <w:bCs/>
      <w:kern w:val="2"/>
      <w:sz w:val="21"/>
      <w:szCs w:val="28"/>
    </w:rPr>
  </w:style>
  <w:style w:type="character" w:customStyle="1" w:styleId="80">
    <w:name w:val="标题 5 字符"/>
    <w:basedOn w:val="35"/>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5"/>
    <w:link w:val="24"/>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5"/>
    <w:link w:val="18"/>
    <w:semiHidden/>
    <w:qFormat/>
    <w:uiPriority w:val="0"/>
    <w:rPr>
      <w:sz w:val="24"/>
    </w:rPr>
  </w:style>
  <w:style w:type="character" w:customStyle="1" w:styleId="89">
    <w:name w:val="日期 字符"/>
    <w:basedOn w:val="35"/>
    <w:link w:val="17"/>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字符1"/>
    <w:basedOn w:val="35"/>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7"/>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10212</Words>
  <Characters>10737</Characters>
  <Lines>127</Lines>
  <Paragraphs>35</Paragraphs>
  <TotalTime>1</TotalTime>
  <ScaleCrop>false</ScaleCrop>
  <LinksUpToDate>false</LinksUpToDate>
  <CharactersWithSpaces>10829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2026-05-13T01:46:57Z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eyJoZGlkIjoiZWU4YTA2NTM1OTBiZjg5M2NhNTI5ZjcxZWYyYTg0MGEiLCJ1c2VySWQiOiI1NzUzNTc2MTQifQ==</vt:lpwstr>
  </property>
</Properties>
</file>