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1782B9">
      <w:pPr>
        <w:pStyle w:val="3"/>
        <w:widowControl/>
        <w:jc w:val="center"/>
      </w:pPr>
      <w:bookmarkStart w:id="0" w:name="_Toc12866"/>
      <w:r>
        <w:rPr>
          <w:rFonts w:hint="eastAsia" w:cs="宋体"/>
          <w:i w:val="0"/>
          <w:iCs/>
          <w:sz w:val="32"/>
          <w:szCs w:val="32"/>
          <w:lang w:val="en-US" w:eastAsia="zh-CN"/>
        </w:rPr>
        <w:t>ABAQUS软件采购项目招标公告</w:t>
      </w:r>
      <w:bookmarkEnd w:id="0"/>
    </w:p>
    <w:p w14:paraId="3CDEB7FC">
      <w:pPr>
        <w:pStyle w:val="29"/>
        <w:numPr>
          <w:ilvl w:val="1"/>
          <w:numId w:val="0"/>
        </w:numPr>
        <w:ind w:left="0" w:leftChars="0" w:firstLine="0" w:firstLineChars="0"/>
      </w:pPr>
      <w:r>
        <w:rPr>
          <w:rFonts w:hint="eastAsia" w:ascii="黑体" w:hAnsi="黑体" w:eastAsia="黑体" w:cs="Times New Roman"/>
          <w:b w:val="0"/>
          <w:bCs/>
          <w:kern w:val="2"/>
          <w:sz w:val="24"/>
          <w:szCs w:val="24"/>
          <w:lang w:val="en-US" w:eastAsia="zh-CN" w:bidi="ar-SA"/>
        </w:rPr>
        <w:t>一、</w:t>
      </w:r>
      <w:r>
        <w:rPr>
          <w:rFonts w:hint="eastAsia"/>
        </w:rPr>
        <w:t>项目名称及编号</w:t>
      </w:r>
    </w:p>
    <w:p w14:paraId="6C9BFADA">
      <w:pPr>
        <w:spacing w:line="600" w:lineRule="exact"/>
        <w:ind w:left="0" w:leftChars="0" w:firstLine="0" w:firstLineChars="0"/>
        <w:jc w:val="left"/>
        <w:rPr>
          <w:rFonts w:hint="eastAsia" w:ascii="宋体" w:hAnsi="宋体" w:eastAsia="宋体"/>
          <w:color w:val="000000"/>
          <w:sz w:val="24"/>
          <w:szCs w:val="24"/>
          <w:u w:val="single"/>
          <w:lang w:eastAsia="zh-CN"/>
        </w:rPr>
      </w:pPr>
      <w:r>
        <w:rPr>
          <w:rFonts w:hint="eastAsia" w:ascii="宋体" w:hAnsi="宋体" w:eastAsia="宋体"/>
          <w:b/>
          <w:bCs/>
          <w:color w:val="000000"/>
          <w:sz w:val="24"/>
          <w:szCs w:val="24"/>
          <w:u w:val="single"/>
        </w:rPr>
        <w:t>项目名称</w:t>
      </w:r>
      <w:r>
        <w:rPr>
          <w:rFonts w:hint="eastAsia" w:ascii="宋体" w:hAnsi="宋体" w:eastAsia="宋体"/>
          <w:color w:val="000000"/>
          <w:sz w:val="24"/>
          <w:szCs w:val="24"/>
          <w:u w:val="single"/>
        </w:rPr>
        <w:t>：</w:t>
      </w:r>
      <w:r>
        <w:rPr>
          <w:rFonts w:hint="eastAsia" w:ascii="宋体" w:hAnsi="宋体" w:eastAsia="宋体"/>
          <w:color w:val="000000"/>
          <w:sz w:val="24"/>
          <w:szCs w:val="24"/>
          <w:u w:val="single"/>
          <w:lang w:eastAsia="zh-CN"/>
        </w:rPr>
        <w:t>ABAQUS软件采购项目</w:t>
      </w:r>
    </w:p>
    <w:p w14:paraId="01DD3159">
      <w:pPr>
        <w:spacing w:line="600" w:lineRule="exact"/>
        <w:ind w:left="0" w:leftChars="0" w:firstLine="0" w:firstLineChars="0"/>
        <w:jc w:val="left"/>
        <w:rPr>
          <w:rFonts w:ascii="宋体" w:hAnsi="宋体" w:eastAsia="宋体"/>
          <w:b/>
          <w:bCs/>
          <w:color w:val="000000"/>
          <w:sz w:val="24"/>
          <w:szCs w:val="24"/>
          <w:u w:val="single"/>
        </w:rPr>
      </w:pPr>
      <w:r>
        <w:rPr>
          <w:rFonts w:hint="eastAsia" w:ascii="宋体" w:hAnsi="宋体" w:eastAsia="宋体"/>
          <w:b/>
          <w:bCs/>
          <w:color w:val="000000"/>
          <w:sz w:val="24"/>
          <w:szCs w:val="24"/>
          <w:u w:val="single"/>
        </w:rPr>
        <w:t>项目编号：ZBGL2026030322</w:t>
      </w:r>
    </w:p>
    <w:p w14:paraId="47108138">
      <w:pPr>
        <w:pStyle w:val="29"/>
        <w:keepNext/>
        <w:keepLines/>
        <w:pageBreakBefore w:val="0"/>
        <w:widowControl w:val="0"/>
        <w:numPr>
          <w:ilvl w:val="1"/>
          <w:numId w:val="0"/>
        </w:numPr>
        <w:kinsoku/>
        <w:wordWrap/>
        <w:overflowPunct/>
        <w:topLinePunct w:val="0"/>
        <w:autoSpaceDE/>
        <w:autoSpaceDN/>
        <w:bidi w:val="0"/>
        <w:adjustRightInd/>
        <w:snapToGrid/>
        <w:spacing w:before="313" w:beforeLines="100" w:after="157" w:afterLines="50"/>
        <w:ind w:left="0" w:leftChars="0" w:firstLine="0" w:firstLineChars="0"/>
        <w:textAlignment w:val="auto"/>
        <w:rPr>
          <w:rFonts w:hint="eastAsia" w:hAnsi="宋体"/>
          <w:b/>
          <w:bCs w:val="0"/>
          <w:color w:val="000000"/>
          <w:sz w:val="24"/>
          <w:szCs w:val="24"/>
        </w:rPr>
      </w:pPr>
      <w:r>
        <w:rPr>
          <w:rFonts w:hint="eastAsia" w:ascii="黑体" w:hAnsi="宋体" w:eastAsia="黑体" w:cs="Times New Roman"/>
          <w:b/>
          <w:bCs w:val="0"/>
          <w:color w:val="000000"/>
          <w:kern w:val="2"/>
          <w:sz w:val="24"/>
          <w:szCs w:val="24"/>
          <w:lang w:val="en-US" w:eastAsia="zh-CN" w:bidi="ar-SA"/>
        </w:rPr>
        <w:t>二、</w:t>
      </w:r>
      <w:r>
        <w:rPr>
          <w:rFonts w:hint="eastAsia"/>
        </w:rPr>
        <w:t>招标内容及形式</w:t>
      </w:r>
    </w:p>
    <w:p w14:paraId="408BF0B4">
      <w:pPr>
        <w:pStyle w:val="29"/>
        <w:keepNext/>
        <w:keepLines/>
        <w:pageBreakBefore w:val="0"/>
        <w:widowControl w:val="0"/>
        <w:numPr>
          <w:ilvl w:val="2"/>
          <w:numId w:val="0"/>
        </w:numPr>
        <w:kinsoku/>
        <w:wordWrap/>
        <w:overflowPunct/>
        <w:topLinePunct w:val="0"/>
        <w:autoSpaceDE/>
        <w:autoSpaceDN/>
        <w:bidi w:val="0"/>
        <w:adjustRightInd/>
        <w:snapToGrid/>
        <w:ind w:left="0" w:leftChars="0" w:firstLine="0" w:firstLineChars="0"/>
        <w:textAlignment w:val="auto"/>
        <w:outlineLvl w:val="2"/>
        <w:rPr>
          <w:rFonts w:hint="eastAsia" w:asciiTheme="majorEastAsia" w:hAnsiTheme="majorEastAsia" w:eastAsiaTheme="majorEastAsia" w:cstheme="majorEastAsia"/>
          <w:b/>
          <w:bCs w:val="0"/>
          <w:color w:val="000000"/>
          <w:sz w:val="24"/>
          <w:szCs w:val="24"/>
        </w:rPr>
      </w:pPr>
      <w:r>
        <w:rPr>
          <w:rFonts w:hint="eastAsia" w:asciiTheme="majorEastAsia" w:hAnsiTheme="majorEastAsia" w:eastAsiaTheme="majorEastAsia" w:cstheme="majorEastAsia"/>
          <w:b/>
          <w:bCs w:val="0"/>
          <w:color w:val="000000"/>
          <w:kern w:val="2"/>
          <w:sz w:val="24"/>
          <w:szCs w:val="24"/>
          <w:lang w:val="en-US" w:eastAsia="zh-CN" w:bidi="ar-SA"/>
        </w:rPr>
        <w:t>1．</w:t>
      </w:r>
      <w:r>
        <w:rPr>
          <w:rFonts w:hint="eastAsia" w:asciiTheme="majorEastAsia" w:hAnsiTheme="majorEastAsia" w:eastAsiaTheme="majorEastAsia" w:cstheme="majorEastAsia"/>
          <w:b/>
          <w:bCs w:val="0"/>
          <w:color w:val="000000"/>
          <w:sz w:val="24"/>
          <w:szCs w:val="24"/>
        </w:rPr>
        <w:t>招标内容</w:t>
      </w:r>
    </w:p>
    <w:p w14:paraId="128F92E9">
      <w:pPr>
        <w:keepNext w:val="0"/>
        <w:keepLines w:val="0"/>
        <w:pageBreakBefore w:val="0"/>
        <w:widowControl w:val="0"/>
        <w:numPr>
          <w:ilvl w:val="0"/>
          <w:numId w:val="3"/>
        </w:numPr>
        <w:kinsoku/>
        <w:wordWrap/>
        <w:overflowPunct/>
        <w:topLinePunct w:val="0"/>
        <w:autoSpaceDE/>
        <w:autoSpaceDN/>
        <w:bidi w:val="0"/>
        <w:adjustRightInd/>
        <w:snapToGrid/>
        <w:spacing w:line="520" w:lineRule="exact"/>
        <w:ind w:left="425" w:leftChars="0" w:hanging="425" w:firstLineChars="0"/>
        <w:jc w:val="left"/>
        <w:textAlignment w:val="auto"/>
        <w:rPr>
          <w:rFonts w:hint="default" w:ascii="宋体" w:hAnsi="宋体" w:eastAsia="宋体"/>
          <w:color w:val="FF0000"/>
          <w:sz w:val="21"/>
          <w:szCs w:val="21"/>
          <w:u w:val="single"/>
          <w:lang w:val="en-US"/>
        </w:rPr>
      </w:pPr>
      <w:r>
        <w:rPr>
          <w:rFonts w:hint="eastAsia" w:ascii="宋体" w:hAnsi="宋体" w:eastAsia="宋体"/>
          <w:color w:val="FF0000"/>
          <w:sz w:val="21"/>
          <w:szCs w:val="21"/>
          <w:u w:val="single"/>
          <w:lang w:val="en-US" w:eastAsia="zh-CN"/>
        </w:rPr>
        <w:t>2个</w:t>
      </w:r>
      <w:r>
        <w:rPr>
          <w:rFonts w:hint="eastAsia" w:ascii="宋体" w:hAnsi="宋体" w:eastAsia="宋体"/>
          <w:color w:val="FF0000"/>
          <w:sz w:val="21"/>
          <w:szCs w:val="21"/>
          <w:u w:val="single"/>
          <w:lang w:eastAsia="zh-CN"/>
        </w:rPr>
        <w:t>QAX（</w:t>
      </w:r>
      <w:r>
        <w:rPr>
          <w:rFonts w:hint="eastAsia" w:ascii="宋体" w:hAnsi="宋体" w:eastAsia="宋体"/>
          <w:color w:val="FF0000"/>
          <w:sz w:val="21"/>
          <w:szCs w:val="21"/>
          <w:u w:val="single"/>
          <w:lang w:val="en-US" w:eastAsia="zh-CN"/>
        </w:rPr>
        <w:t>一个现有模块升级，一个新购</w:t>
      </w:r>
      <w:r>
        <w:rPr>
          <w:rFonts w:hint="eastAsia" w:ascii="宋体" w:hAnsi="宋体" w:eastAsia="宋体"/>
          <w:color w:val="FF0000"/>
          <w:sz w:val="21"/>
          <w:szCs w:val="21"/>
          <w:u w:val="single"/>
          <w:lang w:eastAsia="zh-CN"/>
        </w:rPr>
        <w:t>）</w:t>
      </w:r>
      <w:r>
        <w:rPr>
          <w:rFonts w:hint="eastAsia" w:ascii="宋体" w:hAnsi="宋体" w:eastAsia="宋体"/>
          <w:color w:val="FF0000"/>
          <w:sz w:val="21"/>
          <w:szCs w:val="21"/>
          <w:u w:val="single"/>
          <w:lang w:val="en-US" w:eastAsia="zh-CN"/>
        </w:rPr>
        <w:t>;</w:t>
      </w:r>
    </w:p>
    <w:p w14:paraId="5177474F">
      <w:pPr>
        <w:pStyle w:val="9"/>
        <w:numPr>
          <w:ilvl w:val="0"/>
          <w:numId w:val="3"/>
        </w:numPr>
        <w:spacing w:line="360" w:lineRule="auto"/>
        <w:ind w:left="425" w:leftChars="0" w:hanging="425" w:firstLineChars="0"/>
        <w:rPr>
          <w:rFonts w:hint="default" w:ascii="宋体" w:hAnsi="宋体" w:eastAsia="宋体"/>
          <w:color w:val="FF0000"/>
          <w:sz w:val="21"/>
          <w:szCs w:val="21"/>
          <w:u w:val="single"/>
          <w:lang w:val="en-US" w:eastAsia="zh-CN"/>
        </w:rPr>
      </w:pPr>
      <w:r>
        <w:rPr>
          <w:rFonts w:hint="eastAsia" w:ascii="宋体" w:hAnsi="宋体" w:eastAsia="宋体"/>
          <w:color w:val="FF0000"/>
          <w:sz w:val="21"/>
          <w:szCs w:val="21"/>
          <w:u w:val="single"/>
          <w:lang w:eastAsia="zh-CN"/>
        </w:rPr>
        <w:t>22</w:t>
      </w:r>
      <w:r>
        <w:rPr>
          <w:rFonts w:hint="eastAsia" w:hAnsi="宋体"/>
          <w:color w:val="FF0000"/>
          <w:sz w:val="21"/>
          <w:szCs w:val="21"/>
          <w:u w:val="single"/>
          <w:lang w:val="en-US" w:eastAsia="zh-CN"/>
        </w:rPr>
        <w:t>个</w:t>
      </w:r>
      <w:r>
        <w:rPr>
          <w:rFonts w:hint="eastAsia" w:ascii="宋体" w:hAnsi="宋体" w:eastAsia="宋体"/>
          <w:color w:val="FF0000"/>
          <w:sz w:val="21"/>
          <w:szCs w:val="21"/>
          <w:u w:val="single"/>
          <w:lang w:eastAsia="zh-CN"/>
        </w:rPr>
        <w:t>QXT</w:t>
      </w:r>
      <w:r>
        <w:rPr>
          <w:rFonts w:hint="eastAsia" w:hAnsi="宋体"/>
          <w:color w:val="FF0000"/>
          <w:sz w:val="21"/>
          <w:szCs w:val="21"/>
          <w:u w:val="single"/>
          <w:lang w:eastAsia="zh-CN"/>
        </w:rPr>
        <w:t>（</w:t>
      </w:r>
      <w:r>
        <w:rPr>
          <w:rFonts w:hint="eastAsia" w:hAnsi="宋体"/>
          <w:color w:val="FF0000"/>
          <w:sz w:val="21"/>
          <w:szCs w:val="21"/>
          <w:u w:val="single"/>
          <w:lang w:val="en-US" w:eastAsia="zh-CN"/>
        </w:rPr>
        <w:t>22个现有模块升级token</w:t>
      </w:r>
      <w:r>
        <w:rPr>
          <w:rFonts w:hint="eastAsia" w:hAnsi="宋体"/>
          <w:color w:val="FF0000"/>
          <w:sz w:val="21"/>
          <w:szCs w:val="21"/>
          <w:u w:val="single"/>
          <w:lang w:eastAsia="zh-CN"/>
        </w:rPr>
        <w:t>）</w:t>
      </w:r>
      <w:r>
        <w:rPr>
          <w:rFonts w:hint="eastAsia" w:hAnsi="宋体"/>
          <w:color w:val="FF0000"/>
          <w:sz w:val="21"/>
          <w:szCs w:val="21"/>
          <w:u w:val="single"/>
          <w:lang w:val="en-US" w:eastAsia="zh-CN"/>
        </w:rPr>
        <w:t>;</w:t>
      </w:r>
    </w:p>
    <w:p w14:paraId="572D4DA5">
      <w:pPr>
        <w:pStyle w:val="9"/>
        <w:spacing w:line="360" w:lineRule="auto"/>
        <w:ind w:firstLine="210" w:firstLineChars="100"/>
        <w:rPr>
          <w:rFonts w:hint="default" w:ascii="宋体" w:hAnsi="宋体" w:eastAsia="宋体"/>
          <w:color w:val="000000"/>
          <w:sz w:val="21"/>
          <w:szCs w:val="21"/>
          <w:u w:val="single"/>
          <w:lang w:val="en-US" w:eastAsia="zh-CN"/>
        </w:rPr>
      </w:pPr>
      <w:r>
        <w:rPr>
          <w:rFonts w:hint="eastAsia" w:hAnsi="宋体"/>
          <w:color w:val="000000"/>
          <w:sz w:val="21"/>
          <w:szCs w:val="21"/>
          <w:u w:val="none"/>
          <w:lang w:val="en-US" w:eastAsia="zh-CN"/>
        </w:rPr>
        <w:t xml:space="preserve"> </w:t>
      </w:r>
      <w:r>
        <w:rPr>
          <w:rFonts w:hint="eastAsia" w:hAnsi="宋体"/>
          <w:color w:val="000000"/>
          <w:sz w:val="21"/>
          <w:szCs w:val="21"/>
          <w:u w:val="single"/>
          <w:lang w:val="en-US" w:eastAsia="zh-CN"/>
        </w:rPr>
        <w:t>上述采购内容形式均为永久许可。</w:t>
      </w:r>
    </w:p>
    <w:p w14:paraId="7F9BBE15">
      <w:pPr>
        <w:pStyle w:val="9"/>
        <w:numPr>
          <w:ilvl w:val="2"/>
          <w:numId w:val="0"/>
        </w:numPr>
        <w:spacing w:line="360" w:lineRule="auto"/>
        <w:ind w:left="0" w:leftChars="0" w:firstLine="0" w:firstLineChars="0"/>
        <w:outlineLvl w:val="2"/>
        <w:rPr>
          <w:rFonts w:hint="eastAsia" w:hAnsi="宋体" w:eastAsia="宋体"/>
          <w:b/>
          <w:bCs w:val="0"/>
          <w:color w:val="000000"/>
          <w:sz w:val="24"/>
          <w:szCs w:val="24"/>
          <w:lang w:eastAsia="zh-CN"/>
        </w:rPr>
      </w:pPr>
      <w:r>
        <w:rPr>
          <w:rFonts w:hint="eastAsia" w:ascii="宋体" w:hAnsi="宋体" w:eastAsia="宋体" w:cstheme="minorBidi"/>
          <w:b/>
          <w:bCs w:val="0"/>
          <w:color w:val="000000"/>
          <w:kern w:val="2"/>
          <w:sz w:val="24"/>
          <w:szCs w:val="24"/>
          <w:lang w:val="en-US" w:eastAsia="zh-CN" w:bidi="ar-SA"/>
        </w:rPr>
        <w:t>2．</w:t>
      </w:r>
      <w:r>
        <w:rPr>
          <w:rFonts w:hint="eastAsia" w:hAnsi="宋体"/>
          <w:b/>
          <w:bCs w:val="0"/>
          <w:color w:val="000000"/>
          <w:sz w:val="24"/>
          <w:szCs w:val="24"/>
        </w:rPr>
        <w:t>招标形式：公开招标</w:t>
      </w:r>
    </w:p>
    <w:p w14:paraId="633741D4">
      <w:pPr>
        <w:pStyle w:val="29"/>
        <w:keepNext/>
        <w:keepLines/>
        <w:pageBreakBefore w:val="0"/>
        <w:widowControl w:val="0"/>
        <w:numPr>
          <w:ilvl w:val="1"/>
          <w:numId w:val="0"/>
        </w:numPr>
        <w:kinsoku/>
        <w:wordWrap/>
        <w:overflowPunct/>
        <w:topLinePunct w:val="0"/>
        <w:autoSpaceDE/>
        <w:autoSpaceDN/>
        <w:bidi w:val="0"/>
        <w:adjustRightInd/>
        <w:snapToGrid/>
        <w:spacing w:before="313" w:beforeLines="100" w:after="157" w:afterLines="50"/>
        <w:ind w:left="0" w:leftChars="0" w:firstLine="0" w:firstLineChars="0"/>
        <w:textAlignment w:val="auto"/>
        <w:outlineLvl w:val="1"/>
      </w:pPr>
      <w:r>
        <w:rPr>
          <w:rFonts w:hint="eastAsia" w:ascii="黑体" w:hAnsi="黑体" w:eastAsia="黑体" w:cs="Times New Roman"/>
          <w:b w:val="0"/>
          <w:bCs/>
          <w:kern w:val="2"/>
          <w:sz w:val="24"/>
          <w:szCs w:val="24"/>
          <w:lang w:val="en-US" w:eastAsia="zh-CN" w:bidi="ar-SA"/>
        </w:rPr>
        <w:t>三、</w:t>
      </w:r>
      <w:r>
        <w:rPr>
          <w:rFonts w:hint="eastAsia"/>
        </w:rPr>
        <w:t>交货及付款</w:t>
      </w:r>
    </w:p>
    <w:p w14:paraId="09612CFA">
      <w:pPr>
        <w:pStyle w:val="9"/>
        <w:keepNext w:val="0"/>
        <w:keepLines w:val="0"/>
        <w:pageBreakBefore w:val="0"/>
        <w:widowControl w:val="0"/>
        <w:numPr>
          <w:ilvl w:val="2"/>
          <w:numId w:val="0"/>
        </w:numPr>
        <w:kinsoku/>
        <w:wordWrap/>
        <w:overflowPunct/>
        <w:topLinePunct w:val="0"/>
        <w:autoSpaceDE/>
        <w:autoSpaceDN/>
        <w:bidi w:val="0"/>
        <w:adjustRightInd/>
        <w:snapToGrid/>
        <w:spacing w:line="360" w:lineRule="auto"/>
        <w:ind w:left="0" w:leftChars="0" w:firstLine="0" w:firstLineChars="0"/>
        <w:textAlignment w:val="auto"/>
        <w:outlineLvl w:val="2"/>
        <w:rPr>
          <w:rFonts w:hAnsi="宋体" w:cs="Times New Roman"/>
          <w:b/>
          <w:bCs w:val="0"/>
          <w:color w:val="000000"/>
          <w:sz w:val="24"/>
          <w:szCs w:val="24"/>
        </w:rPr>
      </w:pPr>
      <w:r>
        <w:rPr>
          <w:rFonts w:hint="default" w:ascii="宋体" w:hAnsi="宋体" w:eastAsia="宋体" w:cs="Times New Roman"/>
          <w:b/>
          <w:bCs/>
          <w:color w:val="000000"/>
          <w:kern w:val="2"/>
          <w:sz w:val="24"/>
          <w:szCs w:val="24"/>
          <w:lang w:val="en-US" w:eastAsia="zh-CN" w:bidi="ar-SA"/>
        </w:rPr>
        <w:t>1．</w:t>
      </w:r>
      <w:r>
        <w:rPr>
          <w:rFonts w:hint="eastAsia" w:hAnsi="宋体" w:cs="Times New Roman"/>
          <w:b/>
          <w:bCs w:val="0"/>
          <w:color w:val="000000"/>
          <w:sz w:val="24"/>
          <w:szCs w:val="24"/>
        </w:rPr>
        <w:t>交货期</w:t>
      </w:r>
    </w:p>
    <w:p w14:paraId="1C5B1B1C">
      <w:pPr>
        <w:pStyle w:val="9"/>
        <w:spacing w:line="360" w:lineRule="auto"/>
        <w:ind w:left="0" w:leftChars="0" w:firstLine="191" w:firstLineChars="91"/>
        <w:rPr>
          <w:rFonts w:hAnsi="宋体"/>
          <w:color w:val="000000"/>
          <w:sz w:val="21"/>
          <w:szCs w:val="21"/>
          <w:highlight w:val="cyan"/>
        </w:rPr>
      </w:pPr>
      <w:bookmarkStart w:id="1" w:name="_Hlk144226767"/>
      <w:bookmarkStart w:id="2" w:name="_Hlk167804445"/>
      <w:r>
        <w:rPr>
          <w:rFonts w:hint="eastAsia" w:hAnsi="宋体"/>
          <w:color w:val="000000"/>
          <w:sz w:val="21"/>
          <w:szCs w:val="21"/>
        </w:rPr>
        <w:t>自合同签定生效之日起，</w:t>
      </w:r>
      <w:bookmarkEnd w:id="1"/>
      <w:r>
        <w:rPr>
          <w:rFonts w:hAnsi="宋体"/>
          <w:b/>
          <w:bCs/>
          <w:color w:val="000000"/>
          <w:sz w:val="21"/>
          <w:szCs w:val="21"/>
        </w:rPr>
        <w:t>30</w:t>
      </w:r>
      <w:r>
        <w:rPr>
          <w:rFonts w:hint="eastAsia" w:hAnsi="宋体"/>
          <w:b/>
          <w:bCs/>
          <w:color w:val="000000"/>
          <w:sz w:val="21"/>
          <w:szCs w:val="21"/>
        </w:rPr>
        <w:t>个日历日</w:t>
      </w:r>
      <w:r>
        <w:rPr>
          <w:rFonts w:hint="eastAsia" w:hAnsi="宋体"/>
          <w:color w:val="000000"/>
          <w:sz w:val="21"/>
          <w:szCs w:val="21"/>
        </w:rPr>
        <w:t>之内交付</w:t>
      </w:r>
      <w:bookmarkStart w:id="3" w:name="_Hlk167805673"/>
      <w:r>
        <w:rPr>
          <w:rFonts w:hint="eastAsia" w:hAnsi="宋体"/>
          <w:color w:val="000000"/>
          <w:sz w:val="21"/>
          <w:szCs w:val="21"/>
        </w:rPr>
        <w:t>正式版软件</w:t>
      </w:r>
      <w:bookmarkEnd w:id="3"/>
      <w:r>
        <w:rPr>
          <w:rFonts w:hint="eastAsia" w:hAnsi="宋体"/>
          <w:color w:val="000000"/>
          <w:sz w:val="21"/>
          <w:szCs w:val="21"/>
          <w:lang w:val="en-US" w:eastAsia="zh-CN"/>
        </w:rPr>
        <w:t>安装包</w:t>
      </w:r>
      <w:r>
        <w:rPr>
          <w:rFonts w:hint="eastAsia" w:hAnsi="宋体"/>
          <w:color w:val="000000"/>
          <w:sz w:val="21"/>
          <w:szCs w:val="21"/>
        </w:rPr>
        <w:t>并</w:t>
      </w:r>
      <w:r>
        <w:rPr>
          <w:rFonts w:hint="eastAsia" w:hAnsi="宋体"/>
          <w:color w:val="000000"/>
          <w:sz w:val="21"/>
          <w:szCs w:val="21"/>
          <w:lang w:val="en-US" w:eastAsia="zh-CN"/>
        </w:rPr>
        <w:t>完成</w:t>
      </w:r>
      <w:r>
        <w:rPr>
          <w:rFonts w:hint="eastAsia" w:hAnsi="宋体"/>
          <w:color w:val="000000"/>
          <w:sz w:val="21"/>
          <w:szCs w:val="21"/>
        </w:rPr>
        <w:t>安装</w:t>
      </w:r>
      <w:r>
        <w:rPr>
          <w:rFonts w:hint="eastAsia" w:hAnsi="宋体"/>
          <w:color w:val="000000"/>
          <w:sz w:val="21"/>
          <w:szCs w:val="21"/>
          <w:lang w:val="en-US" w:eastAsia="zh-CN"/>
        </w:rPr>
        <w:t>调试</w:t>
      </w:r>
      <w:r>
        <w:rPr>
          <w:rFonts w:hint="eastAsia" w:hAnsi="宋体"/>
          <w:color w:val="000000"/>
          <w:sz w:val="21"/>
          <w:szCs w:val="21"/>
          <w:lang w:eastAsia="zh-CN"/>
        </w:rPr>
        <w:t>，</w:t>
      </w:r>
      <w:r>
        <w:rPr>
          <w:rFonts w:hint="eastAsia" w:hAnsi="宋体"/>
          <w:color w:val="000000"/>
          <w:sz w:val="21"/>
          <w:szCs w:val="21"/>
          <w:lang w:val="en-US" w:eastAsia="zh-CN"/>
        </w:rPr>
        <w:t>60</w:t>
      </w:r>
      <w:r>
        <w:rPr>
          <w:rFonts w:hint="eastAsia" w:hAnsi="宋体"/>
          <w:b/>
          <w:bCs/>
          <w:color w:val="000000"/>
          <w:sz w:val="21"/>
          <w:szCs w:val="21"/>
        </w:rPr>
        <w:t>个日历日</w:t>
      </w:r>
      <w:r>
        <w:rPr>
          <w:rFonts w:hint="eastAsia" w:hAnsi="宋体"/>
          <w:color w:val="000000"/>
          <w:sz w:val="21"/>
          <w:szCs w:val="21"/>
        </w:rPr>
        <w:t>之内</w:t>
      </w:r>
      <w:r>
        <w:rPr>
          <w:rFonts w:hint="eastAsia" w:hAnsi="宋体"/>
          <w:color w:val="000000"/>
          <w:sz w:val="21"/>
          <w:szCs w:val="21"/>
          <w:lang w:val="en-US" w:eastAsia="zh-CN"/>
        </w:rPr>
        <w:t>完成软件操作培训</w:t>
      </w:r>
      <w:r>
        <w:rPr>
          <w:rFonts w:hint="eastAsia" w:hAnsi="宋体"/>
          <w:color w:val="000000"/>
          <w:sz w:val="21"/>
          <w:szCs w:val="21"/>
        </w:rPr>
        <w:t>。</w:t>
      </w:r>
    </w:p>
    <w:bookmarkEnd w:id="2"/>
    <w:p w14:paraId="21C20A19">
      <w:pPr>
        <w:pStyle w:val="9"/>
        <w:keepNext w:val="0"/>
        <w:keepLines w:val="0"/>
        <w:pageBreakBefore w:val="0"/>
        <w:widowControl w:val="0"/>
        <w:numPr>
          <w:ilvl w:val="2"/>
          <w:numId w:val="0"/>
        </w:numPr>
        <w:kinsoku/>
        <w:wordWrap/>
        <w:overflowPunct/>
        <w:topLinePunct w:val="0"/>
        <w:autoSpaceDE/>
        <w:autoSpaceDN/>
        <w:bidi w:val="0"/>
        <w:adjustRightInd/>
        <w:snapToGrid/>
        <w:spacing w:line="360" w:lineRule="auto"/>
        <w:ind w:left="0" w:leftChars="0" w:firstLine="0" w:firstLineChars="0"/>
        <w:textAlignment w:val="auto"/>
        <w:outlineLvl w:val="2"/>
        <w:rPr>
          <w:color w:val="000000" w:themeColor="text1"/>
          <w:sz w:val="24"/>
          <w:szCs w:val="24"/>
          <w14:textFill>
            <w14:solidFill>
              <w14:schemeClr w14:val="tx1"/>
            </w14:solidFill>
          </w14:textFill>
        </w:rPr>
      </w:pPr>
      <w:r>
        <w:rPr>
          <w:rFonts w:hint="default" w:ascii="宋体" w:hAnsi="Courier New" w:eastAsia="宋体" w:cstheme="minorBidi"/>
          <w:b/>
          <w:bCs/>
          <w:color w:val="000000" w:themeColor="text1"/>
          <w:kern w:val="2"/>
          <w:sz w:val="24"/>
          <w:szCs w:val="24"/>
          <w:lang w:val="en-US" w:eastAsia="zh-CN" w:bidi="ar-SA"/>
          <w14:textFill>
            <w14:solidFill>
              <w14:schemeClr w14:val="tx1"/>
            </w14:solidFill>
          </w14:textFill>
        </w:rPr>
        <w:t>2．</w:t>
      </w:r>
      <w:r>
        <w:rPr>
          <w:rFonts w:hint="eastAsia" w:hAnsi="宋体" w:cs="Times New Roman"/>
          <w:b/>
          <w:bCs w:val="0"/>
          <w:color w:val="000000"/>
          <w:sz w:val="24"/>
          <w:szCs w:val="24"/>
        </w:rPr>
        <w:t>交货地点：</w:t>
      </w:r>
      <w:r>
        <w:rPr>
          <w:rFonts w:hint="eastAsia"/>
          <w:color w:val="000000" w:themeColor="text1"/>
          <w:sz w:val="24"/>
          <w:szCs w:val="24"/>
          <w14:textFill>
            <w14:solidFill>
              <w14:schemeClr w14:val="tx1"/>
            </w14:solidFill>
          </w14:textFill>
        </w:rPr>
        <w:t>济南市高新区华奥路777号中国重汽未来科技大厦。</w:t>
      </w:r>
    </w:p>
    <w:p w14:paraId="7C637BEA">
      <w:pPr>
        <w:pStyle w:val="9"/>
        <w:keepNext w:val="0"/>
        <w:keepLines w:val="0"/>
        <w:pageBreakBefore w:val="0"/>
        <w:widowControl w:val="0"/>
        <w:numPr>
          <w:ilvl w:val="2"/>
          <w:numId w:val="0"/>
        </w:numPr>
        <w:kinsoku/>
        <w:wordWrap/>
        <w:overflowPunct/>
        <w:topLinePunct w:val="0"/>
        <w:autoSpaceDE/>
        <w:autoSpaceDN/>
        <w:bidi w:val="0"/>
        <w:adjustRightInd/>
        <w:snapToGrid/>
        <w:spacing w:line="360" w:lineRule="auto"/>
        <w:ind w:left="0" w:leftChars="0" w:firstLine="0" w:firstLineChars="0"/>
        <w:textAlignment w:val="auto"/>
        <w:outlineLvl w:val="2"/>
        <w:rPr>
          <w:rFonts w:hAnsi="宋体" w:cs="Times New Roman"/>
          <w:bCs/>
          <w:color w:val="000000"/>
          <w:sz w:val="24"/>
          <w:szCs w:val="24"/>
        </w:rPr>
      </w:pPr>
      <w:r>
        <w:rPr>
          <w:rFonts w:hint="default" w:ascii="宋体" w:hAnsi="宋体" w:eastAsia="宋体" w:cs="Times New Roman"/>
          <w:b/>
          <w:bCs/>
          <w:color w:val="000000"/>
          <w:kern w:val="2"/>
          <w:sz w:val="24"/>
          <w:szCs w:val="24"/>
          <w:lang w:val="en-US" w:eastAsia="zh-CN" w:bidi="ar-SA"/>
        </w:rPr>
        <w:t>3．</w:t>
      </w:r>
      <w:r>
        <w:rPr>
          <w:rFonts w:hint="eastAsia" w:hAnsi="宋体" w:cs="Times New Roman"/>
          <w:b/>
          <w:bCs w:val="0"/>
          <w:color w:val="000000"/>
          <w:sz w:val="24"/>
          <w:szCs w:val="24"/>
        </w:rPr>
        <w:t>交货方式：</w:t>
      </w:r>
      <w:bookmarkStart w:id="4" w:name="_Hlk167804356"/>
      <w:r>
        <w:rPr>
          <w:rFonts w:hint="eastAsia" w:hAnsi="宋体" w:cs="Times New Roman"/>
          <w:bCs/>
          <w:color w:val="000000"/>
          <w:sz w:val="24"/>
          <w:szCs w:val="24"/>
        </w:rPr>
        <w:t>以最终签署的协议（或合同）约定为准。</w:t>
      </w:r>
      <w:bookmarkEnd w:id="4"/>
    </w:p>
    <w:p w14:paraId="1B5FDC88">
      <w:pPr>
        <w:pStyle w:val="9"/>
        <w:keepNext w:val="0"/>
        <w:keepLines w:val="0"/>
        <w:pageBreakBefore w:val="0"/>
        <w:widowControl w:val="0"/>
        <w:numPr>
          <w:ilvl w:val="2"/>
          <w:numId w:val="0"/>
        </w:numPr>
        <w:kinsoku/>
        <w:wordWrap/>
        <w:overflowPunct/>
        <w:topLinePunct w:val="0"/>
        <w:autoSpaceDE/>
        <w:autoSpaceDN/>
        <w:bidi w:val="0"/>
        <w:adjustRightInd/>
        <w:snapToGrid/>
        <w:spacing w:line="360" w:lineRule="auto"/>
        <w:ind w:left="0" w:leftChars="0" w:firstLine="0" w:firstLineChars="0"/>
        <w:textAlignment w:val="auto"/>
        <w:outlineLvl w:val="2"/>
        <w:rPr>
          <w:rFonts w:hAnsi="宋体"/>
          <w:color w:val="000000"/>
          <w:sz w:val="24"/>
          <w:szCs w:val="24"/>
        </w:rPr>
      </w:pPr>
      <w:r>
        <w:rPr>
          <w:rFonts w:hint="default" w:ascii="宋体" w:hAnsi="宋体" w:eastAsia="宋体" w:cstheme="minorBidi"/>
          <w:b/>
          <w:bCs/>
          <w:color w:val="000000"/>
          <w:kern w:val="2"/>
          <w:sz w:val="24"/>
          <w:szCs w:val="24"/>
          <w:lang w:val="en-US" w:eastAsia="zh-CN" w:bidi="ar-SA"/>
        </w:rPr>
        <w:t>4．</w:t>
      </w:r>
      <w:r>
        <w:rPr>
          <w:rFonts w:hint="eastAsia" w:hAnsi="宋体" w:cs="Times New Roman"/>
          <w:b/>
          <w:bCs w:val="0"/>
          <w:color w:val="000000"/>
          <w:sz w:val="24"/>
          <w:szCs w:val="24"/>
        </w:rPr>
        <w:t>付款方式：</w:t>
      </w:r>
      <w:r>
        <w:rPr>
          <w:rFonts w:hint="eastAsia" w:hAnsi="宋体" w:cs="Times New Roman"/>
          <w:bCs/>
          <w:color w:val="000000"/>
          <w:sz w:val="24"/>
          <w:szCs w:val="24"/>
        </w:rPr>
        <w:t>半年期商业汇票</w:t>
      </w:r>
      <w:r>
        <w:rPr>
          <w:rFonts w:hint="eastAsia" w:hAnsi="宋体" w:cs="Times New Roman"/>
          <w:b/>
          <w:bCs w:val="0"/>
          <w:color w:val="000000" w:themeColor="text1"/>
          <w:sz w:val="24"/>
          <w:szCs w:val="24"/>
          <w14:textFill>
            <w14:solidFill>
              <w14:schemeClr w14:val="tx1"/>
            </w14:solidFill>
          </w14:textFill>
        </w:rPr>
        <w:t>（包括银行承兑汇票和商业承兑汇票）</w:t>
      </w:r>
      <w:r>
        <w:rPr>
          <w:rFonts w:hint="eastAsia" w:hAnsi="宋体"/>
          <w:color w:val="000000"/>
          <w:sz w:val="24"/>
          <w:szCs w:val="24"/>
        </w:rPr>
        <w:t>。</w:t>
      </w:r>
    </w:p>
    <w:p w14:paraId="380DBDCB">
      <w:pPr>
        <w:pStyle w:val="9"/>
        <w:numPr>
          <w:ilvl w:val="0"/>
          <w:numId w:val="4"/>
        </w:numPr>
        <w:spacing w:line="360" w:lineRule="auto"/>
        <w:ind w:left="425" w:leftChars="0" w:hanging="425" w:firstLineChars="0"/>
        <w:rPr>
          <w:rFonts w:hAnsi="宋体"/>
          <w:color w:val="000000"/>
          <w:sz w:val="21"/>
          <w:szCs w:val="21"/>
        </w:rPr>
      </w:pPr>
      <w:r>
        <w:rPr>
          <w:rFonts w:hint="eastAsia" w:hAnsi="宋体"/>
          <w:color w:val="000000"/>
          <w:sz w:val="21"/>
          <w:szCs w:val="21"/>
        </w:rPr>
        <w:t>合同签订且交付项目</w:t>
      </w:r>
      <w:r>
        <w:rPr>
          <w:rFonts w:ascii="Times New Roman" w:hAnsi="Times New Roman" w:eastAsiaTheme="minorEastAsia"/>
          <w:color w:val="000000" w:themeColor="text1"/>
          <w:sz w:val="21"/>
          <w:szCs w:val="21"/>
          <w14:textFill>
            <w14:solidFill>
              <w14:schemeClr w14:val="tx1"/>
            </w14:solidFill>
          </w14:textFill>
        </w:rPr>
        <w:t>License</w:t>
      </w:r>
      <w:r>
        <w:rPr>
          <w:rFonts w:hint="eastAsia" w:hAnsi="宋体"/>
          <w:color w:val="000000"/>
          <w:sz w:val="21"/>
          <w:szCs w:val="21"/>
        </w:rPr>
        <w:t>后</w:t>
      </w:r>
      <w:r>
        <w:rPr>
          <w:rFonts w:hint="eastAsia" w:asciiTheme="minorEastAsia" w:hAnsiTheme="minorEastAsia" w:cstheme="minorEastAsia"/>
          <w:sz w:val="21"/>
          <w:szCs w:val="21"/>
        </w:rPr>
        <w:t>，</w:t>
      </w:r>
      <w:r>
        <w:rPr>
          <w:rFonts w:hint="eastAsia" w:hAnsi="宋体"/>
          <w:color w:val="000000"/>
          <w:sz w:val="21"/>
          <w:szCs w:val="21"/>
        </w:rPr>
        <w:t>经买方确认后，卖方提交金额为合同价款的30</w:t>
      </w:r>
      <w:r>
        <w:rPr>
          <w:rFonts w:hAnsi="宋体"/>
          <w:color w:val="000000"/>
          <w:sz w:val="21"/>
          <w:szCs w:val="21"/>
        </w:rPr>
        <w:t>%</w:t>
      </w:r>
      <w:r>
        <w:rPr>
          <w:rFonts w:hint="eastAsia" w:hAnsi="宋体"/>
          <w:color w:val="000000"/>
          <w:sz w:val="21"/>
          <w:szCs w:val="21"/>
        </w:rPr>
        <w:t>的收据</w:t>
      </w:r>
      <w:r>
        <w:rPr>
          <w:rFonts w:hint="eastAsia" w:hAnsi="宋体" w:cs="Times New Roman"/>
          <w:bCs/>
          <w:color w:val="000000"/>
          <w:sz w:val="21"/>
          <w:szCs w:val="21"/>
        </w:rPr>
        <w:t>并提供合同价款30%的增值税专用发票（正本一份，复印件二份）</w:t>
      </w:r>
      <w:r>
        <w:rPr>
          <w:rFonts w:hint="eastAsia" w:hAnsi="宋体"/>
          <w:color w:val="000000"/>
          <w:sz w:val="21"/>
          <w:szCs w:val="21"/>
        </w:rPr>
        <w:t>，经买方依照财务制度审核无误后</w:t>
      </w:r>
      <w:r>
        <w:rPr>
          <w:rFonts w:hAnsi="宋体"/>
          <w:color w:val="000000"/>
          <w:sz w:val="21"/>
          <w:szCs w:val="21"/>
        </w:rPr>
        <w:t>30</w:t>
      </w:r>
      <w:r>
        <w:rPr>
          <w:rFonts w:hint="eastAsia" w:hAnsi="宋体"/>
          <w:color w:val="000000"/>
          <w:sz w:val="21"/>
          <w:szCs w:val="21"/>
        </w:rPr>
        <w:t>个工作日内支付</w:t>
      </w:r>
      <w:r>
        <w:rPr>
          <w:rFonts w:hint="eastAsia" w:hAnsi="宋体"/>
          <w:color w:val="000000"/>
          <w:sz w:val="21"/>
          <w:szCs w:val="21"/>
          <w:lang w:eastAsia="zh-CN"/>
        </w:rPr>
        <w:t>；</w:t>
      </w:r>
    </w:p>
    <w:p w14:paraId="7BE5FD8A">
      <w:pPr>
        <w:pStyle w:val="9"/>
        <w:numPr>
          <w:ilvl w:val="0"/>
          <w:numId w:val="4"/>
        </w:numPr>
        <w:spacing w:line="360" w:lineRule="auto"/>
        <w:ind w:left="425" w:leftChars="0" w:hanging="425" w:firstLineChars="0"/>
        <w:rPr>
          <w:rFonts w:hAnsi="宋体" w:cs="Times New Roman"/>
          <w:bCs/>
          <w:color w:val="000000"/>
          <w:sz w:val="21"/>
          <w:szCs w:val="21"/>
        </w:rPr>
      </w:pPr>
      <w:r>
        <w:rPr>
          <w:rFonts w:hint="eastAsia" w:hAnsi="宋体" w:cs="Times New Roman"/>
          <w:bCs/>
          <w:color w:val="000000"/>
          <w:sz w:val="21"/>
          <w:szCs w:val="21"/>
        </w:rPr>
        <w:t>软件购买后，交付正式版软件并安装调试无误，完成软件</w:t>
      </w:r>
      <w:r>
        <w:rPr>
          <w:rFonts w:hint="eastAsia" w:hAnsi="宋体" w:cs="Times New Roman"/>
          <w:bCs/>
          <w:color w:val="000000"/>
          <w:sz w:val="21"/>
          <w:szCs w:val="21"/>
          <w:lang w:val="en-US" w:eastAsia="zh-CN"/>
        </w:rPr>
        <w:t>培训</w:t>
      </w:r>
      <w:r>
        <w:rPr>
          <w:rFonts w:hint="eastAsia" w:hAnsi="宋体" w:cs="Times New Roman"/>
          <w:bCs/>
          <w:color w:val="000000"/>
          <w:sz w:val="21"/>
          <w:szCs w:val="21"/>
        </w:rPr>
        <w:t>服务</w:t>
      </w:r>
      <w:r>
        <w:rPr>
          <w:rFonts w:hint="eastAsia" w:asciiTheme="minorEastAsia" w:hAnsiTheme="minorEastAsia" w:cstheme="minorEastAsia"/>
          <w:sz w:val="21"/>
          <w:szCs w:val="21"/>
          <w:lang w:val="en-US" w:eastAsia="zh-CN"/>
        </w:rPr>
        <w:t>及</w:t>
      </w:r>
      <w:r>
        <w:rPr>
          <w:rFonts w:hint="eastAsia" w:asciiTheme="minorEastAsia" w:hAnsiTheme="minorEastAsia" w:cstheme="minorEastAsia"/>
          <w:sz w:val="21"/>
          <w:szCs w:val="21"/>
        </w:rPr>
        <w:t>终验收</w:t>
      </w:r>
      <w:r>
        <w:rPr>
          <w:rFonts w:hint="eastAsia" w:asciiTheme="minorEastAsia" w:hAnsiTheme="minorEastAsia" w:eastAsiaTheme="minorEastAsia" w:cstheme="minorEastAsia"/>
          <w:sz w:val="21"/>
          <w:szCs w:val="21"/>
        </w:rPr>
        <w:t>后</w:t>
      </w:r>
      <w:r>
        <w:rPr>
          <w:rFonts w:hint="eastAsia" w:hAnsi="宋体" w:cs="Times New Roman"/>
          <w:bCs/>
          <w:color w:val="000000"/>
          <w:sz w:val="21"/>
          <w:szCs w:val="21"/>
        </w:rPr>
        <w:t>，卖方提交金额为合同价款60%的收据并提供合同价款60%的增值税专用发票（正本一份，复印件二份），经买方依照财务制度审核无误后</w:t>
      </w:r>
      <w:r>
        <w:rPr>
          <w:rFonts w:hAnsi="宋体" w:cs="Times New Roman"/>
          <w:bCs/>
          <w:color w:val="000000"/>
          <w:sz w:val="21"/>
          <w:szCs w:val="21"/>
        </w:rPr>
        <w:t>3</w:t>
      </w:r>
      <w:r>
        <w:rPr>
          <w:rFonts w:hint="eastAsia" w:hAnsi="宋体" w:cs="Times New Roman"/>
          <w:bCs/>
          <w:color w:val="000000"/>
          <w:sz w:val="21"/>
          <w:szCs w:val="21"/>
        </w:rPr>
        <w:t>0个工作日内支付</w:t>
      </w:r>
      <w:r>
        <w:rPr>
          <w:rFonts w:hint="eastAsia" w:hAnsi="宋体" w:cs="Times New Roman"/>
          <w:bCs/>
          <w:color w:val="000000"/>
          <w:sz w:val="21"/>
          <w:szCs w:val="21"/>
          <w:lang w:eastAsia="zh-CN"/>
        </w:rPr>
        <w:t>；</w:t>
      </w:r>
    </w:p>
    <w:p w14:paraId="7E8142BD">
      <w:pPr>
        <w:pStyle w:val="9"/>
        <w:numPr>
          <w:ilvl w:val="0"/>
          <w:numId w:val="4"/>
        </w:numPr>
        <w:spacing w:line="360" w:lineRule="auto"/>
        <w:ind w:left="425" w:leftChars="0" w:hanging="425" w:firstLineChars="0"/>
        <w:rPr>
          <w:rStyle w:val="30"/>
          <w:rFonts w:cs="Times New Roman"/>
          <w:bCs/>
          <w:sz w:val="21"/>
          <w:szCs w:val="21"/>
        </w:rPr>
      </w:pPr>
      <w:r>
        <w:rPr>
          <w:rFonts w:hint="eastAsia" w:hAnsi="宋体" w:cs="Times New Roman"/>
          <w:bCs/>
          <w:color w:val="000000"/>
          <w:sz w:val="21"/>
          <w:szCs w:val="21"/>
        </w:rPr>
        <w:t>合同总价款的10%作为本合同约定软件的保证金，保证金在一年内不计利息。待软件交付使用满1年后，卖方向买方提出书面付款账单，卖方提交金额为合同价款10%的收据并提供合同价款10%的增值税专用发票（正本一份，复印件二份），经买方审核无误后</w:t>
      </w:r>
      <w:r>
        <w:rPr>
          <w:rFonts w:hAnsi="宋体" w:cs="Times New Roman"/>
          <w:bCs/>
          <w:color w:val="000000"/>
          <w:sz w:val="21"/>
          <w:szCs w:val="21"/>
        </w:rPr>
        <w:t>3</w:t>
      </w:r>
      <w:r>
        <w:rPr>
          <w:rFonts w:hint="eastAsia" w:hAnsi="宋体" w:cs="Times New Roman"/>
          <w:bCs/>
          <w:color w:val="000000"/>
          <w:sz w:val="21"/>
          <w:szCs w:val="21"/>
        </w:rPr>
        <w:t>0个工作日内支付；如有软件问题，保证金予以扣除。买方将保证金返还给卖方，并不代表对卖方的软件使用期内责任的免除，卖方应在软件使用期内履行其应尽的义务。</w:t>
      </w:r>
    </w:p>
    <w:p w14:paraId="10BC6F77">
      <w:pPr>
        <w:pStyle w:val="6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default" w:ascii="宋体" w:hAnsi="宋体" w:eastAsia="宋体" w:cstheme="minorBidi"/>
          <w:b/>
          <w:bCs/>
          <w:color w:val="000000"/>
          <w:kern w:val="2"/>
          <w:sz w:val="24"/>
          <w:szCs w:val="24"/>
          <w:lang w:val="en-US" w:eastAsia="zh-CN" w:bidi="ar-SA"/>
        </w:rPr>
      </w:pPr>
      <w:r>
        <w:rPr>
          <w:rFonts w:hint="eastAsia" w:ascii="宋体" w:hAnsi="宋体" w:eastAsia="宋体" w:cstheme="minorBidi"/>
          <w:b/>
          <w:bCs/>
          <w:color w:val="000000"/>
          <w:kern w:val="2"/>
          <w:sz w:val="24"/>
          <w:szCs w:val="24"/>
          <w:lang w:val="en-US" w:eastAsia="zh-CN" w:bidi="ar-SA"/>
        </w:rPr>
        <w:t>5.报价：</w:t>
      </w:r>
    </w:p>
    <w:p w14:paraId="40FB1354">
      <w:pPr>
        <w:pStyle w:val="62"/>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宋体"/>
          <w:b/>
          <w:bCs/>
          <w:color w:val="FF0000"/>
          <w:sz w:val="21"/>
          <w:szCs w:val="21"/>
          <w:highlight w:val="yellow"/>
          <w:u w:val="none"/>
          <w:lang w:val="en-US" w:eastAsia="zh-CN"/>
        </w:rPr>
      </w:pPr>
      <w:r>
        <w:rPr>
          <w:rFonts w:hint="eastAsia" w:ascii="宋体" w:hAnsi="宋体" w:eastAsia="宋体" w:cs="宋体"/>
          <w:i w:val="0"/>
          <w:iCs w:val="0"/>
          <w:caps w:val="0"/>
          <w:color w:val="0F1115"/>
          <w:spacing w:val="0"/>
          <w:sz w:val="21"/>
          <w:szCs w:val="21"/>
          <w:shd w:val="clear" w:fill="FFFFFF"/>
          <w:lang w:val="en-US" w:eastAsia="zh-CN"/>
        </w:rPr>
        <w:t>本</w:t>
      </w:r>
      <w:r>
        <w:rPr>
          <w:rFonts w:hint="eastAsia" w:ascii="宋体" w:hAnsi="宋体" w:eastAsia="宋体" w:cs="宋体"/>
          <w:i w:val="0"/>
          <w:iCs w:val="0"/>
          <w:caps w:val="0"/>
          <w:color w:val="0F1115"/>
          <w:spacing w:val="0"/>
          <w:sz w:val="21"/>
          <w:szCs w:val="21"/>
          <w:shd w:val="clear" w:fill="FFFFFF"/>
        </w:rPr>
        <w:t>项目的所有报价均以人民币填报。投标人应分别报出不含税金额、税率和</w:t>
      </w:r>
      <w:r>
        <w:rPr>
          <w:rFonts w:hint="eastAsia" w:cs="Times New Roman"/>
          <w:b/>
          <w:bCs/>
          <w:color w:val="auto"/>
          <w:highlight w:val="none"/>
          <w:u w:val="none"/>
          <w:lang w:val="en-US" w:eastAsia="zh-CN"/>
        </w:rPr>
        <w:t>价税合计金额</w:t>
      </w:r>
      <w:r>
        <w:rPr>
          <w:rFonts w:hint="eastAsia" w:ascii="宋体" w:hAnsi="宋体" w:eastAsia="宋体" w:cs="宋体"/>
          <w:i w:val="0"/>
          <w:iCs w:val="0"/>
          <w:caps w:val="0"/>
          <w:color w:val="0F1115"/>
          <w:spacing w:val="0"/>
          <w:sz w:val="21"/>
          <w:szCs w:val="21"/>
          <w:shd w:val="clear" w:fill="FFFFFF"/>
        </w:rPr>
        <w:t>。</w:t>
      </w:r>
    </w:p>
    <w:p w14:paraId="4B9E4449">
      <w:pPr>
        <w:pStyle w:val="62"/>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420" w:firstLineChars="200"/>
        <w:textAlignment w:val="auto"/>
        <w:rPr>
          <w:rStyle w:val="30"/>
          <w:rFonts w:cs="Times New Roman"/>
          <w:bCs/>
          <w:sz w:val="21"/>
          <w:szCs w:val="21"/>
        </w:rPr>
      </w:pPr>
      <w:r>
        <w:rPr>
          <w:rFonts w:hint="eastAsia" w:ascii="宋体" w:hAnsi="宋体" w:eastAsia="宋体" w:cs="宋体"/>
          <w:i w:val="0"/>
          <w:iCs w:val="0"/>
          <w:caps w:val="0"/>
          <w:color w:val="0F1115"/>
          <w:spacing w:val="0"/>
          <w:sz w:val="21"/>
          <w:szCs w:val="21"/>
          <w:shd w:val="clear" w:fill="FFFFFF"/>
        </w:rPr>
        <w:t>投标限价</w:t>
      </w:r>
      <w:r>
        <w:rPr>
          <w:rFonts w:hint="eastAsia" w:ascii="宋体" w:hAnsi="宋体" w:eastAsia="宋体" w:cs="宋体"/>
          <w:i w:val="0"/>
          <w:iCs w:val="0"/>
          <w:caps w:val="0"/>
          <w:color w:val="0F1115"/>
          <w:spacing w:val="0"/>
          <w:sz w:val="21"/>
          <w:szCs w:val="21"/>
          <w:highlight w:val="none"/>
          <w:shd w:val="clear" w:fill="FFFFFF"/>
        </w:rPr>
        <w:t>为人民币</w:t>
      </w:r>
      <w:r>
        <w:rPr>
          <w:rFonts w:hint="eastAsia" w:hAnsi="宋体" w:cs="宋体"/>
          <w:i w:val="0"/>
          <w:iCs w:val="0"/>
          <w:caps w:val="0"/>
          <w:color w:val="0F1115"/>
          <w:spacing w:val="0"/>
          <w:sz w:val="21"/>
          <w:szCs w:val="21"/>
          <w:highlight w:val="none"/>
          <w:shd w:val="clear" w:fill="FFFFFF"/>
          <w:lang w:val="en-US" w:eastAsia="zh-CN"/>
        </w:rPr>
        <w:t>220</w:t>
      </w:r>
      <w:r>
        <w:rPr>
          <w:rFonts w:hint="eastAsia" w:ascii="宋体" w:hAnsi="宋体" w:eastAsia="宋体" w:cs="宋体"/>
          <w:i w:val="0"/>
          <w:iCs w:val="0"/>
          <w:caps w:val="0"/>
          <w:color w:val="0F1115"/>
          <w:spacing w:val="0"/>
          <w:sz w:val="21"/>
          <w:szCs w:val="21"/>
          <w:highlight w:val="none"/>
          <w:shd w:val="clear" w:fill="FFFFFF"/>
          <w:lang w:val="en-US" w:eastAsia="zh-CN"/>
        </w:rPr>
        <w:t>万元</w:t>
      </w:r>
      <w:r>
        <w:rPr>
          <w:rFonts w:hint="eastAsia" w:ascii="宋体" w:hAnsi="宋体" w:eastAsia="宋体" w:cs="宋体"/>
          <w:i w:val="0"/>
          <w:iCs w:val="0"/>
          <w:caps w:val="0"/>
          <w:color w:val="0F1115"/>
          <w:spacing w:val="0"/>
          <w:sz w:val="21"/>
          <w:szCs w:val="21"/>
          <w:highlight w:val="none"/>
          <w:shd w:val="clear" w:fill="FFFFFF"/>
        </w:rPr>
        <w:t xml:space="preserve"> （含税，税率</w:t>
      </w:r>
      <w:r>
        <w:rPr>
          <w:rFonts w:hint="eastAsia" w:hAnsi="宋体" w:cs="宋体"/>
          <w:i w:val="0"/>
          <w:iCs w:val="0"/>
          <w:caps w:val="0"/>
          <w:color w:val="0F1115"/>
          <w:spacing w:val="0"/>
          <w:sz w:val="21"/>
          <w:szCs w:val="21"/>
          <w:highlight w:val="none"/>
          <w:shd w:val="clear" w:fill="FFFFFF"/>
          <w:lang w:val="en-US" w:eastAsia="zh-CN"/>
        </w:rPr>
        <w:t>13</w:t>
      </w:r>
      <w:r>
        <w:rPr>
          <w:rFonts w:hint="eastAsia" w:ascii="宋体" w:hAnsi="宋体" w:eastAsia="宋体" w:cs="宋体"/>
          <w:i w:val="0"/>
          <w:iCs w:val="0"/>
          <w:caps w:val="0"/>
          <w:color w:val="0F1115"/>
          <w:spacing w:val="0"/>
          <w:sz w:val="21"/>
          <w:szCs w:val="21"/>
          <w:highlight w:val="none"/>
          <w:shd w:val="clear" w:fill="FFFFFF"/>
        </w:rPr>
        <w:t>%），</w:t>
      </w:r>
      <w:r>
        <w:rPr>
          <w:rFonts w:hint="eastAsia" w:ascii="宋体" w:hAnsi="宋体" w:eastAsia="宋体" w:cs="宋体"/>
          <w:i w:val="0"/>
          <w:iCs w:val="0"/>
          <w:caps w:val="0"/>
          <w:color w:val="0F1115"/>
          <w:spacing w:val="0"/>
          <w:sz w:val="21"/>
          <w:szCs w:val="21"/>
          <w:shd w:val="clear" w:fill="FFFFFF"/>
        </w:rPr>
        <w:t>超过投标限价无法投标。</w:t>
      </w:r>
    </w:p>
    <w:p w14:paraId="57087CFC">
      <w:pPr>
        <w:pStyle w:val="29"/>
        <w:keepNext/>
        <w:keepLines/>
        <w:pageBreakBefore w:val="0"/>
        <w:widowControl w:val="0"/>
        <w:numPr>
          <w:ilvl w:val="0"/>
          <w:numId w:val="0"/>
        </w:numPr>
        <w:kinsoku/>
        <w:wordWrap/>
        <w:overflowPunct/>
        <w:topLinePunct w:val="0"/>
        <w:autoSpaceDE/>
        <w:autoSpaceDN/>
        <w:bidi w:val="0"/>
        <w:adjustRightInd/>
        <w:snapToGrid/>
        <w:spacing w:before="313" w:beforeLines="100" w:after="157" w:afterLines="50"/>
        <w:ind w:left="0" w:leftChars="0" w:firstLine="0" w:firstLineChars="0"/>
        <w:textAlignment w:val="auto"/>
      </w:pPr>
      <w:r>
        <w:rPr>
          <w:rFonts w:hint="eastAsia"/>
        </w:rPr>
        <w:t>四、投标说明</w:t>
      </w:r>
    </w:p>
    <w:p w14:paraId="653F0B4B">
      <w:pPr>
        <w:pStyle w:val="35"/>
        <w:keepNext/>
        <w:keepLines/>
        <w:pageBreakBefore w:val="0"/>
        <w:widowControl w:val="0"/>
        <w:numPr>
          <w:ilvl w:val="2"/>
          <w:numId w:val="0"/>
        </w:numPr>
        <w:kinsoku/>
        <w:wordWrap/>
        <w:overflowPunct/>
        <w:topLinePunct w:val="0"/>
        <w:autoSpaceDE/>
        <w:autoSpaceDN/>
        <w:bidi w:val="0"/>
        <w:adjustRightInd/>
        <w:snapToGrid/>
        <w:ind w:left="0" w:leftChars="0" w:firstLine="0" w:firstLineChars="0"/>
        <w:textAlignment w:val="auto"/>
        <w:rPr>
          <w:rFonts w:ascii="宋体" w:hAnsi="宋体"/>
        </w:rPr>
      </w:pPr>
      <w:r>
        <w:rPr>
          <w:rFonts w:hint="eastAsia" w:ascii="宋体" w:hAnsi="宋体" w:eastAsia="宋体" w:cs="Times New Roman"/>
          <w:b/>
          <w:bCs/>
          <w:color w:val="000000"/>
          <w:kern w:val="2"/>
          <w:sz w:val="24"/>
          <w:szCs w:val="24"/>
          <w:lang w:val="en-US" w:eastAsia="zh-CN" w:bidi="ar-SA"/>
        </w:rPr>
        <w:t>1．</w:t>
      </w:r>
      <w:r>
        <w:rPr>
          <w:rFonts w:hint="eastAsia" w:ascii="宋体" w:hAnsi="宋体"/>
          <w:lang w:val="en-US" w:eastAsia="zh-CN"/>
        </w:rPr>
        <w:t>合格的</w:t>
      </w:r>
      <w:r>
        <w:rPr>
          <w:rFonts w:hint="eastAsia" w:ascii="宋体" w:hAnsi="宋体"/>
        </w:rPr>
        <w:t>投标条件</w:t>
      </w:r>
    </w:p>
    <w:p w14:paraId="52F0CC28">
      <w:pPr>
        <w:pStyle w:val="9"/>
        <w:numPr>
          <w:ilvl w:val="0"/>
          <w:numId w:val="6"/>
        </w:numPr>
        <w:spacing w:line="360" w:lineRule="auto"/>
        <w:ind w:left="425" w:leftChars="0" w:hanging="425" w:firstLineChars="0"/>
        <w:rPr>
          <w:rFonts w:hAnsi="宋体"/>
          <w:b/>
          <w:color w:val="000000"/>
          <w:sz w:val="21"/>
          <w:szCs w:val="21"/>
        </w:rPr>
      </w:pPr>
      <w:r>
        <w:rPr>
          <w:rFonts w:hint="eastAsia" w:hAnsi="宋体"/>
          <w:color w:val="000000"/>
          <w:sz w:val="21"/>
          <w:szCs w:val="21"/>
        </w:rPr>
        <w:t>拟标投人必须是在中华人民共和国境内注册的独立法人机构，具有独立承担民事责任能力</w:t>
      </w:r>
      <w:r>
        <w:rPr>
          <w:rFonts w:hint="eastAsia" w:hAnsi="宋体"/>
          <w:color w:val="auto"/>
          <w:sz w:val="21"/>
          <w:szCs w:val="21"/>
        </w:rPr>
        <w:t>，</w:t>
      </w:r>
      <w:r>
        <w:rPr>
          <w:rFonts w:hint="eastAsia" w:hAnsi="宋体"/>
          <w:color w:val="000000" w:themeColor="text1"/>
          <w:sz w:val="21"/>
          <w:szCs w:val="21"/>
          <w14:textFill>
            <w14:solidFill>
              <w14:schemeClr w14:val="tx1"/>
            </w14:solidFill>
          </w14:textFill>
        </w:rPr>
        <w:t>注册资金不少于</w:t>
      </w:r>
      <w:r>
        <w:rPr>
          <w:rFonts w:hint="eastAsia" w:hAnsi="宋体"/>
          <w:i/>
          <w:iCs/>
          <w:color w:val="000000" w:themeColor="text1"/>
          <w:sz w:val="21"/>
          <w:szCs w:val="21"/>
          <w14:textFill>
            <w14:solidFill>
              <w14:schemeClr w14:val="tx1"/>
            </w14:solidFill>
          </w14:textFill>
        </w:rPr>
        <w:t>500</w:t>
      </w:r>
      <w:r>
        <w:rPr>
          <w:rFonts w:hint="eastAsia" w:hAnsi="宋体"/>
          <w:i/>
          <w:color w:val="000000" w:themeColor="text1"/>
          <w:sz w:val="21"/>
          <w:szCs w:val="21"/>
          <w14:textFill>
            <w14:solidFill>
              <w14:schemeClr w14:val="tx1"/>
            </w14:solidFill>
          </w14:textFill>
        </w:rPr>
        <w:t>万</w:t>
      </w:r>
      <w:r>
        <w:rPr>
          <w:rFonts w:hint="eastAsia" w:hAnsi="宋体"/>
          <w:color w:val="000000" w:themeColor="text1"/>
          <w:sz w:val="21"/>
          <w:szCs w:val="21"/>
          <w14:textFill>
            <w14:solidFill>
              <w14:schemeClr w14:val="tx1"/>
            </w14:solidFill>
          </w14:textFill>
        </w:rPr>
        <w:t>人民币</w:t>
      </w:r>
      <w:r>
        <w:rPr>
          <w:rFonts w:hint="eastAsia" w:hAnsi="宋体"/>
          <w:color w:val="auto"/>
          <w:sz w:val="21"/>
          <w:szCs w:val="21"/>
        </w:rPr>
        <w:t>；</w:t>
      </w:r>
      <w:r>
        <w:rPr>
          <w:rFonts w:hint="eastAsia" w:hAnsi="宋体"/>
          <w:color w:val="000000" w:themeColor="text1"/>
          <w:sz w:val="21"/>
          <w:szCs w:val="21"/>
          <w14:textFill>
            <w14:solidFill>
              <w14:schemeClr w14:val="tx1"/>
            </w14:solidFill>
          </w14:textFill>
        </w:rPr>
        <w:t>公司成立一年以上</w:t>
      </w:r>
      <w:r>
        <w:rPr>
          <w:rFonts w:hint="eastAsia" w:hAnsi="宋体"/>
          <w:color w:val="000000"/>
          <w:sz w:val="21"/>
          <w:szCs w:val="21"/>
        </w:rPr>
        <w:t>（以营业执照成立日期到开标当日满一年为准）；且经营范围满足招标人需求；并</w:t>
      </w:r>
      <w:r>
        <w:rPr>
          <w:rFonts w:hAnsi="宋体"/>
          <w:color w:val="000000"/>
          <w:sz w:val="21"/>
          <w:szCs w:val="21"/>
        </w:rPr>
        <w:t>在人员</w:t>
      </w:r>
      <w:r>
        <w:rPr>
          <w:rFonts w:hint="eastAsia" w:hAnsi="宋体"/>
          <w:color w:val="000000"/>
          <w:sz w:val="21"/>
          <w:szCs w:val="21"/>
        </w:rPr>
        <w:t>、管理</w:t>
      </w:r>
      <w:r>
        <w:rPr>
          <w:rFonts w:hAnsi="宋体"/>
          <w:color w:val="000000"/>
          <w:sz w:val="21"/>
          <w:szCs w:val="21"/>
        </w:rPr>
        <w:t>、资金等方面具有承担本</w:t>
      </w:r>
      <w:r>
        <w:rPr>
          <w:rFonts w:hint="eastAsia" w:hAnsi="宋体"/>
          <w:color w:val="000000"/>
          <w:sz w:val="21"/>
          <w:szCs w:val="21"/>
        </w:rPr>
        <w:t>项目</w:t>
      </w:r>
      <w:r>
        <w:rPr>
          <w:rFonts w:hAnsi="宋体"/>
          <w:color w:val="000000"/>
          <w:sz w:val="21"/>
          <w:szCs w:val="21"/>
        </w:rPr>
        <w:t>的能力</w:t>
      </w:r>
      <w:r>
        <w:rPr>
          <w:rFonts w:hint="eastAsia" w:hAnsi="宋体"/>
          <w:color w:val="000000"/>
          <w:sz w:val="21"/>
          <w:szCs w:val="21"/>
          <w:lang w:eastAsia="zh-CN"/>
        </w:rPr>
        <w:t>；</w:t>
      </w:r>
    </w:p>
    <w:p w14:paraId="13B3A112">
      <w:pPr>
        <w:pStyle w:val="9"/>
        <w:numPr>
          <w:ilvl w:val="0"/>
          <w:numId w:val="6"/>
        </w:numPr>
        <w:spacing w:line="360" w:lineRule="auto"/>
        <w:ind w:left="425" w:leftChars="0" w:hanging="425" w:firstLineChars="0"/>
        <w:rPr>
          <w:rFonts w:hAnsi="宋体"/>
          <w:color w:val="000000"/>
          <w:sz w:val="21"/>
          <w:szCs w:val="21"/>
        </w:rPr>
      </w:pPr>
      <w:r>
        <w:rPr>
          <w:rFonts w:hint="eastAsia" w:hAnsi="宋体"/>
          <w:color w:val="000000"/>
          <w:sz w:val="21"/>
          <w:szCs w:val="21"/>
        </w:rPr>
        <w:t>拟投标人应提供三证合一的营业执照</w:t>
      </w:r>
      <w:r>
        <w:rPr>
          <w:rFonts w:hint="eastAsia" w:hAnsi="宋体"/>
          <w:color w:val="000000" w:themeColor="text1"/>
          <w:sz w:val="21"/>
          <w:szCs w:val="21"/>
          <w14:textFill>
            <w14:solidFill>
              <w14:schemeClr w14:val="tx1"/>
            </w14:solidFill>
          </w14:textFill>
        </w:rPr>
        <w:t>副本原件和复印件（需盖章）</w:t>
      </w:r>
      <w:r>
        <w:rPr>
          <w:rFonts w:hint="eastAsia" w:hAnsi="宋体"/>
          <w:color w:val="000000" w:themeColor="text1"/>
          <w:sz w:val="21"/>
          <w:szCs w:val="21"/>
          <w:lang w:eastAsia="zh-CN"/>
          <w14:textFill>
            <w14:solidFill>
              <w14:schemeClr w14:val="tx1"/>
            </w14:solidFill>
          </w14:textFill>
        </w:rPr>
        <w:t>；</w:t>
      </w:r>
    </w:p>
    <w:p w14:paraId="739AC7A2">
      <w:pPr>
        <w:pStyle w:val="9"/>
        <w:numPr>
          <w:ilvl w:val="0"/>
          <w:numId w:val="6"/>
        </w:numPr>
        <w:spacing w:line="360" w:lineRule="auto"/>
        <w:ind w:left="425" w:leftChars="0" w:hanging="425" w:firstLineChars="0"/>
        <w:rPr>
          <w:rFonts w:hAnsi="宋体"/>
          <w:color w:val="000000"/>
          <w:sz w:val="21"/>
          <w:szCs w:val="21"/>
        </w:rPr>
      </w:pPr>
      <w:r>
        <w:rPr>
          <w:rFonts w:hint="eastAsia" w:hAnsi="宋体"/>
          <w:color w:val="000000"/>
          <w:sz w:val="21"/>
          <w:szCs w:val="21"/>
        </w:rPr>
        <w:t>拟投标人应提供法定代表人资格证明文件</w:t>
      </w:r>
      <w:r>
        <w:rPr>
          <w:rFonts w:hint="eastAsia" w:hAnsi="宋体"/>
          <w:color w:val="000000"/>
          <w:sz w:val="21"/>
          <w:szCs w:val="21"/>
          <w:lang w:eastAsia="zh-CN"/>
        </w:rPr>
        <w:t>；</w:t>
      </w:r>
    </w:p>
    <w:p w14:paraId="7403479F">
      <w:pPr>
        <w:pStyle w:val="9"/>
        <w:numPr>
          <w:ilvl w:val="0"/>
          <w:numId w:val="6"/>
        </w:numPr>
        <w:spacing w:line="360" w:lineRule="auto"/>
        <w:ind w:left="425" w:leftChars="0" w:hanging="425" w:firstLineChars="0"/>
        <w:rPr>
          <w:rFonts w:hint="eastAsia" w:hAnsi="宋体" w:eastAsia="宋体"/>
          <w:color w:val="000000"/>
          <w:sz w:val="21"/>
          <w:szCs w:val="21"/>
          <w:lang w:val="en-US" w:eastAsia="zh-CN"/>
        </w:rPr>
      </w:pPr>
      <w:r>
        <w:rPr>
          <w:rFonts w:hint="eastAsia" w:hAnsi="宋体"/>
          <w:color w:val="000000"/>
          <w:sz w:val="21"/>
          <w:szCs w:val="21"/>
        </w:rPr>
        <w:t>拟投标人信用证明材料（中国人民银行企业征信报告）未显示异常</w:t>
      </w:r>
      <w:r>
        <w:rPr>
          <w:rFonts w:hint="eastAsia" w:hAnsi="宋体"/>
          <w:color w:val="000000"/>
          <w:sz w:val="21"/>
          <w:szCs w:val="21"/>
          <w:lang w:eastAsia="zh-CN"/>
        </w:rPr>
        <w:t>；</w:t>
      </w:r>
    </w:p>
    <w:p w14:paraId="5B5CD29A">
      <w:pPr>
        <w:pStyle w:val="9"/>
        <w:numPr>
          <w:ilvl w:val="0"/>
          <w:numId w:val="6"/>
        </w:numPr>
        <w:spacing w:line="360" w:lineRule="auto"/>
        <w:ind w:left="425" w:leftChars="0" w:hanging="425" w:firstLineChars="0"/>
        <w:rPr>
          <w:rFonts w:hAnsi="宋体"/>
          <w:color w:val="000000"/>
          <w:sz w:val="21"/>
          <w:szCs w:val="21"/>
        </w:rPr>
      </w:pPr>
      <w:r>
        <w:rPr>
          <w:rFonts w:hint="eastAsia" w:hAnsi="宋体"/>
          <w:color w:val="000000"/>
          <w:sz w:val="21"/>
          <w:szCs w:val="21"/>
        </w:rPr>
        <w:t>拟投标人不存在严重违规或被列入招标人“黑名单”的声明</w:t>
      </w:r>
      <w:r>
        <w:rPr>
          <w:rFonts w:hint="eastAsia" w:hAnsi="宋体"/>
          <w:color w:val="000000"/>
          <w:sz w:val="21"/>
          <w:szCs w:val="21"/>
          <w:lang w:eastAsia="zh-CN"/>
        </w:rPr>
        <w:t>；</w:t>
      </w:r>
    </w:p>
    <w:p w14:paraId="565DA351">
      <w:pPr>
        <w:pStyle w:val="28"/>
        <w:numPr>
          <w:ilvl w:val="0"/>
          <w:numId w:val="6"/>
        </w:numPr>
        <w:ind w:left="425" w:leftChars="0" w:hanging="425" w:firstLineChars="0"/>
        <w:jc w:val="left"/>
        <w:rPr>
          <w:rStyle w:val="30"/>
          <w:sz w:val="21"/>
          <w:szCs w:val="21"/>
        </w:rPr>
      </w:pPr>
      <w:r>
        <w:rPr>
          <w:rStyle w:val="30"/>
          <w:rFonts w:hint="eastAsia"/>
          <w:sz w:val="21"/>
          <w:szCs w:val="21"/>
        </w:rPr>
        <w:t>拟投标人经审计的近三年的公司财务报表（资产负债表、损益表、现金流量表）未显示异常。若没有财务审计报告，需提供资产负债表、利润表、现金流量表（加盖公章版）无明显异常</w:t>
      </w:r>
      <w:r>
        <w:rPr>
          <w:rStyle w:val="30"/>
          <w:rFonts w:hint="eastAsia"/>
          <w:sz w:val="21"/>
          <w:szCs w:val="21"/>
          <w:lang w:eastAsia="zh-CN"/>
        </w:rPr>
        <w:t>；</w:t>
      </w:r>
    </w:p>
    <w:p w14:paraId="29D19141">
      <w:pPr>
        <w:pStyle w:val="28"/>
        <w:numPr>
          <w:ilvl w:val="0"/>
          <w:numId w:val="6"/>
        </w:numPr>
        <w:ind w:left="425" w:leftChars="0" w:hanging="425" w:firstLineChars="0"/>
        <w:jc w:val="left"/>
        <w:rPr>
          <w:rStyle w:val="30"/>
          <w:rFonts w:hint="eastAsia" w:eastAsia="宋体"/>
          <w:sz w:val="21"/>
          <w:szCs w:val="21"/>
          <w:lang w:eastAsia="zh-CN"/>
        </w:rPr>
      </w:pPr>
      <w:r>
        <w:rPr>
          <w:rStyle w:val="30"/>
          <w:rFonts w:hint="eastAsia"/>
          <w:sz w:val="21"/>
          <w:szCs w:val="21"/>
        </w:rPr>
        <w:t>拟投标人最近半年纳税正常</w:t>
      </w:r>
      <w:r>
        <w:rPr>
          <w:rStyle w:val="30"/>
          <w:rFonts w:hint="eastAsia"/>
          <w:sz w:val="21"/>
          <w:szCs w:val="21"/>
          <w:lang w:eastAsia="zh-CN"/>
        </w:rPr>
        <w:t>；</w:t>
      </w:r>
    </w:p>
    <w:p w14:paraId="691EB240">
      <w:pPr>
        <w:pStyle w:val="9"/>
        <w:numPr>
          <w:ilvl w:val="0"/>
          <w:numId w:val="6"/>
        </w:numPr>
        <w:spacing w:line="360" w:lineRule="auto"/>
        <w:ind w:left="425" w:leftChars="0" w:hanging="425" w:firstLineChars="0"/>
        <w:jc w:val="left"/>
        <w:rPr>
          <w:rFonts w:hAnsi="宋体"/>
          <w:color w:val="000000"/>
          <w:sz w:val="21"/>
          <w:szCs w:val="21"/>
        </w:rPr>
      </w:pPr>
      <w:r>
        <w:rPr>
          <w:rFonts w:hint="eastAsia" w:hAnsi="宋体"/>
          <w:color w:val="000000"/>
          <w:sz w:val="21"/>
          <w:szCs w:val="21"/>
        </w:rPr>
        <w:t>近3年内无因服务不当而造成重大事故。三年内无与本项目有关的违法及重大违规情况</w:t>
      </w:r>
      <w:r>
        <w:rPr>
          <w:rFonts w:hint="eastAsia" w:hAnsi="宋体"/>
          <w:color w:val="000000"/>
          <w:sz w:val="21"/>
          <w:szCs w:val="21"/>
          <w:lang w:eastAsia="zh-CN"/>
        </w:rPr>
        <w:t>；</w:t>
      </w:r>
    </w:p>
    <w:p w14:paraId="62D9AC1B">
      <w:pPr>
        <w:pStyle w:val="9"/>
        <w:numPr>
          <w:ilvl w:val="0"/>
          <w:numId w:val="6"/>
        </w:numPr>
        <w:spacing w:line="360" w:lineRule="auto"/>
        <w:ind w:left="425" w:leftChars="0" w:hanging="425" w:firstLineChars="0"/>
        <w:rPr>
          <w:rFonts w:hAnsi="宋体"/>
          <w:color w:val="000000"/>
          <w:sz w:val="21"/>
          <w:szCs w:val="21"/>
        </w:rPr>
      </w:pPr>
      <w:r>
        <w:rPr>
          <w:rFonts w:hAnsi="宋体"/>
          <w:color w:val="000000"/>
          <w:sz w:val="21"/>
          <w:szCs w:val="21"/>
        </w:rPr>
        <w:t>各投标人的法定代表人或负责人为同一人，以及存在控股、管理关系的不同投标人，不得参加同一包次的投标</w:t>
      </w:r>
      <w:r>
        <w:rPr>
          <w:rFonts w:hint="eastAsia" w:hAnsi="宋体"/>
          <w:color w:val="000000"/>
          <w:sz w:val="21"/>
          <w:szCs w:val="21"/>
          <w:lang w:eastAsia="zh-CN"/>
        </w:rPr>
        <w:t>；</w:t>
      </w:r>
    </w:p>
    <w:p w14:paraId="689C3C49">
      <w:pPr>
        <w:pStyle w:val="9"/>
        <w:numPr>
          <w:ilvl w:val="0"/>
          <w:numId w:val="6"/>
        </w:numPr>
        <w:spacing w:line="360" w:lineRule="auto"/>
        <w:ind w:left="425" w:leftChars="0" w:hanging="425" w:firstLineChars="0"/>
        <w:rPr>
          <w:rFonts w:hAnsi="宋体"/>
          <w:color w:val="000000"/>
          <w:sz w:val="21"/>
          <w:szCs w:val="21"/>
        </w:rPr>
      </w:pPr>
      <w:r>
        <w:rPr>
          <w:rFonts w:hAnsi="宋体"/>
          <w:color w:val="000000"/>
          <w:sz w:val="21"/>
          <w:szCs w:val="21"/>
        </w:rPr>
        <w:t>投标人须认可招标人的工作指令，包括节、假日能正常开展工作的要求</w:t>
      </w:r>
      <w:r>
        <w:rPr>
          <w:rFonts w:hint="eastAsia" w:hAnsi="宋体"/>
          <w:color w:val="000000"/>
          <w:sz w:val="21"/>
          <w:szCs w:val="21"/>
          <w:lang w:eastAsia="zh-CN"/>
        </w:rPr>
        <w:t>；</w:t>
      </w:r>
    </w:p>
    <w:p w14:paraId="29B82F58">
      <w:pPr>
        <w:pStyle w:val="9"/>
        <w:numPr>
          <w:ilvl w:val="0"/>
          <w:numId w:val="6"/>
        </w:numPr>
        <w:spacing w:line="360" w:lineRule="auto"/>
        <w:ind w:left="425" w:leftChars="0" w:hanging="425" w:firstLineChars="0"/>
        <w:rPr>
          <w:rFonts w:hAnsi="宋体"/>
          <w:color w:val="000000"/>
          <w:sz w:val="21"/>
          <w:szCs w:val="21"/>
        </w:rPr>
      </w:pPr>
      <w:r>
        <w:rPr>
          <w:rFonts w:hint="eastAsia" w:hAnsi="宋体"/>
          <w:color w:val="000000"/>
          <w:sz w:val="21"/>
          <w:szCs w:val="21"/>
        </w:rPr>
        <w:t>拟投标人的直接或间接股东、法定代表人、董事、监事、高管非重汽员工及其亲属</w:t>
      </w:r>
      <w:r>
        <w:rPr>
          <w:rFonts w:hint="eastAsia" w:hAnsi="宋体"/>
          <w:color w:val="000000"/>
          <w:sz w:val="21"/>
          <w:szCs w:val="21"/>
          <w:lang w:eastAsia="zh-CN"/>
        </w:rPr>
        <w:t>；</w:t>
      </w:r>
    </w:p>
    <w:p w14:paraId="30C6C662">
      <w:pPr>
        <w:pStyle w:val="9"/>
        <w:numPr>
          <w:ilvl w:val="0"/>
          <w:numId w:val="6"/>
        </w:numPr>
        <w:spacing w:line="360" w:lineRule="auto"/>
        <w:ind w:left="425" w:leftChars="0" w:hanging="425" w:firstLineChars="0"/>
        <w:rPr>
          <w:rFonts w:hAnsi="宋体"/>
          <w:color w:val="000000"/>
          <w:sz w:val="21"/>
          <w:szCs w:val="21"/>
        </w:rPr>
      </w:pPr>
      <w:r>
        <w:rPr>
          <w:rFonts w:hint="eastAsia" w:hAnsi="宋体"/>
          <w:color w:val="000000"/>
          <w:sz w:val="21"/>
          <w:szCs w:val="21"/>
        </w:rPr>
        <w:t>拟投标人必须是最终投标单位、签订合同</w:t>
      </w:r>
      <w:r>
        <w:rPr>
          <w:rFonts w:hint="eastAsia" w:hAnsi="宋体" w:cs="宋体"/>
          <w:color w:val="000000"/>
          <w:sz w:val="21"/>
          <w:szCs w:val="21"/>
        </w:rPr>
        <w:t>单位，不接受联合体投标，不得以任何理由将已中标项目以任何形式分包或转包给其他单位</w:t>
      </w:r>
      <w:r>
        <w:rPr>
          <w:rFonts w:hint="eastAsia" w:hAnsi="宋体" w:cs="宋体"/>
          <w:color w:val="000000"/>
          <w:sz w:val="21"/>
          <w:szCs w:val="21"/>
          <w:lang w:eastAsia="zh-CN"/>
        </w:rPr>
        <w:t>；</w:t>
      </w:r>
    </w:p>
    <w:p w14:paraId="6CE3DD50">
      <w:pPr>
        <w:pStyle w:val="9"/>
        <w:numPr>
          <w:ilvl w:val="0"/>
          <w:numId w:val="0"/>
        </w:numPr>
        <w:spacing w:line="360" w:lineRule="auto"/>
        <w:ind w:left="15" w:leftChars="0"/>
        <w:rPr>
          <w:rFonts w:hAnsi="宋体"/>
          <w:color w:val="000000"/>
          <w:sz w:val="24"/>
          <w:szCs w:val="24"/>
        </w:rPr>
      </w:pPr>
      <w:r>
        <w:rPr>
          <w:rFonts w:hint="eastAsia" w:hAnsi="宋体"/>
          <w:color w:val="000000"/>
          <w:sz w:val="21"/>
          <w:szCs w:val="21"/>
          <w:lang w:val="en-US" w:eastAsia="zh-CN"/>
        </w:rPr>
        <w:t>(13)</w:t>
      </w:r>
      <w:r>
        <w:rPr>
          <w:rFonts w:hint="eastAsia" w:hAnsi="宋体"/>
          <w:color w:val="000000"/>
          <w:sz w:val="21"/>
          <w:szCs w:val="21"/>
        </w:rPr>
        <w:t>本项目不接受联合体投标。</w:t>
      </w:r>
    </w:p>
    <w:p w14:paraId="1C7E42D8">
      <w:pPr>
        <w:pStyle w:val="35"/>
        <w:keepNext/>
        <w:keepLines/>
        <w:pageBreakBefore w:val="0"/>
        <w:widowControl w:val="0"/>
        <w:numPr>
          <w:ilvl w:val="2"/>
          <w:numId w:val="0"/>
        </w:numPr>
        <w:kinsoku/>
        <w:wordWrap/>
        <w:overflowPunct/>
        <w:topLinePunct w:val="0"/>
        <w:autoSpaceDE/>
        <w:autoSpaceDN/>
        <w:bidi w:val="0"/>
        <w:adjustRightInd/>
        <w:snapToGrid/>
        <w:spacing w:line="360" w:lineRule="auto"/>
        <w:ind w:left="0" w:leftChars="0" w:firstLine="0" w:firstLineChars="0"/>
        <w:textAlignment w:val="auto"/>
      </w:pPr>
      <w:r>
        <w:rPr>
          <w:rFonts w:hint="eastAsia" w:ascii="宋体" w:hAnsi="宋体" w:eastAsia="宋体" w:cs="Times New Roman"/>
          <w:b/>
          <w:bCs/>
          <w:color w:val="000000"/>
          <w:kern w:val="2"/>
          <w:sz w:val="24"/>
          <w:szCs w:val="24"/>
          <w:lang w:val="en-US" w:eastAsia="zh-CN" w:bidi="ar-SA"/>
        </w:rPr>
        <w:t>2．招标文件的领取、答疑</w:t>
      </w:r>
      <w:r>
        <w:rPr>
          <w:rFonts w:hint="eastAsia"/>
        </w:rPr>
        <w:t>、应标及投标报名</w:t>
      </w:r>
    </w:p>
    <w:p w14:paraId="36A7768F">
      <w:pPr>
        <w:pStyle w:val="28"/>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textAlignment w:val="auto"/>
        <w:outlineLvl w:val="3"/>
        <w:rPr>
          <w:rFonts w:hint="eastAsia"/>
          <w:b/>
          <w:bCs/>
        </w:rPr>
      </w:pPr>
      <w:r>
        <w:rPr>
          <w:rFonts w:hint="eastAsia"/>
          <w:b/>
          <w:bCs/>
          <w:lang w:val="en-US" w:eastAsia="zh-CN"/>
        </w:rPr>
        <w:t xml:space="preserve">2.1 </w:t>
      </w:r>
      <w:r>
        <w:rPr>
          <w:rFonts w:hint="eastAsia"/>
          <w:b/>
          <w:bCs/>
        </w:rPr>
        <w:t>发标时间：</w:t>
      </w:r>
      <w:r>
        <w:rPr>
          <w:rFonts w:hint="eastAsia"/>
          <w:b/>
          <w:bCs/>
          <w:highlight w:val="yellow"/>
        </w:rPr>
        <w:t>2026年3月</w:t>
      </w:r>
      <w:r>
        <w:rPr>
          <w:rFonts w:hint="eastAsia"/>
          <w:b/>
          <w:bCs/>
          <w:highlight w:val="yellow"/>
          <w:lang w:val="en-US" w:eastAsia="zh-CN"/>
        </w:rPr>
        <w:t>26</w:t>
      </w:r>
      <w:r>
        <w:rPr>
          <w:rFonts w:hint="eastAsia"/>
          <w:b/>
          <w:bCs/>
          <w:highlight w:val="yellow"/>
        </w:rPr>
        <w:t>日</w:t>
      </w:r>
      <w:r>
        <w:rPr>
          <w:rFonts w:hint="eastAsia"/>
          <w:b/>
          <w:bCs/>
        </w:rPr>
        <w:t>；</w:t>
      </w:r>
    </w:p>
    <w:p w14:paraId="4D4E0E23">
      <w:pPr>
        <w:pStyle w:val="28"/>
        <w:keepNext w:val="0"/>
        <w:keepLines w:val="0"/>
        <w:pageBreakBefore w:val="0"/>
        <w:widowControl w:val="0"/>
        <w:numPr>
          <w:ilvl w:val="0"/>
          <w:numId w:val="0"/>
        </w:numPr>
        <w:kinsoku/>
        <w:wordWrap/>
        <w:overflowPunct/>
        <w:topLinePunct w:val="0"/>
        <w:autoSpaceDE/>
        <w:autoSpaceDN/>
        <w:bidi w:val="0"/>
        <w:adjustRightInd/>
        <w:snapToGrid/>
        <w:ind w:left="0" w:leftChars="0"/>
        <w:textAlignment w:val="auto"/>
        <w:outlineLvl w:val="3"/>
        <w:rPr>
          <w:rFonts w:hint="eastAsia"/>
          <w:b/>
          <w:bCs/>
        </w:rPr>
      </w:pPr>
      <w:r>
        <w:rPr>
          <w:rFonts w:hint="eastAsia"/>
          <w:b/>
          <w:bCs/>
          <w:lang w:val="en-US" w:eastAsia="zh-CN"/>
        </w:rPr>
        <w:t xml:space="preserve">2.2 </w:t>
      </w:r>
      <w:r>
        <w:rPr>
          <w:rFonts w:hint="eastAsia"/>
          <w:b/>
          <w:bCs/>
        </w:rPr>
        <w:t>投标报名</w:t>
      </w:r>
    </w:p>
    <w:p w14:paraId="5075F5BA">
      <w:pPr>
        <w:pStyle w:val="62"/>
        <w:numPr>
          <w:ilvl w:val="0"/>
          <w:numId w:val="7"/>
        </w:numPr>
        <w:spacing w:line="440" w:lineRule="exact"/>
        <w:ind w:left="0" w:leftChars="0" w:firstLine="6" w:firstLineChars="0"/>
        <w:jc w:val="both"/>
      </w:pPr>
      <w:r>
        <w:rPr>
          <w:rFonts w:hint="eastAsia"/>
        </w:rPr>
        <w:t>应标截止时间：</w:t>
      </w:r>
      <w:r>
        <w:rPr>
          <w:rFonts w:hint="eastAsia" w:cs="宋体"/>
          <w:highlight w:val="yellow"/>
          <w:u w:val="single"/>
        </w:rPr>
        <w:t>202</w:t>
      </w:r>
      <w:r>
        <w:rPr>
          <w:rFonts w:cs="宋体"/>
          <w:highlight w:val="yellow"/>
          <w:u w:val="single"/>
        </w:rPr>
        <w:t>6</w:t>
      </w:r>
      <w:r>
        <w:rPr>
          <w:rFonts w:hint="eastAsia" w:cs="宋体"/>
          <w:highlight w:val="yellow"/>
          <w:u w:val="single"/>
        </w:rPr>
        <w:t>年</w:t>
      </w:r>
      <w:r>
        <w:rPr>
          <w:rFonts w:hint="eastAsia" w:cs="宋体"/>
          <w:highlight w:val="yellow"/>
          <w:u w:val="single"/>
          <w:lang w:val="en-US" w:eastAsia="zh-CN"/>
        </w:rPr>
        <w:t>4</w:t>
      </w:r>
      <w:r>
        <w:rPr>
          <w:rFonts w:hint="eastAsia" w:cs="宋体"/>
          <w:highlight w:val="yellow"/>
          <w:u w:val="single"/>
        </w:rPr>
        <w:t>月</w:t>
      </w:r>
      <w:r>
        <w:rPr>
          <w:rFonts w:hint="eastAsia" w:cs="宋体"/>
          <w:highlight w:val="yellow"/>
          <w:u w:val="single"/>
          <w:lang w:val="en-US" w:eastAsia="zh-CN"/>
        </w:rPr>
        <w:t>2</w:t>
      </w:r>
      <w:r>
        <w:rPr>
          <w:rFonts w:hint="eastAsia" w:cs="宋体"/>
          <w:highlight w:val="yellow"/>
          <w:u w:val="single"/>
        </w:rPr>
        <w:t>日17</w:t>
      </w:r>
      <w:r>
        <w:rPr>
          <w:rFonts w:hint="eastAsia"/>
          <w:highlight w:val="yellow"/>
          <w:u w:val="single"/>
        </w:rPr>
        <w:t>:00:00</w:t>
      </w:r>
      <w:r>
        <w:rPr>
          <w:highlight w:val="yellow"/>
          <w:u w:val="single"/>
        </w:rPr>
        <w:t>（北京时间）</w:t>
      </w:r>
      <w:r>
        <w:rPr>
          <w:rFonts w:hint="eastAsia"/>
          <w:u w:val="single"/>
          <w:lang w:eastAsia="zh-CN"/>
        </w:rPr>
        <w:t>。</w:t>
      </w:r>
    </w:p>
    <w:p w14:paraId="624CDE2F">
      <w:pPr>
        <w:pStyle w:val="62"/>
        <w:numPr>
          <w:ilvl w:val="0"/>
          <w:numId w:val="7"/>
        </w:numPr>
        <w:spacing w:line="440" w:lineRule="exact"/>
        <w:ind w:left="0" w:leftChars="0" w:firstLine="6" w:firstLineChars="0"/>
        <w:jc w:val="both"/>
      </w:pPr>
      <w:r>
        <w:rPr>
          <w:rFonts w:hint="eastAsia" w:cs="宋体"/>
          <w:szCs w:val="21"/>
        </w:rPr>
        <w:t>报名方式：拟</w:t>
      </w:r>
      <w:r>
        <w:rPr>
          <w:rFonts w:hint="eastAsia"/>
        </w:rPr>
        <w:t>投标</w:t>
      </w:r>
      <w:r>
        <w:rPr>
          <w:rFonts w:hint="eastAsia" w:cs="宋体"/>
          <w:szCs w:val="21"/>
        </w:rPr>
        <w:t>人根据招标人在中国重汽官网公开媒体上发布的招标信息，在</w:t>
      </w:r>
      <w:r>
        <w:rPr>
          <w:rFonts w:hint="eastAsia" w:cs="宋体"/>
          <w:b/>
          <w:bCs/>
          <w:szCs w:val="21"/>
        </w:rPr>
        <w:t>“中国重汽e采通”</w:t>
      </w:r>
      <w:r>
        <w:rPr>
          <w:rFonts w:hint="eastAsia" w:cs="宋体"/>
          <w:szCs w:val="21"/>
        </w:rPr>
        <w:t>平台报名。具体流程如下：</w:t>
      </w:r>
    </w:p>
    <w:p w14:paraId="1946B257">
      <w:pPr>
        <w:pStyle w:val="62"/>
        <w:spacing w:before="60" w:beforeLines="25" w:line="440" w:lineRule="exact"/>
        <w:ind w:left="218" w:leftChars="104" w:firstLine="420" w:firstLineChars="200"/>
        <w:jc w:val="both"/>
      </w:pPr>
      <w:r>
        <w:rPr>
          <w:rFonts w:hint="eastAsia" w:cs="宋体"/>
          <w:szCs w:val="21"/>
        </w:rPr>
        <w:t>①系统注册与信息维护</w:t>
      </w:r>
    </w:p>
    <w:p w14:paraId="447BE420">
      <w:pPr>
        <w:pStyle w:val="62"/>
        <w:numPr>
          <w:ilvl w:val="0"/>
          <w:numId w:val="8"/>
        </w:numPr>
        <w:spacing w:line="440" w:lineRule="exact"/>
        <w:ind w:leftChars="200" w:firstLine="422" w:firstLineChars="200"/>
        <w:jc w:val="both"/>
      </w:pPr>
      <w:r>
        <w:rPr>
          <w:rFonts w:hint="eastAsia"/>
          <w:b/>
          <w:bCs/>
        </w:rPr>
        <w:t>首次注册供应商：</w:t>
      </w:r>
      <w:r>
        <w:rPr>
          <w:rFonts w:hint="eastAsia"/>
        </w:rPr>
        <w:t>请根据《SRM非生产供应商注册手册》（附件</w:t>
      </w:r>
      <w:r>
        <w:rPr>
          <w:rFonts w:hint="eastAsia"/>
          <w:lang w:val="en-US" w:eastAsia="zh-CN"/>
        </w:rPr>
        <w:t>12</w:t>
      </w:r>
      <w:r>
        <w:rPr>
          <w:rFonts w:hint="eastAsia"/>
        </w:rPr>
        <w:t>）完成平台账号注册。</w:t>
      </w:r>
    </w:p>
    <w:p w14:paraId="7297DDB6">
      <w:pPr>
        <w:pStyle w:val="62"/>
        <w:numPr>
          <w:ilvl w:val="0"/>
          <w:numId w:val="8"/>
        </w:numPr>
        <w:spacing w:line="440" w:lineRule="exact"/>
        <w:ind w:leftChars="200" w:firstLine="422" w:firstLineChars="200"/>
        <w:jc w:val="both"/>
      </w:pPr>
      <w:r>
        <w:rPr>
          <w:rFonts w:hint="eastAsia"/>
          <w:b/>
          <w:bCs/>
        </w:rPr>
        <w:t>已注册供应商：</w:t>
      </w:r>
      <w:r>
        <w:rPr>
          <w:rFonts w:hint="eastAsia"/>
        </w:rPr>
        <w:t>请登录系统核对系统中</w:t>
      </w:r>
      <w:r>
        <w:rPr>
          <w:rFonts w:hint="eastAsia"/>
          <w:b/>
          <w:bCs/>
        </w:rPr>
        <w:t>202</w:t>
      </w:r>
      <w:r>
        <w:rPr>
          <w:rFonts w:hint="eastAsia"/>
          <w:b/>
          <w:bCs/>
          <w:lang w:val="en-US" w:eastAsia="zh-CN"/>
        </w:rPr>
        <w:t>3</w:t>
      </w:r>
      <w:r>
        <w:rPr>
          <w:rFonts w:hint="eastAsia"/>
          <w:b/>
          <w:bCs/>
        </w:rPr>
        <w:t>-202</w:t>
      </w:r>
      <w:r>
        <w:rPr>
          <w:rFonts w:hint="eastAsia"/>
          <w:b/>
          <w:bCs/>
          <w:lang w:val="en-US" w:eastAsia="zh-CN"/>
        </w:rPr>
        <w:t>5</w:t>
      </w:r>
      <w:r>
        <w:rPr>
          <w:rFonts w:hint="eastAsia"/>
          <w:b/>
          <w:bCs/>
        </w:rPr>
        <w:t>年度财务数据</w:t>
      </w:r>
      <w:r>
        <w:rPr>
          <w:rFonts w:hint="eastAsia"/>
        </w:rPr>
        <w:t>。</w:t>
      </w:r>
      <w:r>
        <w:t>如尚未填写或信息不全，请参照《SRM非生产供应商注册手册》（附件</w:t>
      </w:r>
      <w:r>
        <w:rPr>
          <w:rFonts w:hint="eastAsia"/>
          <w:lang w:val="en-US" w:eastAsia="zh-CN"/>
        </w:rPr>
        <w:t>12</w:t>
      </w:r>
      <w:r>
        <w:t>）及时进行补充与更新，确保信息真实、完整。</w:t>
      </w:r>
    </w:p>
    <w:p w14:paraId="3AA0E48A">
      <w:pPr>
        <w:pStyle w:val="62"/>
        <w:spacing w:before="60" w:beforeLines="25" w:line="440" w:lineRule="exact"/>
        <w:ind w:left="420" w:leftChars="200" w:firstLine="420" w:firstLineChars="200"/>
        <w:jc w:val="both"/>
      </w:pPr>
      <w:r>
        <w:rPr>
          <w:rFonts w:hint="eastAsia"/>
        </w:rPr>
        <w:t>②应标流程</w:t>
      </w:r>
    </w:p>
    <w:p w14:paraId="5568904B">
      <w:pPr>
        <w:pStyle w:val="62"/>
        <w:spacing w:line="440" w:lineRule="exact"/>
        <w:ind w:left="420" w:leftChars="200" w:firstLine="420" w:firstLineChars="200"/>
        <w:jc w:val="both"/>
      </w:pPr>
      <w:r>
        <w:rPr>
          <w:rFonts w:hint="eastAsia"/>
        </w:rPr>
        <w:t>注册及财务数据维护完成后，参照《SRM系统供应商用户手册》（附件</w:t>
      </w:r>
      <w:r>
        <w:rPr>
          <w:rFonts w:hint="eastAsia"/>
          <w:lang w:val="en-US" w:eastAsia="zh-CN"/>
        </w:rPr>
        <w:t>12</w:t>
      </w:r>
      <w:r>
        <w:rPr>
          <w:rFonts w:hint="eastAsia"/>
        </w:rPr>
        <w:t>）登录平台，进入“供应商应标”模块，选择对应项目点击“应标”，并按照</w:t>
      </w:r>
      <w:r>
        <w:rPr>
          <w:rFonts w:hint="eastAsia"/>
          <w:b/>
          <w:bCs/>
        </w:rPr>
        <w:t>“应标文件的编制”</w:t>
      </w:r>
      <w:r>
        <w:rPr>
          <w:rFonts w:hint="eastAsia"/>
        </w:rPr>
        <w:t>要求准备资料并上传。资质审查通过后，视为报名成功。</w:t>
      </w:r>
    </w:p>
    <w:p w14:paraId="28227706">
      <w:pPr>
        <w:pStyle w:val="62"/>
        <w:spacing w:line="440" w:lineRule="exact"/>
        <w:ind w:left="420" w:leftChars="200" w:firstLine="420" w:firstLineChars="200"/>
        <w:jc w:val="both"/>
        <w:rPr>
          <w:b/>
          <w:bCs/>
        </w:rPr>
      </w:pPr>
      <w:r>
        <w:rPr>
          <w:rFonts w:hint="eastAsia"/>
        </w:rPr>
        <w:t>如资质文件被退回，请按审核意见修改后重新上传。请注意：</w:t>
      </w:r>
      <w:r>
        <w:rPr>
          <w:rFonts w:hint="eastAsia"/>
          <w:b/>
          <w:bCs/>
        </w:rPr>
        <w:t>应标截止时间后将无法再次上传或修改应标文件。</w:t>
      </w:r>
    </w:p>
    <w:p w14:paraId="12B8C1D0">
      <w:pPr>
        <w:pStyle w:val="62"/>
        <w:spacing w:before="120" w:beforeLines="50" w:line="440" w:lineRule="exact"/>
        <w:ind w:firstLine="422" w:firstLineChars="200"/>
        <w:jc w:val="both"/>
        <w:rPr>
          <w:rFonts w:hint="eastAsia" w:cs="宋体"/>
          <w:b/>
          <w:bCs/>
        </w:rPr>
      </w:pPr>
      <w:r>
        <w:rPr>
          <w:rFonts w:hint="eastAsia" w:cs="宋体"/>
          <w:b/>
          <w:bCs/>
        </w:rPr>
        <w:t>注：请务必在应标截止时间前完成注册、财务数据变更及应标操作，注册审核需2-4日，财务数据变更审核需1-2日，应标截止时间精确到秒，逾期将无法应标。请自行掌握时间，避免无法应标。</w:t>
      </w:r>
    </w:p>
    <w:p w14:paraId="1D9D7282">
      <w:pPr>
        <w:pStyle w:val="62"/>
        <w:numPr>
          <w:ilvl w:val="0"/>
          <w:numId w:val="7"/>
        </w:numPr>
        <w:spacing w:line="440" w:lineRule="exact"/>
        <w:ind w:left="0" w:leftChars="0" w:firstLine="6" w:firstLineChars="0"/>
        <w:jc w:val="both"/>
        <w:rPr>
          <w:rFonts w:hint="eastAsia" w:cs="宋体"/>
          <w:szCs w:val="21"/>
        </w:rPr>
      </w:pPr>
      <w:r>
        <w:rPr>
          <w:rFonts w:hint="eastAsia" w:cs="宋体"/>
          <w:szCs w:val="21"/>
        </w:rPr>
        <w:t>应标文件的编制</w:t>
      </w:r>
    </w:p>
    <w:p w14:paraId="3786C943">
      <w:pPr>
        <w:pStyle w:val="62"/>
        <w:spacing w:line="440" w:lineRule="exact"/>
        <w:ind w:firstLine="420" w:firstLineChars="200"/>
        <w:jc w:val="both"/>
      </w:pPr>
      <w:r>
        <w:rPr>
          <w:rFonts w:hint="eastAsia"/>
        </w:rPr>
        <w:t>拟投标人须准备以下材料的盖章电子扫描件，并在应标时作为三个独立的PDF格式文件上传至“中国重汽e采通”平台，文件均以“公司简称+文件名称”格式命名：</w:t>
      </w:r>
    </w:p>
    <w:p w14:paraId="651B2DB2">
      <w:pPr>
        <w:pStyle w:val="62"/>
        <w:spacing w:line="440" w:lineRule="exact"/>
        <w:ind w:left="1260" w:leftChars="400" w:hanging="420" w:hangingChars="200"/>
        <w:jc w:val="both"/>
      </w:pPr>
      <w:r>
        <w:rPr>
          <w:rFonts w:hint="eastAsia"/>
        </w:rPr>
        <w:t>① 供方资质：按照</w:t>
      </w:r>
      <w:r>
        <w:rPr>
          <w:rFonts w:hint="eastAsia"/>
          <w:b/>
          <w:bCs/>
          <w:lang w:val="en-US" w:eastAsia="zh-CN"/>
        </w:rPr>
        <w:t>3.1 资质证明文件</w:t>
      </w:r>
      <w:r>
        <w:rPr>
          <w:rFonts w:hint="eastAsia"/>
          <w:lang w:val="en-US" w:eastAsia="zh-CN"/>
        </w:rPr>
        <w:t>要求</w:t>
      </w:r>
      <w:r>
        <w:rPr>
          <w:rFonts w:hint="eastAsia"/>
          <w:b w:val="0"/>
          <w:bCs w:val="0"/>
        </w:rPr>
        <w:t>准备资料</w:t>
      </w:r>
      <w:r>
        <w:rPr>
          <w:rFonts w:hint="eastAsia"/>
        </w:rPr>
        <w:t>，须附目录，并在首页清晰列出公司名称、联系人、电话及邮箱</w:t>
      </w:r>
      <w:r>
        <w:t>；</w:t>
      </w:r>
    </w:p>
    <w:p w14:paraId="424A8318">
      <w:pPr>
        <w:pStyle w:val="62"/>
        <w:spacing w:line="440" w:lineRule="exact"/>
        <w:ind w:left="1260" w:leftChars="400" w:hanging="420" w:hangingChars="200"/>
        <w:jc w:val="both"/>
      </w:pPr>
      <w:r>
        <w:rPr>
          <w:rFonts w:hint="eastAsia"/>
        </w:rPr>
        <w:t>② 企业简介；</w:t>
      </w:r>
    </w:p>
    <w:p w14:paraId="4E5D92CC">
      <w:pPr>
        <w:pStyle w:val="62"/>
        <w:spacing w:line="440" w:lineRule="exact"/>
        <w:ind w:left="1260" w:leftChars="400" w:hanging="420" w:hangingChars="200"/>
        <w:jc w:val="both"/>
        <w:rPr>
          <w:rFonts w:hint="eastAsia"/>
        </w:rPr>
      </w:pPr>
      <w:r>
        <w:rPr>
          <w:rFonts w:hint="eastAsia"/>
        </w:rPr>
        <w:t>③ 项目业绩：</w:t>
      </w:r>
      <w:r>
        <w:rPr>
          <w:rFonts w:hint="eastAsia"/>
          <w:b w:val="0"/>
          <w:bCs w:val="0"/>
        </w:rPr>
        <w:t>按照</w:t>
      </w:r>
      <w:r>
        <w:rPr>
          <w:rFonts w:hint="eastAsia"/>
          <w:b/>
          <w:bCs/>
          <w:lang w:val="en-US" w:eastAsia="zh-CN"/>
        </w:rPr>
        <w:t>附件4</w:t>
      </w:r>
      <w:r>
        <w:rPr>
          <w:rFonts w:hint="eastAsia"/>
          <w:b w:val="0"/>
          <w:bCs w:val="0"/>
        </w:rPr>
        <w:t>准备资料</w:t>
      </w:r>
      <w:r>
        <w:rPr>
          <w:rFonts w:hint="eastAsia"/>
        </w:rPr>
        <w:t>。</w:t>
      </w:r>
    </w:p>
    <w:p w14:paraId="0EB08C76">
      <w:pPr>
        <w:pStyle w:val="28"/>
        <w:keepNext w:val="0"/>
        <w:keepLines w:val="0"/>
        <w:pageBreakBefore w:val="0"/>
        <w:widowControl w:val="0"/>
        <w:numPr>
          <w:ilvl w:val="0"/>
          <w:numId w:val="0"/>
        </w:numPr>
        <w:kinsoku/>
        <w:wordWrap/>
        <w:overflowPunct/>
        <w:topLinePunct w:val="0"/>
        <w:autoSpaceDE/>
        <w:autoSpaceDN/>
        <w:bidi w:val="0"/>
        <w:adjustRightInd/>
        <w:snapToGrid/>
        <w:ind w:left="0" w:leftChars="0"/>
        <w:textAlignment w:val="auto"/>
        <w:outlineLvl w:val="3"/>
        <w:rPr>
          <w:rFonts w:hint="eastAsia"/>
          <w:b/>
          <w:bCs/>
        </w:rPr>
      </w:pPr>
      <w:r>
        <w:rPr>
          <w:rFonts w:hint="eastAsia"/>
          <w:b/>
          <w:bCs/>
          <w:lang w:val="en-US" w:eastAsia="zh-CN"/>
        </w:rPr>
        <w:t xml:space="preserve">2.3 </w:t>
      </w:r>
      <w:r>
        <w:rPr>
          <w:rFonts w:hint="eastAsia"/>
          <w:b/>
          <w:bCs/>
        </w:rPr>
        <w:t>招标文件获取</w:t>
      </w:r>
    </w:p>
    <w:p w14:paraId="0B6C0A7B">
      <w:pPr>
        <w:pStyle w:val="62"/>
        <w:numPr>
          <w:ilvl w:val="0"/>
          <w:numId w:val="9"/>
        </w:numPr>
        <w:spacing w:line="440" w:lineRule="exact"/>
        <w:ind w:left="0" w:leftChars="0" w:firstLine="0" w:firstLineChars="0"/>
      </w:pPr>
      <w:r>
        <w:rPr>
          <w:rFonts w:hint="eastAsia"/>
        </w:rPr>
        <w:t>获取时间：报名成功后；</w:t>
      </w:r>
    </w:p>
    <w:p w14:paraId="21945EBA">
      <w:pPr>
        <w:pStyle w:val="62"/>
        <w:numPr>
          <w:ilvl w:val="0"/>
          <w:numId w:val="9"/>
        </w:numPr>
        <w:spacing w:line="440" w:lineRule="exact"/>
        <w:ind w:left="0" w:leftChars="0" w:firstLine="0" w:firstLineChars="0"/>
      </w:pPr>
      <w:r>
        <w:rPr>
          <w:rFonts w:hint="eastAsia" w:cs="宋体"/>
          <w:szCs w:val="21"/>
        </w:rPr>
        <w:t>获取方式：</w:t>
      </w:r>
      <w:r>
        <w:rPr>
          <w:rFonts w:hint="eastAsia"/>
        </w:rPr>
        <w:t>报名成功后，可登录“中国重汽e采通”平台，在“供应商投标”模块下载招标文件。</w:t>
      </w:r>
    </w:p>
    <w:p w14:paraId="16601106">
      <w:pPr>
        <w:pStyle w:val="28"/>
        <w:keepNext w:val="0"/>
        <w:keepLines w:val="0"/>
        <w:pageBreakBefore w:val="0"/>
        <w:widowControl w:val="0"/>
        <w:numPr>
          <w:ilvl w:val="0"/>
          <w:numId w:val="0"/>
        </w:numPr>
        <w:kinsoku/>
        <w:wordWrap/>
        <w:overflowPunct/>
        <w:topLinePunct w:val="0"/>
        <w:autoSpaceDE/>
        <w:autoSpaceDN/>
        <w:bidi w:val="0"/>
        <w:adjustRightInd/>
        <w:snapToGrid/>
        <w:ind w:left="0" w:leftChars="0"/>
        <w:textAlignment w:val="auto"/>
        <w:outlineLvl w:val="3"/>
        <w:rPr>
          <w:rFonts w:hint="eastAsia"/>
          <w:b/>
          <w:bCs/>
        </w:rPr>
      </w:pPr>
      <w:r>
        <w:rPr>
          <w:rFonts w:hint="eastAsia"/>
          <w:b/>
          <w:bCs/>
          <w:lang w:val="en-US" w:eastAsia="zh-CN"/>
        </w:rPr>
        <w:t xml:space="preserve">2.4 </w:t>
      </w:r>
      <w:r>
        <w:rPr>
          <w:rFonts w:hint="eastAsia"/>
          <w:b/>
          <w:bCs/>
        </w:rPr>
        <w:t>疑问提交</w:t>
      </w:r>
    </w:p>
    <w:p w14:paraId="7FDAD56B">
      <w:pPr>
        <w:pStyle w:val="62"/>
        <w:numPr>
          <w:ilvl w:val="0"/>
          <w:numId w:val="10"/>
        </w:numPr>
        <w:spacing w:line="440" w:lineRule="exact"/>
        <w:ind w:left="0" w:leftChars="0" w:firstLine="0" w:firstLineChars="0"/>
      </w:pPr>
      <w:r>
        <w:rPr>
          <w:rFonts w:hint="eastAsia"/>
        </w:rPr>
        <w:t>提交截止时间：</w:t>
      </w:r>
      <w:r>
        <w:rPr>
          <w:rFonts w:hint="eastAsia"/>
          <w:highlight w:val="yellow"/>
          <w:u w:val="single"/>
        </w:rPr>
        <w:t>202</w:t>
      </w:r>
      <w:r>
        <w:rPr>
          <w:highlight w:val="yellow"/>
          <w:u w:val="single"/>
        </w:rPr>
        <w:t>6</w:t>
      </w:r>
      <w:r>
        <w:rPr>
          <w:rFonts w:hint="eastAsia"/>
          <w:highlight w:val="yellow"/>
          <w:u w:val="single"/>
        </w:rPr>
        <w:t>年</w:t>
      </w:r>
      <w:r>
        <w:rPr>
          <w:rFonts w:hint="eastAsia"/>
          <w:highlight w:val="yellow"/>
          <w:u w:val="single"/>
          <w:lang w:val="en-US" w:eastAsia="zh-CN"/>
        </w:rPr>
        <w:t>4</w:t>
      </w:r>
      <w:r>
        <w:rPr>
          <w:rFonts w:hint="eastAsia"/>
          <w:highlight w:val="yellow"/>
          <w:u w:val="single"/>
        </w:rPr>
        <w:t>月</w:t>
      </w:r>
      <w:r>
        <w:rPr>
          <w:rFonts w:hint="eastAsia"/>
          <w:highlight w:val="yellow"/>
          <w:u w:val="single"/>
          <w:lang w:val="en-US" w:eastAsia="zh-CN"/>
        </w:rPr>
        <w:t>4</w:t>
      </w:r>
      <w:r>
        <w:rPr>
          <w:rFonts w:hint="eastAsia"/>
          <w:highlight w:val="yellow"/>
          <w:u w:val="single"/>
        </w:rPr>
        <w:t>日</w:t>
      </w:r>
      <w:r>
        <w:rPr>
          <w:highlight w:val="yellow"/>
          <w:u w:val="single"/>
        </w:rPr>
        <w:t>1</w:t>
      </w:r>
      <w:r>
        <w:rPr>
          <w:rFonts w:hint="eastAsia"/>
          <w:highlight w:val="yellow"/>
          <w:u w:val="single"/>
          <w:lang w:val="en-US" w:eastAsia="zh-CN"/>
        </w:rPr>
        <w:t>2</w:t>
      </w:r>
      <w:r>
        <w:rPr>
          <w:highlight w:val="yellow"/>
          <w:u w:val="single"/>
        </w:rPr>
        <w:t>:00</w:t>
      </w:r>
      <w:r>
        <w:rPr>
          <w:rFonts w:hint="eastAsia"/>
          <w:highlight w:val="yellow"/>
          <w:u w:val="single"/>
        </w:rPr>
        <w:t>:00</w:t>
      </w:r>
      <w:r>
        <w:rPr>
          <w:highlight w:val="yellow"/>
          <w:u w:val="single"/>
        </w:rPr>
        <w:t>（北京时间）</w:t>
      </w:r>
      <w:r>
        <w:rPr>
          <w:rFonts w:hint="eastAsia"/>
          <w:u w:val="single"/>
        </w:rPr>
        <w:t>；</w:t>
      </w:r>
    </w:p>
    <w:p w14:paraId="515BBF25">
      <w:pPr>
        <w:pStyle w:val="62"/>
        <w:numPr>
          <w:ilvl w:val="0"/>
          <w:numId w:val="10"/>
        </w:numPr>
        <w:spacing w:line="440" w:lineRule="exact"/>
        <w:ind w:left="0" w:leftChars="0" w:firstLine="0" w:firstLineChars="0"/>
      </w:pPr>
      <w:r>
        <w:rPr>
          <w:rFonts w:hint="eastAsia"/>
        </w:rPr>
        <w:t>提交方式：将答疑问题以word文件格式发送至联系人邮件内，并电话联系工作人员查收，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w:t>
      </w:r>
      <w:r>
        <w:rPr>
          <w:rFonts w:hint="eastAsia"/>
          <w:b/>
          <w:bCs/>
          <w:lang w:val="en-US" w:eastAsia="zh-CN"/>
        </w:rPr>
        <w:t>2</w:t>
      </w:r>
      <w:r>
        <w:rPr>
          <w:rFonts w:hint="eastAsia"/>
          <w:b/>
          <w:bCs/>
        </w:rPr>
        <w:t>法定代表人授权委托书。</w:t>
      </w:r>
    </w:p>
    <w:p w14:paraId="0AC00E73">
      <w:pPr>
        <w:pStyle w:val="28"/>
        <w:keepNext w:val="0"/>
        <w:keepLines w:val="0"/>
        <w:pageBreakBefore w:val="0"/>
        <w:widowControl w:val="0"/>
        <w:numPr>
          <w:ilvl w:val="0"/>
          <w:numId w:val="0"/>
        </w:numPr>
        <w:kinsoku/>
        <w:wordWrap/>
        <w:overflowPunct/>
        <w:topLinePunct w:val="0"/>
        <w:autoSpaceDE/>
        <w:autoSpaceDN/>
        <w:bidi w:val="0"/>
        <w:adjustRightInd/>
        <w:snapToGrid/>
        <w:ind w:left="0" w:leftChars="0"/>
        <w:textAlignment w:val="auto"/>
        <w:outlineLvl w:val="3"/>
        <w:rPr>
          <w:rFonts w:hint="eastAsia"/>
          <w:b/>
          <w:bCs/>
        </w:rPr>
      </w:pPr>
      <w:r>
        <w:rPr>
          <w:rFonts w:hint="eastAsia"/>
          <w:b/>
          <w:bCs/>
          <w:lang w:val="en-US" w:eastAsia="zh-CN"/>
        </w:rPr>
        <w:t xml:space="preserve">2.5 </w:t>
      </w:r>
      <w:r>
        <w:rPr>
          <w:rFonts w:hint="eastAsia"/>
          <w:b/>
          <w:bCs/>
        </w:rPr>
        <w:t>答疑、澄清和修改文件的获取</w:t>
      </w:r>
    </w:p>
    <w:p w14:paraId="1D00A429">
      <w:pPr>
        <w:pStyle w:val="62"/>
        <w:numPr>
          <w:ilvl w:val="0"/>
          <w:numId w:val="11"/>
        </w:numPr>
        <w:spacing w:line="440" w:lineRule="exact"/>
        <w:ind w:left="0" w:leftChars="0" w:firstLine="0" w:firstLineChars="0"/>
      </w:pPr>
      <w:r>
        <w:rPr>
          <w:rFonts w:hint="eastAsia"/>
        </w:rPr>
        <w:t>获取时间：</w:t>
      </w:r>
      <w:r>
        <w:rPr>
          <w:rFonts w:hint="eastAsia"/>
          <w:highlight w:val="yellow"/>
          <w:u w:val="single"/>
        </w:rPr>
        <w:t>2025年</w:t>
      </w:r>
      <w:r>
        <w:rPr>
          <w:rFonts w:hint="eastAsia"/>
          <w:highlight w:val="yellow"/>
          <w:u w:val="single"/>
          <w:lang w:val="en-US" w:eastAsia="zh-CN"/>
        </w:rPr>
        <w:t>4</w:t>
      </w:r>
      <w:r>
        <w:rPr>
          <w:rFonts w:hint="eastAsia"/>
          <w:highlight w:val="yellow"/>
          <w:u w:val="single"/>
        </w:rPr>
        <w:t>月</w:t>
      </w:r>
      <w:r>
        <w:rPr>
          <w:rFonts w:hint="eastAsia"/>
          <w:highlight w:val="yellow"/>
          <w:u w:val="single"/>
          <w:lang w:val="en-US" w:eastAsia="zh-CN"/>
        </w:rPr>
        <w:t>4</w:t>
      </w:r>
      <w:r>
        <w:rPr>
          <w:rFonts w:hint="eastAsia"/>
          <w:highlight w:val="yellow"/>
          <w:u w:val="single"/>
        </w:rPr>
        <w:t>日</w:t>
      </w:r>
      <w:r>
        <w:rPr>
          <w:highlight w:val="yellow"/>
          <w:u w:val="single"/>
        </w:rPr>
        <w:t>1</w:t>
      </w:r>
      <w:r>
        <w:rPr>
          <w:rFonts w:hint="eastAsia"/>
          <w:highlight w:val="yellow"/>
          <w:u w:val="single"/>
          <w:lang w:val="en-US" w:eastAsia="zh-CN"/>
        </w:rPr>
        <w:t>7</w:t>
      </w:r>
      <w:r>
        <w:rPr>
          <w:highlight w:val="yellow"/>
          <w:u w:val="single"/>
        </w:rPr>
        <w:t>:00（北京时间）</w:t>
      </w:r>
      <w:r>
        <w:rPr>
          <w:rFonts w:hint="eastAsia"/>
          <w:highlight w:val="yellow"/>
          <w:u w:val="single"/>
        </w:rPr>
        <w:t>前</w:t>
      </w:r>
      <w:r>
        <w:rPr>
          <w:rFonts w:hint="eastAsia"/>
          <w:u w:val="single"/>
        </w:rPr>
        <w:t>；</w:t>
      </w:r>
    </w:p>
    <w:p w14:paraId="7F70FA5E">
      <w:pPr>
        <w:pStyle w:val="62"/>
        <w:numPr>
          <w:ilvl w:val="0"/>
          <w:numId w:val="11"/>
        </w:numPr>
        <w:spacing w:line="440" w:lineRule="exact"/>
        <w:ind w:left="0" w:leftChars="0" w:firstLine="0" w:firstLineChars="0"/>
      </w:pPr>
      <w:r>
        <w:rPr>
          <w:rFonts w:hint="eastAsia"/>
        </w:rPr>
        <w:t>获取方式：招标人将以电子邮件的方式将招标文件的答疑澄清文件发送至答疑文件提交时登记的电子邮箱。</w:t>
      </w:r>
    </w:p>
    <w:p w14:paraId="0D06170D">
      <w:pPr>
        <w:pStyle w:val="35"/>
        <w:keepNext/>
        <w:keepLines/>
        <w:pageBreakBefore w:val="0"/>
        <w:widowControl w:val="0"/>
        <w:numPr>
          <w:ilvl w:val="0"/>
          <w:numId w:val="0"/>
        </w:numPr>
        <w:kinsoku/>
        <w:wordWrap/>
        <w:overflowPunct/>
        <w:topLinePunct w:val="0"/>
        <w:autoSpaceDE/>
        <w:autoSpaceDN/>
        <w:bidi w:val="0"/>
        <w:adjustRightInd/>
        <w:snapToGrid/>
        <w:ind w:left="0" w:leftChars="0"/>
        <w:textAlignment w:val="auto"/>
        <w:outlineLvl w:val="2"/>
        <w:rPr>
          <w:rFonts w:ascii="宋体" w:hAnsi="宋体"/>
        </w:rPr>
      </w:pPr>
      <w:r>
        <w:rPr>
          <w:rFonts w:hint="eastAsia" w:ascii="宋体" w:hAnsi="宋体"/>
          <w:lang w:val="en-US" w:eastAsia="zh-CN"/>
        </w:rPr>
        <w:t xml:space="preserve">3. </w:t>
      </w:r>
      <w:r>
        <w:rPr>
          <w:rFonts w:hint="eastAsia" w:ascii="宋体" w:hAnsi="宋体"/>
        </w:rPr>
        <w:t>投标文件的组成</w:t>
      </w:r>
    </w:p>
    <w:p w14:paraId="134C8B9D">
      <w:pPr>
        <w:pStyle w:val="28"/>
        <w:ind w:firstLine="480"/>
        <w:rPr>
          <w:sz w:val="21"/>
          <w:szCs w:val="21"/>
        </w:rPr>
      </w:pPr>
      <w:r>
        <w:rPr>
          <w:rFonts w:hint="eastAsia"/>
          <w:sz w:val="21"/>
          <w:szCs w:val="21"/>
        </w:rPr>
        <w:t>本项目商务标书、技术标书、资质文件分开。参照重汽</w:t>
      </w:r>
      <w:r>
        <w:rPr>
          <w:rFonts w:hint="eastAsia"/>
          <w:sz w:val="21"/>
          <w:szCs w:val="21"/>
          <w:lang w:val="en-US" w:eastAsia="zh-CN"/>
        </w:rPr>
        <w:t>e</w:t>
      </w:r>
      <w:r>
        <w:rPr>
          <w:rFonts w:hint="eastAsia"/>
          <w:sz w:val="21"/>
          <w:szCs w:val="21"/>
        </w:rPr>
        <w:t>采通系统非生产类供方操作手册中应标投标操作说明，将盖章签字版正本投标文件扫描件上传</w:t>
      </w:r>
      <w:r>
        <w:rPr>
          <w:rFonts w:hint="eastAsia"/>
          <w:sz w:val="21"/>
          <w:szCs w:val="21"/>
          <w:lang w:val="en-US" w:eastAsia="zh-CN"/>
        </w:rPr>
        <w:t>e</w:t>
      </w:r>
      <w:r>
        <w:rPr>
          <w:rFonts w:hint="eastAsia"/>
          <w:sz w:val="21"/>
          <w:szCs w:val="21"/>
        </w:rPr>
        <w:t>采通系统。</w:t>
      </w:r>
    </w:p>
    <w:p w14:paraId="18FB1A7A">
      <w:pPr>
        <w:pStyle w:val="28"/>
        <w:ind w:firstLine="480"/>
        <w:rPr>
          <w:b/>
          <w:sz w:val="21"/>
          <w:szCs w:val="21"/>
        </w:rPr>
      </w:pPr>
      <w:r>
        <w:rPr>
          <w:rFonts w:hint="eastAsia"/>
          <w:sz w:val="21"/>
          <w:szCs w:val="21"/>
        </w:rPr>
        <w:t>若为现场开标，营业执照和授权书需在开标现场出示；若为视频开标，则需在视频端呈现即可。若没有携带营业执照原件，将根据现场所有参与开标的投标单位和专家共同判定得出认可情况。详见附件格式1—9，其余未尽事宜请按各单位习惯制定即可。</w:t>
      </w:r>
    </w:p>
    <w:p w14:paraId="13115776">
      <w:pPr>
        <w:pStyle w:val="28"/>
        <w:keepNext w:val="0"/>
        <w:keepLines w:val="0"/>
        <w:pageBreakBefore w:val="0"/>
        <w:widowControl w:val="0"/>
        <w:numPr>
          <w:ilvl w:val="0"/>
          <w:numId w:val="0"/>
        </w:numPr>
        <w:kinsoku/>
        <w:wordWrap/>
        <w:overflowPunct/>
        <w:topLinePunct w:val="0"/>
        <w:autoSpaceDE/>
        <w:autoSpaceDN/>
        <w:bidi w:val="0"/>
        <w:adjustRightInd/>
        <w:snapToGrid/>
        <w:ind w:left="0" w:leftChars="0"/>
        <w:textAlignment w:val="auto"/>
        <w:outlineLvl w:val="3"/>
        <w:rPr>
          <w:b/>
          <w:bCs/>
        </w:rPr>
      </w:pPr>
      <w:r>
        <w:rPr>
          <w:rFonts w:hint="eastAsia"/>
          <w:b/>
          <w:bCs/>
          <w:lang w:val="en-US" w:eastAsia="zh-CN"/>
        </w:rPr>
        <w:t>3</w:t>
      </w:r>
      <w:r>
        <w:rPr>
          <w:rFonts w:hint="eastAsia"/>
          <w:b/>
          <w:bCs/>
        </w:rPr>
        <w:t>.</w:t>
      </w:r>
      <w:r>
        <w:rPr>
          <w:b/>
          <w:bCs/>
        </w:rPr>
        <w:t>1</w:t>
      </w:r>
      <w:r>
        <w:rPr>
          <w:rFonts w:hint="eastAsia"/>
          <w:b/>
          <w:bCs/>
        </w:rPr>
        <w:t xml:space="preserve"> 资质证明文件</w:t>
      </w:r>
    </w:p>
    <w:p w14:paraId="0D58FBD6">
      <w:pPr>
        <w:pStyle w:val="28"/>
        <w:numPr>
          <w:ilvl w:val="0"/>
          <w:numId w:val="12"/>
        </w:numPr>
        <w:ind w:left="425" w:leftChars="0" w:hanging="425" w:firstLineChars="0"/>
        <w:rPr>
          <w:sz w:val="21"/>
          <w:szCs w:val="21"/>
        </w:rPr>
      </w:pPr>
      <w:r>
        <w:rPr>
          <w:rFonts w:hint="eastAsia"/>
          <w:sz w:val="21"/>
          <w:szCs w:val="21"/>
        </w:rPr>
        <w:t>有统一社会信用代码的三证合一新版营业执照副本复印件；</w:t>
      </w:r>
    </w:p>
    <w:p w14:paraId="3BA12DD6">
      <w:pPr>
        <w:pStyle w:val="28"/>
        <w:numPr>
          <w:ilvl w:val="0"/>
          <w:numId w:val="12"/>
        </w:numPr>
        <w:ind w:left="425" w:leftChars="0" w:hanging="425" w:firstLineChars="0"/>
        <w:rPr>
          <w:sz w:val="21"/>
          <w:szCs w:val="21"/>
        </w:rPr>
      </w:pPr>
      <w:r>
        <w:rPr>
          <w:rFonts w:hint="eastAsia"/>
          <w:sz w:val="21"/>
          <w:szCs w:val="21"/>
        </w:rPr>
        <w:t>投标函（附件</w:t>
      </w:r>
      <w:r>
        <w:rPr>
          <w:sz w:val="21"/>
          <w:szCs w:val="21"/>
        </w:rPr>
        <w:t>1</w:t>
      </w:r>
      <w:r>
        <w:rPr>
          <w:rFonts w:hint="eastAsia"/>
          <w:sz w:val="21"/>
          <w:szCs w:val="21"/>
        </w:rPr>
        <w:t>）；</w:t>
      </w:r>
    </w:p>
    <w:p w14:paraId="05FF65A7">
      <w:pPr>
        <w:pStyle w:val="28"/>
        <w:numPr>
          <w:ilvl w:val="0"/>
          <w:numId w:val="12"/>
        </w:numPr>
        <w:ind w:left="425" w:leftChars="0" w:hanging="425" w:firstLineChars="0"/>
        <w:rPr>
          <w:b/>
          <w:sz w:val="21"/>
          <w:szCs w:val="21"/>
        </w:rPr>
      </w:pPr>
      <w:r>
        <w:rPr>
          <w:rFonts w:hint="eastAsia"/>
          <w:sz w:val="21"/>
          <w:szCs w:val="21"/>
        </w:rPr>
        <w:t>法定代表人授权书（附件2）法定代表人参加投标的，提供法人身份证明文件即可；授权人参加投标的，需提供法定代表人授权委托书</w:t>
      </w:r>
      <w:r>
        <w:rPr>
          <w:rFonts w:hint="eastAsia"/>
          <w:b/>
          <w:sz w:val="21"/>
          <w:szCs w:val="21"/>
        </w:rPr>
        <w:t>（含法人身份证和被授权人身份证）；</w:t>
      </w:r>
    </w:p>
    <w:p w14:paraId="73545AB8">
      <w:pPr>
        <w:numPr>
          <w:ilvl w:val="0"/>
          <w:numId w:val="12"/>
        </w:numPr>
        <w:spacing w:line="360" w:lineRule="auto"/>
        <w:ind w:left="425" w:leftChars="0" w:hanging="425" w:firstLineChars="0"/>
        <w:rPr>
          <w:rFonts w:ascii="宋体" w:hAnsi="宋体" w:eastAsia="宋体"/>
          <w:color w:val="000000"/>
          <w:sz w:val="21"/>
          <w:szCs w:val="21"/>
        </w:rPr>
      </w:pPr>
      <w:r>
        <w:rPr>
          <w:rFonts w:hint="eastAsia" w:ascii="宋体" w:hAnsi="宋体" w:eastAsia="宋体"/>
          <w:color w:val="000000"/>
          <w:sz w:val="21"/>
          <w:szCs w:val="21"/>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26141243">
      <w:pPr>
        <w:pStyle w:val="37"/>
        <w:numPr>
          <w:ilvl w:val="0"/>
          <w:numId w:val="12"/>
        </w:numPr>
        <w:ind w:left="425" w:leftChars="0" w:hanging="425" w:firstLineChars="0"/>
        <w:rPr>
          <w:sz w:val="21"/>
          <w:szCs w:val="21"/>
        </w:rPr>
      </w:pPr>
      <w:r>
        <w:rPr>
          <w:rFonts w:hint="eastAsia"/>
          <w:sz w:val="21"/>
          <w:szCs w:val="21"/>
        </w:rPr>
        <w:t>近三年内在经营活动中没有违法违纪行为的声明；</w:t>
      </w:r>
    </w:p>
    <w:p w14:paraId="31E79B3E">
      <w:pPr>
        <w:pStyle w:val="37"/>
        <w:numPr>
          <w:ilvl w:val="0"/>
          <w:numId w:val="12"/>
        </w:numPr>
        <w:ind w:left="425" w:leftChars="0" w:hanging="425" w:firstLineChars="0"/>
        <w:rPr>
          <w:sz w:val="21"/>
          <w:szCs w:val="21"/>
        </w:rPr>
      </w:pPr>
      <w:r>
        <w:rPr>
          <w:rFonts w:hint="eastAsia"/>
          <w:sz w:val="21"/>
          <w:szCs w:val="21"/>
        </w:rPr>
        <w:t>企业最近半年完税证明、信用证明材料（中国人民银行信用代码证+征信报告）；</w:t>
      </w:r>
    </w:p>
    <w:p w14:paraId="0D87912F">
      <w:pPr>
        <w:pStyle w:val="37"/>
        <w:numPr>
          <w:ilvl w:val="0"/>
          <w:numId w:val="12"/>
        </w:numPr>
        <w:ind w:left="425" w:leftChars="0" w:hanging="425" w:firstLineChars="0"/>
        <w:rPr>
          <w:sz w:val="21"/>
          <w:szCs w:val="21"/>
        </w:rPr>
      </w:pPr>
      <w:r>
        <w:rPr>
          <w:rFonts w:hint="eastAsia"/>
          <w:sz w:val="21"/>
          <w:szCs w:val="21"/>
        </w:rPr>
        <w:t>年度纳税信用评价信息（可从电子税务局查询截图，需加盖公章）；</w:t>
      </w:r>
    </w:p>
    <w:p w14:paraId="5682D0AB">
      <w:pPr>
        <w:pStyle w:val="37"/>
        <w:numPr>
          <w:ilvl w:val="0"/>
          <w:numId w:val="12"/>
        </w:numPr>
        <w:ind w:left="425" w:leftChars="0" w:hanging="425" w:firstLineChars="0"/>
        <w:rPr>
          <w:sz w:val="21"/>
          <w:szCs w:val="21"/>
        </w:rPr>
      </w:pPr>
      <w:r>
        <w:rPr>
          <w:rFonts w:hint="eastAsia"/>
          <w:sz w:val="21"/>
          <w:szCs w:val="21"/>
        </w:rPr>
        <w:t>企业对外担保说明（写明贵单位对外有无对外担保和质押业务，需加盖公章）。</w:t>
      </w:r>
    </w:p>
    <w:p w14:paraId="469DD6E5">
      <w:pPr>
        <w:pStyle w:val="28"/>
        <w:keepNext w:val="0"/>
        <w:keepLines w:val="0"/>
        <w:pageBreakBefore w:val="0"/>
        <w:widowControl w:val="0"/>
        <w:kinsoku/>
        <w:wordWrap/>
        <w:overflowPunct/>
        <w:topLinePunct w:val="0"/>
        <w:autoSpaceDE/>
        <w:autoSpaceDN/>
        <w:bidi w:val="0"/>
        <w:adjustRightInd/>
        <w:snapToGrid/>
        <w:ind w:firstLine="0" w:firstLineChars="0"/>
        <w:textAlignment w:val="auto"/>
        <w:outlineLvl w:val="3"/>
        <w:rPr>
          <w:b/>
          <w:bCs/>
        </w:rPr>
      </w:pPr>
      <w:r>
        <w:rPr>
          <w:rFonts w:hint="eastAsia"/>
          <w:b/>
          <w:bCs/>
          <w:lang w:val="en-US" w:eastAsia="zh-CN"/>
        </w:rPr>
        <w:t>3</w:t>
      </w:r>
      <w:r>
        <w:rPr>
          <w:rFonts w:hint="eastAsia"/>
          <w:b/>
          <w:bCs/>
        </w:rPr>
        <w:t>.2技术部分</w:t>
      </w:r>
    </w:p>
    <w:p w14:paraId="3BAAD1A0">
      <w:pPr>
        <w:pStyle w:val="37"/>
        <w:numPr>
          <w:ilvl w:val="0"/>
          <w:numId w:val="13"/>
        </w:numPr>
        <w:ind w:left="425" w:leftChars="0" w:hanging="425" w:firstLineChars="0"/>
        <w:rPr>
          <w:sz w:val="21"/>
          <w:szCs w:val="21"/>
        </w:rPr>
      </w:pPr>
      <w:r>
        <w:rPr>
          <w:rFonts w:hint="eastAsia"/>
          <w:sz w:val="21"/>
          <w:szCs w:val="21"/>
          <w:lang w:val="zh-TW" w:eastAsia="zh-TW"/>
        </w:rPr>
        <w:t>技术规格偏离表（附件</w:t>
      </w:r>
      <w:r>
        <w:rPr>
          <w:sz w:val="21"/>
          <w:szCs w:val="21"/>
        </w:rPr>
        <w:t>3</w:t>
      </w:r>
      <w:r>
        <w:rPr>
          <w:rFonts w:hint="eastAsia"/>
          <w:sz w:val="21"/>
          <w:szCs w:val="21"/>
          <w:lang w:val="zh-TW" w:eastAsia="zh-TW"/>
        </w:rPr>
        <w:t>）；必须先进行两列要求一一对照，不允许直接写无偏离；</w:t>
      </w:r>
    </w:p>
    <w:p w14:paraId="5248622B">
      <w:pPr>
        <w:pStyle w:val="37"/>
        <w:numPr>
          <w:ilvl w:val="0"/>
          <w:numId w:val="13"/>
        </w:numPr>
        <w:ind w:left="425" w:leftChars="0" w:hanging="425" w:firstLineChars="0"/>
        <w:rPr>
          <w:sz w:val="21"/>
          <w:szCs w:val="21"/>
        </w:rPr>
      </w:pPr>
      <w:r>
        <w:rPr>
          <w:sz w:val="21"/>
          <w:szCs w:val="21"/>
          <w:lang w:val="zh-TW" w:eastAsia="zh-TW"/>
        </w:rPr>
        <w:t>近三年同类项目业绩一览表及有效合同复印件（附件</w:t>
      </w:r>
      <w:r>
        <w:rPr>
          <w:sz w:val="21"/>
          <w:szCs w:val="21"/>
        </w:rPr>
        <w:t>4</w:t>
      </w:r>
      <w:r>
        <w:rPr>
          <w:sz w:val="21"/>
          <w:szCs w:val="21"/>
          <w:lang w:val="zh-TW" w:eastAsia="zh-TW"/>
        </w:rPr>
        <w:t>）；</w:t>
      </w:r>
      <w:r>
        <w:rPr>
          <w:sz w:val="21"/>
          <w:szCs w:val="21"/>
        </w:rPr>
        <w:t xml:space="preserve"> </w:t>
      </w:r>
    </w:p>
    <w:p w14:paraId="0EF445E9">
      <w:pPr>
        <w:pStyle w:val="37"/>
        <w:numPr>
          <w:ilvl w:val="0"/>
          <w:numId w:val="13"/>
        </w:numPr>
        <w:ind w:left="425" w:leftChars="0" w:hanging="425" w:firstLineChars="0"/>
        <w:rPr>
          <w:sz w:val="21"/>
          <w:szCs w:val="21"/>
        </w:rPr>
      </w:pPr>
      <w:r>
        <w:rPr>
          <w:rFonts w:hint="eastAsia"/>
          <w:sz w:val="21"/>
          <w:szCs w:val="21"/>
          <w:lang w:val="zh-TW" w:eastAsia="zh-TW"/>
        </w:rPr>
        <w:t>针对项目的技术服务团队情况（人员数量、姓名、电话、专业资质等）；</w:t>
      </w:r>
    </w:p>
    <w:p w14:paraId="0CC36D51">
      <w:pPr>
        <w:pStyle w:val="37"/>
        <w:numPr>
          <w:ilvl w:val="0"/>
          <w:numId w:val="13"/>
        </w:numPr>
        <w:ind w:left="425" w:leftChars="0" w:hanging="425" w:firstLineChars="0"/>
        <w:rPr>
          <w:sz w:val="21"/>
          <w:szCs w:val="21"/>
        </w:rPr>
      </w:pPr>
      <w:r>
        <w:rPr>
          <w:rFonts w:hint="eastAsia"/>
          <w:sz w:val="21"/>
          <w:szCs w:val="21"/>
          <w:lang w:val="zh-TW" w:eastAsia="zh-TW"/>
        </w:rPr>
        <w:t>服务承诺函（附件</w:t>
      </w:r>
      <w:r>
        <w:rPr>
          <w:rFonts w:hint="eastAsia"/>
          <w:sz w:val="21"/>
          <w:szCs w:val="21"/>
        </w:rPr>
        <w:t>7</w:t>
      </w:r>
      <w:r>
        <w:rPr>
          <w:rFonts w:hint="eastAsia"/>
          <w:sz w:val="21"/>
          <w:szCs w:val="21"/>
          <w:lang w:val="zh-TW" w:eastAsia="zh-TW"/>
        </w:rPr>
        <w:t>）；</w:t>
      </w:r>
    </w:p>
    <w:p w14:paraId="4927CAC6">
      <w:pPr>
        <w:pStyle w:val="37"/>
        <w:numPr>
          <w:ilvl w:val="0"/>
          <w:numId w:val="13"/>
        </w:numPr>
        <w:ind w:left="425" w:leftChars="0" w:hanging="425" w:firstLineChars="0"/>
        <w:rPr>
          <w:sz w:val="21"/>
          <w:szCs w:val="21"/>
        </w:rPr>
      </w:pPr>
      <w:r>
        <w:rPr>
          <w:rFonts w:hint="eastAsia"/>
          <w:sz w:val="21"/>
          <w:szCs w:val="21"/>
          <w:lang w:val="zh-TW" w:eastAsia="zh-TW"/>
        </w:rPr>
        <w:t>投标人需提交的其它资料（若有）。</w:t>
      </w:r>
    </w:p>
    <w:p w14:paraId="50F9F828">
      <w:pPr>
        <w:pStyle w:val="28"/>
        <w:keepNext w:val="0"/>
        <w:keepLines w:val="0"/>
        <w:pageBreakBefore w:val="0"/>
        <w:widowControl w:val="0"/>
        <w:numPr>
          <w:ilvl w:val="3"/>
          <w:numId w:val="0"/>
        </w:numPr>
        <w:kinsoku/>
        <w:wordWrap/>
        <w:overflowPunct/>
        <w:topLinePunct w:val="0"/>
        <w:autoSpaceDE/>
        <w:autoSpaceDN/>
        <w:bidi w:val="0"/>
        <w:adjustRightInd/>
        <w:snapToGrid/>
        <w:ind w:left="0" w:leftChars="0" w:firstLine="0" w:firstLineChars="0"/>
        <w:textAlignment w:val="auto"/>
        <w:outlineLvl w:val="3"/>
        <w:rPr>
          <w:b/>
          <w:bCs/>
        </w:rPr>
      </w:pPr>
      <w:r>
        <w:rPr>
          <w:rFonts w:hint="eastAsia"/>
          <w:b/>
          <w:bCs/>
          <w:lang w:val="en-US" w:eastAsia="zh-CN"/>
        </w:rPr>
        <w:t>3</w:t>
      </w:r>
      <w:r>
        <w:rPr>
          <w:b/>
          <w:bCs/>
        </w:rPr>
        <w:t>.3</w:t>
      </w:r>
      <w:r>
        <w:rPr>
          <w:rFonts w:hint="eastAsia"/>
          <w:b/>
          <w:bCs/>
        </w:rPr>
        <w:t>商务部分</w:t>
      </w:r>
    </w:p>
    <w:p w14:paraId="42B2A65C">
      <w:pPr>
        <w:pStyle w:val="28"/>
        <w:numPr>
          <w:ilvl w:val="0"/>
          <w:numId w:val="14"/>
        </w:numPr>
        <w:ind w:left="425" w:leftChars="0" w:hanging="425" w:firstLineChars="0"/>
        <w:rPr>
          <w:sz w:val="21"/>
          <w:szCs w:val="21"/>
        </w:rPr>
      </w:pPr>
      <w:r>
        <w:rPr>
          <w:rFonts w:hint="eastAsia"/>
          <w:sz w:val="21"/>
          <w:szCs w:val="21"/>
        </w:rPr>
        <w:t>开标一览表（附件</w:t>
      </w:r>
      <w:r>
        <w:rPr>
          <w:sz w:val="21"/>
          <w:szCs w:val="21"/>
        </w:rPr>
        <w:t>5</w:t>
      </w:r>
      <w:r>
        <w:rPr>
          <w:rFonts w:hint="eastAsia"/>
          <w:sz w:val="21"/>
          <w:szCs w:val="21"/>
        </w:rPr>
        <w:t>）</w:t>
      </w:r>
      <w:r>
        <w:rPr>
          <w:rFonts w:hint="eastAsia"/>
          <w:sz w:val="21"/>
          <w:szCs w:val="21"/>
          <w:lang w:eastAsia="zh-CN"/>
        </w:rPr>
        <w:t>；</w:t>
      </w:r>
    </w:p>
    <w:p w14:paraId="1DC62178">
      <w:pPr>
        <w:pStyle w:val="28"/>
        <w:numPr>
          <w:ilvl w:val="0"/>
          <w:numId w:val="14"/>
        </w:numPr>
        <w:ind w:left="425" w:leftChars="0" w:hanging="425" w:firstLineChars="0"/>
        <w:rPr>
          <w:b/>
          <w:sz w:val="21"/>
          <w:szCs w:val="21"/>
        </w:rPr>
      </w:pPr>
      <w:r>
        <w:rPr>
          <w:rFonts w:hint="eastAsia"/>
          <w:sz w:val="21"/>
          <w:szCs w:val="21"/>
        </w:rPr>
        <w:t>投标报价明细表（附件</w:t>
      </w:r>
      <w:r>
        <w:rPr>
          <w:sz w:val="21"/>
          <w:szCs w:val="21"/>
        </w:rPr>
        <w:t>6</w:t>
      </w:r>
      <w:r>
        <w:rPr>
          <w:rFonts w:hint="eastAsia"/>
          <w:sz w:val="21"/>
          <w:szCs w:val="21"/>
        </w:rPr>
        <w:t>）</w:t>
      </w:r>
      <w:r>
        <w:rPr>
          <w:rFonts w:hint="eastAsia"/>
          <w:b/>
          <w:sz w:val="21"/>
          <w:szCs w:val="21"/>
        </w:rPr>
        <w:t>附件5、6需要一起单独封装</w:t>
      </w:r>
      <w:r>
        <w:rPr>
          <w:b/>
          <w:sz w:val="21"/>
          <w:szCs w:val="21"/>
        </w:rPr>
        <w:t>1</w:t>
      </w:r>
      <w:r>
        <w:rPr>
          <w:rFonts w:hint="eastAsia"/>
          <w:b/>
          <w:sz w:val="21"/>
          <w:szCs w:val="21"/>
        </w:rPr>
        <w:t>份</w:t>
      </w:r>
      <w:r>
        <w:rPr>
          <w:rFonts w:hint="eastAsia"/>
          <w:b/>
          <w:sz w:val="21"/>
          <w:szCs w:val="21"/>
          <w:lang w:eastAsia="zh-CN"/>
        </w:rPr>
        <w:t>；</w:t>
      </w:r>
    </w:p>
    <w:p w14:paraId="7135AB8F">
      <w:pPr>
        <w:pStyle w:val="28"/>
        <w:numPr>
          <w:ilvl w:val="0"/>
          <w:numId w:val="14"/>
        </w:numPr>
        <w:ind w:left="425" w:leftChars="0" w:hanging="425" w:firstLineChars="0"/>
        <w:rPr>
          <w:sz w:val="21"/>
          <w:szCs w:val="21"/>
        </w:rPr>
      </w:pPr>
      <w:r>
        <w:rPr>
          <w:rFonts w:hint="eastAsia"/>
          <w:sz w:val="21"/>
          <w:szCs w:val="21"/>
        </w:rPr>
        <w:t>服务承诺函(附件</w:t>
      </w:r>
      <w:r>
        <w:rPr>
          <w:sz w:val="21"/>
          <w:szCs w:val="21"/>
        </w:rPr>
        <w:t>7</w:t>
      </w:r>
      <w:r>
        <w:rPr>
          <w:rFonts w:hint="eastAsia"/>
          <w:sz w:val="21"/>
          <w:szCs w:val="21"/>
        </w:rPr>
        <w:t>)</w:t>
      </w:r>
      <w:r>
        <w:rPr>
          <w:rFonts w:hint="eastAsia"/>
          <w:b/>
          <w:sz w:val="21"/>
          <w:szCs w:val="21"/>
        </w:rPr>
        <w:t>需写明能提供的服务内容等情况</w:t>
      </w:r>
      <w:r>
        <w:rPr>
          <w:rFonts w:hint="eastAsia"/>
          <w:b/>
          <w:sz w:val="21"/>
          <w:szCs w:val="21"/>
          <w:lang w:eastAsia="zh-CN"/>
        </w:rPr>
        <w:t>；</w:t>
      </w:r>
    </w:p>
    <w:p w14:paraId="2944D83E">
      <w:pPr>
        <w:pStyle w:val="28"/>
        <w:numPr>
          <w:ilvl w:val="0"/>
          <w:numId w:val="14"/>
        </w:numPr>
        <w:ind w:left="425" w:leftChars="0" w:hanging="425" w:firstLineChars="0"/>
        <w:rPr>
          <w:rFonts w:hint="eastAsia"/>
          <w:sz w:val="21"/>
          <w:szCs w:val="21"/>
        </w:rPr>
      </w:pPr>
      <w:r>
        <w:rPr>
          <w:rFonts w:hint="eastAsia"/>
          <w:sz w:val="21"/>
          <w:szCs w:val="21"/>
        </w:rPr>
        <w:t>按招标文件投标人须知和技术规格书中要求提供的有关文件</w:t>
      </w:r>
      <w:r>
        <w:rPr>
          <w:rFonts w:hint="eastAsia" w:ascii="仿宋" w:hAnsi="仿宋" w:cs="仿宋"/>
          <w:sz w:val="21"/>
          <w:szCs w:val="21"/>
        </w:rPr>
        <w:t>（若有）</w:t>
      </w:r>
      <w:r>
        <w:rPr>
          <w:rFonts w:hint="eastAsia"/>
          <w:sz w:val="21"/>
          <w:szCs w:val="21"/>
        </w:rPr>
        <w:t>。</w:t>
      </w:r>
    </w:p>
    <w:p w14:paraId="0FD21B5B">
      <w:pPr>
        <w:pStyle w:val="35"/>
        <w:keepNext/>
        <w:keepLines/>
        <w:pageBreakBefore w:val="0"/>
        <w:widowControl w:val="0"/>
        <w:numPr>
          <w:ilvl w:val="0"/>
          <w:numId w:val="0"/>
        </w:numPr>
        <w:kinsoku/>
        <w:wordWrap/>
        <w:overflowPunct/>
        <w:topLinePunct w:val="0"/>
        <w:autoSpaceDE/>
        <w:autoSpaceDN/>
        <w:bidi w:val="0"/>
        <w:adjustRightInd/>
        <w:snapToGrid/>
        <w:ind w:left="0" w:leftChars="0"/>
        <w:textAlignment w:val="auto"/>
        <w:outlineLvl w:val="2"/>
        <w:rPr>
          <w:rFonts w:hint="eastAsia" w:ascii="宋体" w:hAnsi="宋体"/>
          <w:lang w:val="en-US" w:eastAsia="zh-CN"/>
        </w:rPr>
      </w:pPr>
      <w:r>
        <w:rPr>
          <w:rFonts w:hint="eastAsia" w:ascii="宋体" w:hAnsi="宋体"/>
          <w:lang w:val="en-US" w:eastAsia="zh-CN"/>
        </w:rPr>
        <w:t>4. 投标文件的投递</w:t>
      </w:r>
    </w:p>
    <w:p w14:paraId="30033B9E">
      <w:pPr>
        <w:pStyle w:val="28"/>
        <w:keepNext w:val="0"/>
        <w:keepLines w:val="0"/>
        <w:pageBreakBefore w:val="0"/>
        <w:widowControl w:val="0"/>
        <w:numPr>
          <w:ilvl w:val="3"/>
          <w:numId w:val="0"/>
        </w:numPr>
        <w:kinsoku/>
        <w:wordWrap/>
        <w:overflowPunct/>
        <w:topLinePunct w:val="0"/>
        <w:autoSpaceDE/>
        <w:autoSpaceDN/>
        <w:bidi w:val="0"/>
        <w:adjustRightInd/>
        <w:snapToGrid/>
        <w:ind w:left="0" w:leftChars="0" w:firstLine="0" w:firstLineChars="0"/>
        <w:textAlignment w:val="auto"/>
        <w:outlineLvl w:val="3"/>
        <w:rPr>
          <w:rFonts w:hint="eastAsia"/>
          <w:b/>
          <w:bCs/>
        </w:rPr>
      </w:pPr>
      <w:r>
        <w:rPr>
          <w:rFonts w:hint="eastAsia"/>
          <w:b/>
          <w:bCs/>
          <w:lang w:val="en-US" w:eastAsia="zh-CN"/>
        </w:rPr>
        <w:t xml:space="preserve">4.1 </w:t>
      </w:r>
      <w:r>
        <w:rPr>
          <w:rFonts w:hint="eastAsia"/>
          <w:b/>
          <w:bCs/>
        </w:rPr>
        <w:t>投标方式</w:t>
      </w:r>
    </w:p>
    <w:p w14:paraId="53910A3A">
      <w:pPr>
        <w:pStyle w:val="62"/>
        <w:spacing w:line="440" w:lineRule="exact"/>
        <w:ind w:firstLine="420" w:firstLineChars="200"/>
        <w:rPr>
          <w:rFonts w:ascii="Times New Roman" w:hAnsi="Times New Roman"/>
        </w:rPr>
      </w:pPr>
      <w:r>
        <w:rPr>
          <w:rFonts w:hint="eastAsia" w:ascii="Times New Roman" w:hAnsi="Times New Roman"/>
        </w:rPr>
        <w:t>在中国重汽e采通平台应标成功后，进入“供应商投标”环节，投递盖章扫描版电子标书（包含资质标书、商务标书）</w:t>
      </w:r>
      <w:r>
        <w:rPr>
          <w:rFonts w:hint="eastAsia" w:hAnsi="宋体" w:cs="宋体"/>
          <w:sz w:val="24"/>
          <w:szCs w:val="24"/>
        </w:rPr>
        <w:t>，</w:t>
      </w:r>
      <w:r>
        <w:rPr>
          <w:rFonts w:hint="eastAsia" w:ascii="Times New Roman" w:hAnsi="Times New Roman"/>
        </w:rPr>
        <w:t>用“公司名称+文件名称”命名。</w:t>
      </w:r>
      <w:r>
        <w:rPr>
          <w:rFonts w:hint="eastAsia" w:ascii="Times New Roman" w:hAnsi="Times New Roman"/>
          <w:b/>
          <w:bCs/>
        </w:rPr>
        <w:t>若逾期未在中国重汽e采通平台上传电子标书，即便递交了纸质版投标文件，一律视为无效投标。</w:t>
      </w:r>
    </w:p>
    <w:p w14:paraId="1074A1A3">
      <w:pPr>
        <w:pStyle w:val="28"/>
        <w:keepNext w:val="0"/>
        <w:keepLines w:val="0"/>
        <w:pageBreakBefore w:val="0"/>
        <w:widowControl w:val="0"/>
        <w:numPr>
          <w:ilvl w:val="3"/>
          <w:numId w:val="0"/>
        </w:numPr>
        <w:kinsoku/>
        <w:wordWrap/>
        <w:overflowPunct/>
        <w:topLinePunct w:val="0"/>
        <w:autoSpaceDE/>
        <w:autoSpaceDN/>
        <w:bidi w:val="0"/>
        <w:adjustRightInd/>
        <w:snapToGrid/>
        <w:ind w:left="0" w:leftChars="0" w:firstLine="0" w:firstLineChars="0"/>
        <w:textAlignment w:val="auto"/>
        <w:outlineLvl w:val="3"/>
        <w:rPr>
          <w:rFonts w:hint="eastAsia"/>
          <w:b/>
          <w:bCs/>
        </w:rPr>
      </w:pPr>
      <w:r>
        <w:rPr>
          <w:rFonts w:hint="eastAsia"/>
          <w:b/>
          <w:bCs/>
          <w:lang w:val="en-US" w:eastAsia="zh-CN"/>
        </w:rPr>
        <w:t xml:space="preserve">4.2 </w:t>
      </w:r>
      <w:r>
        <w:rPr>
          <w:rFonts w:hint="eastAsia"/>
          <w:b/>
          <w:bCs/>
        </w:rPr>
        <w:t>投标文件递交截止时间</w:t>
      </w:r>
    </w:p>
    <w:p w14:paraId="7380F912">
      <w:pPr>
        <w:pStyle w:val="28"/>
        <w:ind w:firstLine="482"/>
        <w:outlineLvl w:val="9"/>
      </w:pPr>
      <w:r>
        <w:rPr>
          <w:rFonts w:hint="eastAsia"/>
          <w:highlight w:val="yellow"/>
          <w:u w:val="single"/>
        </w:rPr>
        <w:t>202</w:t>
      </w:r>
      <w:r>
        <w:rPr>
          <w:highlight w:val="yellow"/>
          <w:u w:val="single"/>
        </w:rPr>
        <w:t>6</w:t>
      </w:r>
      <w:r>
        <w:rPr>
          <w:rFonts w:hint="eastAsia"/>
          <w:highlight w:val="yellow"/>
          <w:u w:val="single"/>
        </w:rPr>
        <w:t>年</w:t>
      </w:r>
      <w:r>
        <w:rPr>
          <w:rFonts w:hint="eastAsia"/>
          <w:highlight w:val="yellow"/>
          <w:u w:val="single"/>
          <w:lang w:val="en-US" w:eastAsia="zh-CN"/>
        </w:rPr>
        <w:t>4</w:t>
      </w:r>
      <w:r>
        <w:rPr>
          <w:rFonts w:hint="eastAsia"/>
          <w:highlight w:val="yellow"/>
          <w:u w:val="single"/>
        </w:rPr>
        <w:t>月</w:t>
      </w:r>
      <w:r>
        <w:rPr>
          <w:rFonts w:hint="eastAsia"/>
          <w:highlight w:val="yellow"/>
          <w:u w:val="single"/>
          <w:lang w:val="en-US" w:eastAsia="zh-CN"/>
        </w:rPr>
        <w:t>8</w:t>
      </w:r>
      <w:r>
        <w:rPr>
          <w:rFonts w:hint="eastAsia"/>
          <w:highlight w:val="yellow"/>
          <w:u w:val="single"/>
        </w:rPr>
        <w:t>日</w:t>
      </w:r>
      <w:r>
        <w:rPr>
          <w:rFonts w:hint="eastAsia"/>
          <w:highlight w:val="yellow"/>
          <w:u w:val="single"/>
          <w:lang w:val="en-US" w:eastAsia="zh-CN"/>
        </w:rPr>
        <w:t>9</w:t>
      </w:r>
      <w:r>
        <w:rPr>
          <w:rFonts w:hint="eastAsia"/>
          <w:highlight w:val="yellow"/>
          <w:u w:val="single"/>
        </w:rPr>
        <w:t>:00:00</w:t>
      </w:r>
      <w:r>
        <w:rPr>
          <w:highlight w:val="yellow"/>
          <w:u w:val="single"/>
        </w:rPr>
        <w:t>（北京时间）</w:t>
      </w:r>
    </w:p>
    <w:p w14:paraId="3BEF1EAC">
      <w:pPr>
        <w:pStyle w:val="35"/>
        <w:keepNext/>
        <w:keepLines/>
        <w:pageBreakBefore w:val="0"/>
        <w:widowControl w:val="0"/>
        <w:numPr>
          <w:ilvl w:val="0"/>
          <w:numId w:val="0"/>
        </w:numPr>
        <w:kinsoku/>
        <w:wordWrap/>
        <w:overflowPunct/>
        <w:topLinePunct w:val="0"/>
        <w:autoSpaceDE/>
        <w:autoSpaceDN/>
        <w:bidi w:val="0"/>
        <w:adjustRightInd/>
        <w:snapToGrid/>
        <w:ind w:left="0" w:leftChars="0"/>
        <w:textAlignment w:val="auto"/>
        <w:outlineLvl w:val="2"/>
        <w:rPr>
          <w:rFonts w:hint="eastAsia" w:ascii="宋体" w:hAnsi="宋体"/>
          <w:lang w:val="en-US" w:eastAsia="zh-CN"/>
        </w:rPr>
      </w:pPr>
      <w:bookmarkStart w:id="5" w:name="_Toc47976601"/>
      <w:r>
        <w:rPr>
          <w:rFonts w:hint="eastAsia" w:ascii="宋体" w:hAnsi="宋体"/>
          <w:lang w:val="en-US" w:eastAsia="zh-CN"/>
        </w:rPr>
        <w:t>5. 投标保证金收取、缴纳有效期及罚没</w:t>
      </w:r>
    </w:p>
    <w:p w14:paraId="0C9B8B34">
      <w:pPr>
        <w:pStyle w:val="28"/>
        <w:keepNext w:val="0"/>
        <w:keepLines w:val="0"/>
        <w:pageBreakBefore w:val="0"/>
        <w:widowControl w:val="0"/>
        <w:numPr>
          <w:ilvl w:val="3"/>
          <w:numId w:val="0"/>
        </w:numPr>
        <w:kinsoku/>
        <w:wordWrap/>
        <w:overflowPunct/>
        <w:topLinePunct w:val="0"/>
        <w:autoSpaceDE/>
        <w:autoSpaceDN/>
        <w:bidi w:val="0"/>
        <w:adjustRightInd/>
        <w:snapToGrid/>
        <w:ind w:left="0" w:leftChars="0" w:firstLine="0" w:firstLineChars="0"/>
        <w:textAlignment w:val="auto"/>
        <w:outlineLvl w:val="3"/>
        <w:rPr>
          <w:rFonts w:hint="eastAsia"/>
          <w:b/>
          <w:bCs/>
        </w:rPr>
      </w:pPr>
      <w:r>
        <w:rPr>
          <w:rFonts w:hint="eastAsia"/>
          <w:b/>
          <w:bCs/>
          <w:lang w:val="en-US" w:eastAsia="zh-CN"/>
        </w:rPr>
        <w:t xml:space="preserve">5.1 </w:t>
      </w:r>
      <w:r>
        <w:rPr>
          <w:rFonts w:hint="eastAsia"/>
          <w:b/>
          <w:bCs/>
        </w:rPr>
        <w:t>投标保证金的缴纳</w:t>
      </w:r>
    </w:p>
    <w:p w14:paraId="3A9ACBA4">
      <w:pPr>
        <w:pStyle w:val="62"/>
        <w:numPr>
          <w:ilvl w:val="0"/>
          <w:numId w:val="0"/>
        </w:numPr>
        <w:spacing w:line="440" w:lineRule="exact"/>
        <w:ind w:leftChars="0"/>
        <w:outlineLvl w:val="4"/>
        <w:rPr>
          <w:rFonts w:hAnsi="宋体" w:cs="宋体"/>
          <w:szCs w:val="21"/>
          <w:u w:val="single"/>
        </w:rPr>
      </w:pPr>
      <w:r>
        <w:rPr>
          <w:rFonts w:hint="eastAsia" w:hAnsi="宋体" w:cs="宋体"/>
          <w:szCs w:val="21"/>
          <w:lang w:val="en-US" w:eastAsia="zh-CN"/>
        </w:rPr>
        <w:t xml:space="preserve">5.1.1 </w:t>
      </w:r>
      <w:r>
        <w:rPr>
          <w:rFonts w:hint="eastAsia" w:hAnsi="宋体" w:cs="宋体"/>
          <w:szCs w:val="21"/>
        </w:rPr>
        <w:t>投标保证金的缴纳形式：</w:t>
      </w:r>
      <w:r>
        <w:rPr>
          <w:rFonts w:hint="eastAsia" w:hAnsi="宋体" w:cs="宋体"/>
          <w:szCs w:val="21"/>
          <w:u w:val="single"/>
        </w:rPr>
        <w:t>提交银行投标保函或从银行基本账户转账</w:t>
      </w:r>
    </w:p>
    <w:p w14:paraId="607FD8B5">
      <w:pPr>
        <w:pStyle w:val="62"/>
        <w:numPr>
          <w:ilvl w:val="0"/>
          <w:numId w:val="15"/>
        </w:numPr>
        <w:spacing w:line="440" w:lineRule="exact"/>
        <w:rPr>
          <w:rFonts w:hAnsi="宋体" w:cs="宋体"/>
          <w:szCs w:val="21"/>
          <w:u w:val="single"/>
        </w:rPr>
      </w:pPr>
      <w:r>
        <w:rPr>
          <w:rFonts w:hint="eastAsia" w:hAnsi="宋体" w:cs="宋体"/>
          <w:szCs w:val="21"/>
        </w:rPr>
        <w:t>选择提交银行投标保函的拟投标人，应在开标时提交投标保函正本，作为《投标文件》的一部分，该投标保函应是不可撤销的“见索即付”保函，保函有效期应满足投标有效期要求，由招标人留存保函正本。</w:t>
      </w:r>
    </w:p>
    <w:p w14:paraId="10F06550">
      <w:pPr>
        <w:pStyle w:val="62"/>
        <w:numPr>
          <w:ilvl w:val="0"/>
          <w:numId w:val="15"/>
        </w:numPr>
        <w:spacing w:line="440" w:lineRule="exact"/>
        <w:rPr>
          <w:rFonts w:hAnsi="宋体" w:cs="宋体"/>
          <w:szCs w:val="21"/>
          <w:u w:val="single"/>
        </w:rPr>
      </w:pPr>
      <w:r>
        <w:rPr>
          <w:rFonts w:hint="eastAsia" w:hAnsi="宋体" w:cs="宋体"/>
          <w:szCs w:val="21"/>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14:paraId="6E8A292E">
      <w:pPr>
        <w:pStyle w:val="62"/>
        <w:numPr>
          <w:ilvl w:val="0"/>
          <w:numId w:val="0"/>
        </w:numPr>
        <w:spacing w:line="440" w:lineRule="exact"/>
        <w:ind w:leftChars="0"/>
        <w:outlineLvl w:val="4"/>
      </w:pPr>
      <w:r>
        <w:rPr>
          <w:rFonts w:hint="eastAsia"/>
          <w:lang w:val="en-US" w:eastAsia="zh-CN"/>
        </w:rPr>
        <w:t xml:space="preserve">5.1.2 </w:t>
      </w:r>
      <w:r>
        <w:rPr>
          <w:rFonts w:hint="eastAsia"/>
        </w:rPr>
        <w:t>投标保证金的金额：人民币</w:t>
      </w:r>
      <w:r>
        <w:rPr>
          <w:rFonts w:hint="eastAsia"/>
          <w:lang w:val="en-US" w:eastAsia="zh-CN"/>
        </w:rPr>
        <w:t>20000</w:t>
      </w:r>
      <w:r>
        <w:rPr>
          <w:rFonts w:hint="eastAsia"/>
        </w:rPr>
        <w:t>元</w:t>
      </w:r>
    </w:p>
    <w:p w14:paraId="0BC06306">
      <w:pPr>
        <w:tabs>
          <w:tab w:val="left" w:pos="932"/>
        </w:tabs>
        <w:spacing w:line="440" w:lineRule="exact"/>
        <w:ind w:firstLine="420" w:firstLineChars="200"/>
        <w:rPr>
          <w:rFonts w:ascii="宋体" w:hAnsi="宋体" w:cs="宋体"/>
          <w:szCs w:val="21"/>
        </w:rPr>
      </w:pPr>
      <w:r>
        <w:rPr>
          <w:rFonts w:hint="eastAsia" w:ascii="宋体" w:hAnsi="宋体" w:cs="宋体"/>
          <w:szCs w:val="21"/>
        </w:rPr>
        <w:t>账户名称：中国重汽集团济南动力有限公司</w:t>
      </w:r>
      <w:r>
        <w:rPr>
          <w:rFonts w:ascii="宋体" w:hAnsi="宋体" w:cs="宋体"/>
          <w:szCs w:val="21"/>
        </w:rPr>
        <w:t xml:space="preserve"> </w:t>
      </w:r>
    </w:p>
    <w:p w14:paraId="0304F761">
      <w:pPr>
        <w:tabs>
          <w:tab w:val="left" w:pos="932"/>
        </w:tabs>
        <w:spacing w:line="440" w:lineRule="exact"/>
        <w:ind w:firstLine="420" w:firstLineChars="200"/>
        <w:rPr>
          <w:rFonts w:ascii="宋体" w:hAnsi="宋体" w:cs="宋体"/>
          <w:szCs w:val="21"/>
        </w:rPr>
      </w:pPr>
      <w:r>
        <w:rPr>
          <w:rFonts w:hint="eastAsia" w:ascii="宋体" w:hAnsi="宋体" w:cs="宋体"/>
          <w:szCs w:val="21"/>
        </w:rPr>
        <w:t>银行账号：</w:t>
      </w:r>
      <w:r>
        <w:rPr>
          <w:rFonts w:ascii="宋体" w:hAnsi="宋体" w:cs="宋体"/>
          <w:szCs w:val="21"/>
        </w:rPr>
        <w:t xml:space="preserve">376010100101373547 </w:t>
      </w:r>
    </w:p>
    <w:p w14:paraId="4A299660">
      <w:pPr>
        <w:tabs>
          <w:tab w:val="left" w:pos="932"/>
        </w:tabs>
        <w:spacing w:line="440" w:lineRule="exact"/>
        <w:ind w:firstLine="420" w:firstLineChars="200"/>
        <w:rPr>
          <w:rFonts w:ascii="宋体" w:hAnsi="宋体" w:cs="宋体"/>
          <w:szCs w:val="21"/>
        </w:rPr>
      </w:pPr>
      <w:r>
        <w:rPr>
          <w:rFonts w:hint="eastAsia" w:ascii="宋体" w:hAnsi="宋体" w:cs="宋体"/>
          <w:szCs w:val="21"/>
        </w:rPr>
        <w:t>开户银行：兴业银行股份有限公司济南分行营业部</w:t>
      </w:r>
      <w:r>
        <w:rPr>
          <w:rFonts w:ascii="宋体" w:hAnsi="宋体" w:cs="宋体"/>
          <w:szCs w:val="21"/>
        </w:rPr>
        <w:t xml:space="preserve"> </w:t>
      </w:r>
    </w:p>
    <w:p w14:paraId="33F267AC">
      <w:pPr>
        <w:tabs>
          <w:tab w:val="left" w:pos="932"/>
        </w:tabs>
        <w:spacing w:line="440" w:lineRule="exact"/>
        <w:ind w:firstLine="420" w:firstLineChars="200"/>
        <w:rPr>
          <w:rFonts w:ascii="宋体" w:hAnsi="宋体" w:cs="宋体"/>
          <w:szCs w:val="21"/>
        </w:rPr>
      </w:pPr>
      <w:r>
        <w:rPr>
          <w:rFonts w:hint="eastAsia" w:ascii="宋体" w:hAnsi="宋体" w:cs="宋体"/>
          <w:szCs w:val="21"/>
        </w:rPr>
        <w:t>联行号：</w:t>
      </w:r>
      <w:r>
        <w:rPr>
          <w:rFonts w:ascii="宋体" w:hAnsi="宋体" w:cs="宋体"/>
          <w:szCs w:val="21"/>
        </w:rPr>
        <w:t>309451013018</w:t>
      </w:r>
    </w:p>
    <w:p w14:paraId="6986C36E">
      <w:pPr>
        <w:pStyle w:val="62"/>
        <w:numPr>
          <w:ilvl w:val="0"/>
          <w:numId w:val="15"/>
        </w:numPr>
        <w:spacing w:line="440" w:lineRule="exact"/>
        <w:ind w:firstLine="420" w:firstLineChars="200"/>
        <w:rPr>
          <w:rFonts w:hAnsi="宋体" w:cs="宋体"/>
          <w:szCs w:val="21"/>
        </w:rPr>
      </w:pPr>
      <w:r>
        <w:rPr>
          <w:rFonts w:hint="eastAsia" w:hAnsi="宋体" w:cs="宋体"/>
          <w:szCs w:val="21"/>
        </w:rPr>
        <w:t>转账附言：公司名称+项目名称+投标保证金。</w:t>
      </w:r>
    </w:p>
    <w:p w14:paraId="39DD70F5">
      <w:pPr>
        <w:tabs>
          <w:tab w:val="left" w:pos="932"/>
        </w:tabs>
        <w:spacing w:line="440" w:lineRule="exact"/>
        <w:ind w:firstLine="420" w:firstLineChars="200"/>
        <w:rPr>
          <w:rFonts w:ascii="宋体" w:hAnsi="宋体" w:cs="宋体"/>
          <w:szCs w:val="21"/>
        </w:rPr>
      </w:pPr>
      <w:r>
        <w:rPr>
          <w:rFonts w:ascii="宋体" w:hAnsi="宋体" w:cs="宋体"/>
          <w:szCs w:val="21"/>
        </w:rPr>
        <w:t>转账时，请注意备注</w:t>
      </w:r>
      <w:r>
        <w:rPr>
          <w:rFonts w:hint="eastAsia" w:ascii="宋体" w:hAnsi="宋体" w:cs="宋体"/>
          <w:szCs w:val="21"/>
        </w:rPr>
        <w:t>公司名称+项目名称+投标保证金</w:t>
      </w:r>
      <w:r>
        <w:rPr>
          <w:rFonts w:ascii="宋体" w:hAnsi="宋体" w:cs="宋体"/>
          <w:szCs w:val="21"/>
        </w:rPr>
        <w:t>，方便后期核对退款。</w:t>
      </w:r>
    </w:p>
    <w:p w14:paraId="43F6959D">
      <w:pPr>
        <w:tabs>
          <w:tab w:val="left" w:pos="932"/>
        </w:tabs>
        <w:spacing w:line="440" w:lineRule="exact"/>
        <w:ind w:firstLine="420" w:firstLineChars="200"/>
        <w:rPr>
          <w:rFonts w:ascii="宋体" w:hAnsi="宋体" w:cs="宋体"/>
          <w:szCs w:val="21"/>
        </w:rPr>
      </w:pPr>
      <w:r>
        <w:rPr>
          <w:rFonts w:hint="eastAsia" w:ascii="宋体" w:hAnsi="宋体" w:cs="宋体"/>
          <w:szCs w:val="21"/>
        </w:rPr>
        <w:t>交纳保证金之后请发送报名邮件至邮箱：</w:t>
      </w:r>
      <w:r>
        <w:rPr>
          <w:rFonts w:hint="eastAsia"/>
          <w:highlight w:val="yellow"/>
        </w:rPr>
        <w:t>zhengjiahao@sinotruk.com</w:t>
      </w:r>
      <w:r>
        <w:rPr>
          <w:rFonts w:hint="eastAsia" w:ascii="宋体" w:hAnsi="宋体" w:cs="宋体"/>
          <w:szCs w:val="21"/>
        </w:rPr>
        <w:t>。</w:t>
      </w:r>
    </w:p>
    <w:p w14:paraId="68CD4647">
      <w:pPr>
        <w:tabs>
          <w:tab w:val="left" w:pos="932"/>
        </w:tabs>
        <w:spacing w:line="440" w:lineRule="exact"/>
        <w:ind w:firstLine="420" w:firstLineChars="200"/>
        <w:rPr>
          <w:rFonts w:ascii="宋体" w:hAnsi="宋体" w:cs="宋体"/>
          <w:szCs w:val="21"/>
        </w:rPr>
      </w:pPr>
      <w:r>
        <w:rPr>
          <w:rFonts w:hint="eastAsia" w:ascii="宋体" w:hAnsi="宋体" w:cs="宋体"/>
          <w:szCs w:val="21"/>
        </w:rPr>
        <w:t>投标邮件主题：某单位授权某代表参与投标某项目+授权代表电话。</w:t>
      </w:r>
    </w:p>
    <w:p w14:paraId="6501287F">
      <w:pPr>
        <w:tabs>
          <w:tab w:val="left" w:pos="932"/>
        </w:tabs>
        <w:spacing w:line="440" w:lineRule="exact"/>
        <w:ind w:firstLine="420" w:firstLineChars="200"/>
        <w:rPr>
          <w:rFonts w:ascii="宋体" w:hAnsi="宋体" w:cs="宋体"/>
          <w:szCs w:val="21"/>
        </w:rPr>
      </w:pPr>
      <w:r>
        <w:rPr>
          <w:rFonts w:hint="eastAsia" w:ascii="宋体" w:hAnsi="宋体" w:cs="宋体"/>
          <w:szCs w:val="21"/>
        </w:rPr>
        <w:t>报名提交资料：保证金回执</w:t>
      </w:r>
    </w:p>
    <w:p w14:paraId="7C1F036F">
      <w:pPr>
        <w:tabs>
          <w:tab w:val="left" w:pos="932"/>
        </w:tabs>
        <w:spacing w:line="440" w:lineRule="exact"/>
        <w:ind w:firstLine="420" w:firstLineChars="200"/>
        <w:rPr>
          <w:rFonts w:ascii="宋体" w:hAnsi="宋体" w:cs="宋体"/>
          <w:szCs w:val="21"/>
        </w:rPr>
      </w:pPr>
      <w:r>
        <w:rPr>
          <w:rFonts w:hint="eastAsia" w:ascii="宋体" w:hAnsi="宋体" w:cs="宋体"/>
          <w:szCs w:val="21"/>
        </w:rPr>
        <w:t>投标邮件正文：请务必在邮件正文中文字描述付款账户、付款账号、开户行名称、开户行行号、保证金金额、税号、注册时间，注册资金、法人代表（姓名）、公司地址。</w:t>
      </w:r>
    </w:p>
    <w:p w14:paraId="0104ABBD">
      <w:pPr>
        <w:tabs>
          <w:tab w:val="left" w:pos="932"/>
        </w:tabs>
        <w:spacing w:line="440" w:lineRule="exact"/>
        <w:ind w:firstLine="420" w:firstLineChars="200"/>
        <w:rPr>
          <w:rFonts w:ascii="宋体" w:hAnsi="宋体" w:cs="宋体"/>
          <w:szCs w:val="21"/>
        </w:rPr>
      </w:pPr>
      <w:r>
        <w:rPr>
          <w:rFonts w:ascii="宋体" w:hAnsi="宋体" w:cs="宋体"/>
          <w:szCs w:val="21"/>
        </w:rPr>
        <w:t>未按照本要求提供信息，导致保证金退回困难等事宜，由投标单位承担。</w:t>
      </w:r>
    </w:p>
    <w:p w14:paraId="7C04A127">
      <w:pPr>
        <w:pStyle w:val="62"/>
        <w:numPr>
          <w:ilvl w:val="0"/>
          <w:numId w:val="0"/>
        </w:numPr>
        <w:spacing w:line="440" w:lineRule="exact"/>
        <w:ind w:leftChars="0"/>
        <w:outlineLvl w:val="4"/>
        <w:rPr>
          <w:rFonts w:hAnsi="宋体" w:cs="宋体"/>
          <w:szCs w:val="21"/>
        </w:rPr>
      </w:pPr>
      <w:r>
        <w:rPr>
          <w:rFonts w:hint="eastAsia" w:hAnsi="宋体" w:cs="宋体"/>
          <w:szCs w:val="21"/>
          <w:lang w:val="en-US" w:eastAsia="zh-CN"/>
        </w:rPr>
        <w:t>5.1.3</w:t>
      </w:r>
      <w:r>
        <w:rPr>
          <w:rFonts w:hint="eastAsia" w:hAnsi="宋体" w:cs="宋体"/>
          <w:szCs w:val="21"/>
        </w:rPr>
        <w:t>保证金缴纳</w:t>
      </w:r>
      <w:r>
        <w:rPr>
          <w:rFonts w:hint="eastAsia"/>
        </w:rPr>
        <w:t>截止</w:t>
      </w:r>
      <w:r>
        <w:rPr>
          <w:rFonts w:hint="eastAsia" w:hAnsi="宋体" w:cs="宋体"/>
          <w:szCs w:val="21"/>
        </w:rPr>
        <w:t>时间：</w:t>
      </w:r>
      <w:r>
        <w:rPr>
          <w:rFonts w:hint="eastAsia" w:hAnsi="宋体" w:cs="宋体"/>
          <w:szCs w:val="21"/>
          <w:highlight w:val="yellow"/>
        </w:rPr>
        <w:t>202</w:t>
      </w:r>
      <w:r>
        <w:rPr>
          <w:rFonts w:hAnsi="宋体" w:cs="宋体"/>
          <w:szCs w:val="21"/>
          <w:highlight w:val="yellow"/>
        </w:rPr>
        <w:t>6</w:t>
      </w:r>
      <w:r>
        <w:rPr>
          <w:rFonts w:hint="eastAsia" w:hAnsi="宋体" w:cs="宋体"/>
          <w:szCs w:val="21"/>
          <w:highlight w:val="yellow"/>
        </w:rPr>
        <w:t>年</w:t>
      </w:r>
      <w:r>
        <w:rPr>
          <w:rFonts w:hint="eastAsia" w:hAnsi="宋体" w:cs="宋体"/>
          <w:szCs w:val="21"/>
          <w:highlight w:val="yellow"/>
          <w:lang w:val="en-US" w:eastAsia="zh-CN"/>
        </w:rPr>
        <w:t>4</w:t>
      </w:r>
      <w:r>
        <w:rPr>
          <w:rFonts w:hint="eastAsia" w:hAnsi="宋体" w:cs="宋体"/>
          <w:szCs w:val="21"/>
          <w:highlight w:val="yellow"/>
        </w:rPr>
        <w:t>月</w:t>
      </w:r>
      <w:r>
        <w:rPr>
          <w:rFonts w:hint="eastAsia" w:hAnsi="宋体" w:cs="宋体"/>
          <w:szCs w:val="21"/>
          <w:highlight w:val="yellow"/>
          <w:lang w:val="en-US" w:eastAsia="zh-CN"/>
        </w:rPr>
        <w:t>8</w:t>
      </w:r>
      <w:r>
        <w:rPr>
          <w:rFonts w:hint="eastAsia" w:hAnsi="宋体" w:cs="宋体"/>
          <w:szCs w:val="21"/>
          <w:highlight w:val="yellow"/>
        </w:rPr>
        <w:t>日</w:t>
      </w:r>
      <w:r>
        <w:rPr>
          <w:rFonts w:hint="eastAsia" w:hAnsi="宋体" w:cs="宋体"/>
          <w:szCs w:val="21"/>
          <w:highlight w:val="yellow"/>
          <w:lang w:val="en-US" w:eastAsia="zh-CN"/>
        </w:rPr>
        <w:t>9</w:t>
      </w:r>
      <w:r>
        <w:rPr>
          <w:rFonts w:hint="eastAsia"/>
          <w:highlight w:val="yellow"/>
        </w:rPr>
        <w:t>:00:00</w:t>
      </w:r>
      <w:r>
        <w:rPr>
          <w:highlight w:val="yellow"/>
        </w:rPr>
        <w:t>（北京时间）</w:t>
      </w:r>
    </w:p>
    <w:p w14:paraId="090778F3">
      <w:pPr>
        <w:pStyle w:val="28"/>
        <w:keepNext w:val="0"/>
        <w:keepLines w:val="0"/>
        <w:pageBreakBefore w:val="0"/>
        <w:widowControl w:val="0"/>
        <w:kinsoku/>
        <w:wordWrap/>
        <w:overflowPunct/>
        <w:topLinePunct w:val="0"/>
        <w:autoSpaceDE/>
        <w:autoSpaceDN/>
        <w:bidi w:val="0"/>
        <w:adjustRightInd/>
        <w:snapToGrid/>
        <w:ind w:firstLine="0" w:firstLineChars="0"/>
        <w:textAlignment w:val="auto"/>
        <w:outlineLvl w:val="3"/>
        <w:rPr>
          <w:rFonts w:hint="eastAsia"/>
          <w:b/>
          <w:bCs/>
          <w:lang w:val="en-US" w:eastAsia="zh-CN"/>
        </w:rPr>
      </w:pPr>
      <w:r>
        <w:rPr>
          <w:rFonts w:hint="eastAsia"/>
          <w:b/>
          <w:bCs/>
          <w:lang w:val="en-US" w:eastAsia="zh-CN"/>
        </w:rPr>
        <w:t>5.2 对于没有中标的投标人，投标保证金将于招标人内部完成中标人评审并确认最终中标人后一个付款周期予以原路返还（无息）；对于中标方，投标保证金将在签订合同后一个付款周期原路返还（无息）。</w:t>
      </w:r>
    </w:p>
    <w:p w14:paraId="3C6AB2F9">
      <w:pPr>
        <w:pStyle w:val="28"/>
        <w:keepNext w:val="0"/>
        <w:keepLines w:val="0"/>
        <w:pageBreakBefore w:val="0"/>
        <w:widowControl w:val="0"/>
        <w:kinsoku/>
        <w:wordWrap/>
        <w:overflowPunct/>
        <w:topLinePunct w:val="0"/>
        <w:autoSpaceDE/>
        <w:autoSpaceDN/>
        <w:bidi w:val="0"/>
        <w:adjustRightInd/>
        <w:snapToGrid/>
        <w:ind w:firstLine="0" w:firstLineChars="0"/>
        <w:textAlignment w:val="auto"/>
        <w:outlineLvl w:val="3"/>
        <w:rPr>
          <w:rFonts w:hint="eastAsia"/>
          <w:b/>
          <w:bCs/>
          <w:lang w:val="en-US" w:eastAsia="zh-CN"/>
        </w:rPr>
      </w:pPr>
      <w:r>
        <w:rPr>
          <w:rFonts w:hint="eastAsia"/>
          <w:b/>
          <w:bCs/>
          <w:lang w:val="en-US" w:eastAsia="zh-CN"/>
        </w:rPr>
        <w:t>5.3 发生以下情况时，有权没收保证金：</w:t>
      </w:r>
    </w:p>
    <w:p w14:paraId="0C649879">
      <w:pPr>
        <w:pStyle w:val="62"/>
        <w:numPr>
          <w:ilvl w:val="0"/>
          <w:numId w:val="16"/>
        </w:numPr>
        <w:spacing w:line="440" w:lineRule="exact"/>
        <w:ind w:left="425" w:leftChars="0" w:hanging="425" w:firstLineChars="0"/>
      </w:pPr>
      <w:r>
        <w:rPr>
          <w:rFonts w:hint="eastAsia" w:hAnsi="宋体" w:cs="宋体"/>
          <w:szCs w:val="21"/>
        </w:rPr>
        <w:t>供</w:t>
      </w:r>
      <w:r>
        <w:rPr>
          <w:rFonts w:hint="eastAsia"/>
        </w:rPr>
        <w:t>应商在提交响应文件截止时间后撤回响应文件的；</w:t>
      </w:r>
    </w:p>
    <w:p w14:paraId="5BD039F3">
      <w:pPr>
        <w:pStyle w:val="62"/>
        <w:numPr>
          <w:ilvl w:val="0"/>
          <w:numId w:val="16"/>
        </w:numPr>
        <w:spacing w:line="440" w:lineRule="exact"/>
        <w:ind w:left="425" w:leftChars="0" w:hanging="425" w:firstLineChars="0"/>
      </w:pPr>
      <w:r>
        <w:rPr>
          <w:rFonts w:hint="eastAsia"/>
        </w:rPr>
        <w:t>供应商在响应文件中提供虚假材料的；</w:t>
      </w:r>
    </w:p>
    <w:p w14:paraId="41CA57A7">
      <w:pPr>
        <w:pStyle w:val="62"/>
        <w:numPr>
          <w:ilvl w:val="0"/>
          <w:numId w:val="16"/>
        </w:numPr>
        <w:spacing w:line="440" w:lineRule="exact"/>
        <w:ind w:left="425" w:leftChars="0" w:hanging="425" w:firstLineChars="0"/>
      </w:pPr>
      <w:r>
        <w:rPr>
          <w:rFonts w:hint="eastAsia"/>
        </w:rPr>
        <w:t>除因不可抗力或谈判文件、询价通知书认可的情形以外，成交供应商不与采购人签订合同的；</w:t>
      </w:r>
    </w:p>
    <w:p w14:paraId="1A529C79">
      <w:pPr>
        <w:pStyle w:val="62"/>
        <w:numPr>
          <w:ilvl w:val="0"/>
          <w:numId w:val="16"/>
        </w:numPr>
        <w:spacing w:line="440" w:lineRule="exact"/>
        <w:ind w:left="425" w:leftChars="0" w:hanging="425" w:firstLineChars="0"/>
      </w:pPr>
      <w:r>
        <w:rPr>
          <w:rFonts w:hint="eastAsia"/>
        </w:rPr>
        <w:t>供应商与采购人、其他供应商或者采购代理机构恶意串通、围标、陪标的；</w:t>
      </w:r>
    </w:p>
    <w:p w14:paraId="23CFDC6D">
      <w:pPr>
        <w:pStyle w:val="62"/>
        <w:numPr>
          <w:ilvl w:val="0"/>
          <w:numId w:val="16"/>
        </w:numPr>
        <w:spacing w:line="440" w:lineRule="exact"/>
        <w:ind w:left="425" w:leftChars="0" w:hanging="425" w:firstLineChars="0"/>
      </w:pPr>
      <w:r>
        <w:rPr>
          <w:rFonts w:hint="eastAsia"/>
        </w:rPr>
        <w:t>供应商有违约违规行为或被投诉、举报的，在调查处理期间，保证金暂不退还，待调查处理结束后按有关规定处理。</w:t>
      </w:r>
    </w:p>
    <w:p w14:paraId="06AAF7D1">
      <w:pPr>
        <w:pStyle w:val="62"/>
        <w:numPr>
          <w:ilvl w:val="0"/>
          <w:numId w:val="16"/>
        </w:numPr>
        <w:spacing w:line="440" w:lineRule="exact"/>
        <w:ind w:left="425" w:leftChars="0" w:hanging="425" w:firstLineChars="0"/>
      </w:pPr>
      <w:r>
        <w:rPr>
          <w:rFonts w:hint="eastAsia"/>
        </w:rPr>
        <w:t>截至开标前3天，投标人无正当理由、未以书面形式向招标人递交说明而在投标截止日不来投标的。</w:t>
      </w:r>
    </w:p>
    <w:p w14:paraId="073A8A89">
      <w:pPr>
        <w:pStyle w:val="62"/>
        <w:numPr>
          <w:ilvl w:val="0"/>
          <w:numId w:val="16"/>
        </w:numPr>
        <w:spacing w:line="440" w:lineRule="exact"/>
        <w:ind w:left="425" w:leftChars="0" w:hanging="425" w:firstLineChars="0"/>
      </w:pPr>
      <w:r>
        <w:rPr>
          <w:rFonts w:hint="eastAsia"/>
        </w:rPr>
        <w:t>自中标通知书发出之日起30日内，中标人无正当理由投标人无正当签订合同的；</w:t>
      </w:r>
    </w:p>
    <w:p w14:paraId="4EE03323">
      <w:pPr>
        <w:pStyle w:val="62"/>
        <w:numPr>
          <w:ilvl w:val="0"/>
          <w:numId w:val="16"/>
        </w:numPr>
        <w:spacing w:line="440" w:lineRule="exact"/>
        <w:ind w:left="425" w:leftChars="0" w:hanging="425" w:firstLineChars="0"/>
        <w:rPr>
          <w:rFonts w:hAnsi="宋体" w:eastAsia="仿宋_GB2312" w:cs="宋体"/>
          <w:szCs w:val="24"/>
        </w:rPr>
      </w:pPr>
      <w:r>
        <w:rPr>
          <w:rFonts w:hint="eastAsia"/>
        </w:rPr>
        <w:t>采购文件规定</w:t>
      </w:r>
      <w:r>
        <w:rPr>
          <w:rFonts w:hint="eastAsia" w:hAnsi="宋体" w:cs="宋体"/>
          <w:szCs w:val="21"/>
        </w:rPr>
        <w:t>的其他情形。</w:t>
      </w:r>
    </w:p>
    <w:bookmarkEnd w:id="5"/>
    <w:p w14:paraId="0C7F88D5">
      <w:pPr>
        <w:pStyle w:val="35"/>
        <w:keepNext/>
        <w:keepLines/>
        <w:pageBreakBefore w:val="0"/>
        <w:widowControl w:val="0"/>
        <w:numPr>
          <w:ilvl w:val="0"/>
          <w:numId w:val="0"/>
        </w:numPr>
        <w:kinsoku/>
        <w:wordWrap/>
        <w:overflowPunct/>
        <w:topLinePunct w:val="0"/>
        <w:autoSpaceDE/>
        <w:autoSpaceDN/>
        <w:bidi w:val="0"/>
        <w:adjustRightInd/>
        <w:snapToGrid/>
        <w:ind w:left="0" w:leftChars="0"/>
        <w:textAlignment w:val="auto"/>
        <w:outlineLvl w:val="2"/>
        <w:rPr>
          <w:rFonts w:hint="eastAsia" w:ascii="宋体" w:hAnsi="宋体"/>
          <w:lang w:val="en-US" w:eastAsia="zh-CN"/>
        </w:rPr>
      </w:pPr>
      <w:r>
        <w:rPr>
          <w:rFonts w:hint="eastAsia" w:ascii="宋体" w:hAnsi="宋体"/>
          <w:lang w:val="en-US" w:eastAsia="zh-CN"/>
        </w:rPr>
        <w:t>6. 开评标</w:t>
      </w:r>
    </w:p>
    <w:p w14:paraId="30C2743D">
      <w:pPr>
        <w:pStyle w:val="28"/>
        <w:keepNext w:val="0"/>
        <w:keepLines w:val="0"/>
        <w:pageBreakBefore w:val="0"/>
        <w:widowControl w:val="0"/>
        <w:kinsoku/>
        <w:wordWrap/>
        <w:overflowPunct/>
        <w:topLinePunct w:val="0"/>
        <w:autoSpaceDE/>
        <w:autoSpaceDN/>
        <w:bidi w:val="0"/>
        <w:adjustRightInd/>
        <w:snapToGrid/>
        <w:ind w:firstLine="0" w:firstLineChars="0"/>
        <w:textAlignment w:val="auto"/>
        <w:outlineLvl w:val="3"/>
        <w:rPr>
          <w:rFonts w:hint="eastAsia"/>
          <w:b/>
          <w:bCs/>
          <w:lang w:val="en-US" w:eastAsia="zh-CN"/>
        </w:rPr>
      </w:pPr>
      <w:r>
        <w:rPr>
          <w:rFonts w:hint="eastAsia"/>
          <w:b/>
          <w:bCs/>
          <w:lang w:val="en-US" w:eastAsia="zh-CN"/>
        </w:rPr>
        <w:t>6.</w:t>
      </w:r>
      <w:r>
        <w:rPr>
          <w:rFonts w:hint="default"/>
          <w:b/>
          <w:bCs/>
          <w:lang w:val="en-US" w:eastAsia="zh-CN"/>
        </w:rPr>
        <w:t>1</w:t>
      </w:r>
      <w:r>
        <w:rPr>
          <w:rFonts w:hint="eastAsia"/>
          <w:b/>
          <w:bCs/>
          <w:lang w:val="en-US" w:eastAsia="zh-CN"/>
        </w:rPr>
        <w:t xml:space="preserve"> 开标时间和地点</w:t>
      </w:r>
    </w:p>
    <w:p w14:paraId="72D38DF7">
      <w:pPr>
        <w:pStyle w:val="62"/>
        <w:numPr>
          <w:ilvl w:val="1"/>
          <w:numId w:val="0"/>
        </w:numPr>
        <w:spacing w:line="440" w:lineRule="exact"/>
        <w:ind w:left="0" w:leftChars="0" w:firstLine="0" w:firstLineChars="0"/>
        <w:outlineLvl w:val="4"/>
        <w:rPr>
          <w:rFonts w:hAnsi="宋体" w:cs="宋体"/>
          <w:szCs w:val="21"/>
        </w:rPr>
      </w:pPr>
      <w:r>
        <w:rPr>
          <w:rFonts w:hint="eastAsia" w:hAnsi="宋体" w:cs="宋体"/>
          <w:kern w:val="2"/>
          <w:sz w:val="21"/>
          <w:szCs w:val="21"/>
          <w:lang w:val="en-US" w:eastAsia="zh-CN" w:bidi="ar-SA"/>
        </w:rPr>
        <w:t>6.</w:t>
      </w:r>
      <w:r>
        <w:rPr>
          <w:rFonts w:hint="default" w:ascii="宋体" w:hAnsi="宋体" w:eastAsia="宋体" w:cs="宋体"/>
          <w:kern w:val="2"/>
          <w:sz w:val="21"/>
          <w:szCs w:val="21"/>
          <w:lang w:val="en-US" w:eastAsia="zh-CN" w:bidi="ar-SA"/>
        </w:rPr>
        <w:t>1.1.</w:t>
      </w:r>
      <w:r>
        <w:rPr>
          <w:rFonts w:hint="eastAsia" w:hAnsi="宋体" w:cs="宋体"/>
          <w:szCs w:val="21"/>
        </w:rPr>
        <w:t>开标时间：</w:t>
      </w:r>
      <w:r>
        <w:rPr>
          <w:rFonts w:hint="eastAsia" w:hAnsi="宋体" w:cs="宋体"/>
          <w:szCs w:val="21"/>
          <w:highlight w:val="yellow"/>
        </w:rPr>
        <w:t>202</w:t>
      </w:r>
      <w:r>
        <w:rPr>
          <w:rFonts w:hAnsi="宋体" w:cs="宋体"/>
          <w:szCs w:val="21"/>
          <w:highlight w:val="yellow"/>
        </w:rPr>
        <w:t>6</w:t>
      </w:r>
      <w:r>
        <w:rPr>
          <w:rFonts w:hint="eastAsia" w:hAnsi="宋体" w:cs="宋体"/>
          <w:szCs w:val="21"/>
          <w:highlight w:val="yellow"/>
        </w:rPr>
        <w:t>年</w:t>
      </w:r>
      <w:r>
        <w:rPr>
          <w:rFonts w:hint="eastAsia" w:hAnsi="宋体" w:cs="宋体"/>
          <w:szCs w:val="21"/>
          <w:highlight w:val="yellow"/>
          <w:lang w:val="en-US" w:eastAsia="zh-CN"/>
        </w:rPr>
        <w:t>4</w:t>
      </w:r>
      <w:r>
        <w:rPr>
          <w:rFonts w:hint="eastAsia" w:hAnsi="宋体" w:cs="宋体"/>
          <w:szCs w:val="21"/>
          <w:highlight w:val="yellow"/>
        </w:rPr>
        <w:t>月</w:t>
      </w:r>
      <w:r>
        <w:rPr>
          <w:rFonts w:hint="eastAsia" w:hAnsi="宋体" w:cs="宋体"/>
          <w:szCs w:val="21"/>
          <w:highlight w:val="yellow"/>
          <w:lang w:val="en-US" w:eastAsia="zh-CN"/>
        </w:rPr>
        <w:t>8</w:t>
      </w:r>
      <w:r>
        <w:rPr>
          <w:rFonts w:hint="eastAsia" w:hAnsi="宋体" w:cs="宋体"/>
          <w:szCs w:val="21"/>
          <w:highlight w:val="yellow"/>
        </w:rPr>
        <w:t>日</w:t>
      </w:r>
      <w:r>
        <w:rPr>
          <w:rFonts w:hAnsi="宋体" w:cs="宋体"/>
          <w:szCs w:val="21"/>
          <w:highlight w:val="yellow"/>
        </w:rPr>
        <w:t>9:00:00（北京时间）</w:t>
      </w:r>
      <w:r>
        <w:rPr>
          <w:rFonts w:hint="eastAsia" w:hAnsi="宋体" w:cs="宋体"/>
          <w:szCs w:val="21"/>
        </w:rPr>
        <w:t>，</w:t>
      </w:r>
      <w:r>
        <w:rPr>
          <w:rFonts w:hAnsi="宋体" w:cs="宋体"/>
          <w:szCs w:val="21"/>
        </w:rPr>
        <w:t>若有变动另行通知。</w:t>
      </w:r>
    </w:p>
    <w:p w14:paraId="4218C86E">
      <w:pPr>
        <w:pStyle w:val="62"/>
        <w:numPr>
          <w:ilvl w:val="1"/>
          <w:numId w:val="0"/>
        </w:numPr>
        <w:spacing w:line="440" w:lineRule="exact"/>
        <w:ind w:left="0" w:leftChars="0" w:firstLine="0" w:firstLineChars="0"/>
        <w:outlineLvl w:val="4"/>
        <w:rPr>
          <w:rFonts w:hAnsi="宋体" w:cs="宋体"/>
          <w:szCs w:val="21"/>
        </w:rPr>
      </w:pPr>
      <w:r>
        <w:rPr>
          <w:rFonts w:hint="eastAsia" w:hAnsi="宋体" w:cs="宋体"/>
          <w:kern w:val="2"/>
          <w:sz w:val="21"/>
          <w:szCs w:val="21"/>
          <w:lang w:val="en-US" w:eastAsia="zh-CN" w:bidi="ar-SA"/>
        </w:rPr>
        <w:t>6.</w:t>
      </w:r>
      <w:r>
        <w:rPr>
          <w:rFonts w:hint="default" w:ascii="宋体" w:hAnsi="宋体" w:eastAsia="宋体" w:cs="宋体"/>
          <w:kern w:val="2"/>
          <w:sz w:val="21"/>
          <w:szCs w:val="21"/>
          <w:lang w:val="en-US" w:eastAsia="zh-CN" w:bidi="ar-SA"/>
        </w:rPr>
        <w:t>1.2.</w:t>
      </w:r>
      <w:r>
        <w:rPr>
          <w:rFonts w:hint="eastAsia" w:hAnsi="宋体" w:cs="宋体"/>
          <w:szCs w:val="21"/>
        </w:rPr>
        <w:t>开标地点：</w:t>
      </w:r>
      <w:r>
        <w:rPr>
          <w:rFonts w:hint="eastAsia"/>
        </w:rPr>
        <w:t>济南市高新区华奥路777号</w:t>
      </w:r>
      <w:r>
        <w:rPr>
          <w:rFonts w:hint="eastAsia" w:hAnsi="宋体" w:cs="宋体"/>
          <w:szCs w:val="21"/>
        </w:rPr>
        <w:t xml:space="preserve"> </w:t>
      </w:r>
    </w:p>
    <w:p w14:paraId="370AE8BC">
      <w:pPr>
        <w:pStyle w:val="62"/>
        <w:numPr>
          <w:ilvl w:val="1"/>
          <w:numId w:val="0"/>
        </w:numPr>
        <w:spacing w:line="440" w:lineRule="exact"/>
        <w:ind w:left="0" w:leftChars="0" w:firstLine="0" w:firstLineChars="0"/>
        <w:outlineLvl w:val="4"/>
        <w:rPr>
          <w:rFonts w:hAnsi="宋体" w:cs="宋体"/>
          <w:color w:val="000000"/>
          <w:szCs w:val="21"/>
        </w:rPr>
      </w:pPr>
      <w:r>
        <w:rPr>
          <w:rFonts w:hint="eastAsia" w:hAnsi="宋体" w:cs="宋体"/>
          <w:color w:val="000000"/>
          <w:kern w:val="2"/>
          <w:sz w:val="21"/>
          <w:szCs w:val="21"/>
          <w:lang w:val="en-US" w:eastAsia="zh-CN" w:bidi="ar-SA"/>
        </w:rPr>
        <w:t>6.</w:t>
      </w:r>
      <w:r>
        <w:rPr>
          <w:rFonts w:hint="default" w:ascii="宋体" w:hAnsi="宋体" w:eastAsia="宋体" w:cs="宋体"/>
          <w:color w:val="000000"/>
          <w:kern w:val="2"/>
          <w:sz w:val="21"/>
          <w:szCs w:val="21"/>
          <w:lang w:val="en-US" w:eastAsia="zh-CN" w:bidi="ar-SA"/>
        </w:rPr>
        <w:t>1.3.</w:t>
      </w:r>
      <w:r>
        <w:rPr>
          <w:rFonts w:hint="eastAsia" w:hAnsi="宋体" w:cs="宋体"/>
          <w:szCs w:val="21"/>
        </w:rPr>
        <w:t>开标方式：</w:t>
      </w:r>
      <w:r>
        <w:rPr>
          <w:rFonts w:hint="eastAsia"/>
          <w:b/>
          <w:u w:val="single"/>
        </w:rPr>
        <w:t>线上招标。</w:t>
      </w:r>
      <w:r>
        <w:rPr>
          <w:rFonts w:hint="eastAsia" w:hAnsi="宋体" w:cs="宋体"/>
          <w:szCs w:val="21"/>
          <w:u w:val="single"/>
        </w:rPr>
        <w:t>因招标人原因，允许各投标方通过视频会议等形式线上招标，所需过程资料均通过e采通进行提报，由招标人创建视频链接，并在报名结束后统一通知。</w:t>
      </w:r>
    </w:p>
    <w:p w14:paraId="50ED85D1">
      <w:pPr>
        <w:pStyle w:val="28"/>
        <w:keepNext w:val="0"/>
        <w:keepLines w:val="0"/>
        <w:pageBreakBefore w:val="0"/>
        <w:widowControl w:val="0"/>
        <w:kinsoku/>
        <w:wordWrap/>
        <w:overflowPunct/>
        <w:topLinePunct w:val="0"/>
        <w:autoSpaceDE/>
        <w:autoSpaceDN/>
        <w:bidi w:val="0"/>
        <w:adjustRightInd/>
        <w:snapToGrid/>
        <w:ind w:firstLine="0" w:firstLineChars="0"/>
        <w:textAlignment w:val="auto"/>
        <w:outlineLvl w:val="3"/>
        <w:rPr>
          <w:rFonts w:hint="eastAsia"/>
          <w:b/>
          <w:bCs/>
          <w:lang w:val="en-US" w:eastAsia="zh-CN"/>
        </w:rPr>
      </w:pPr>
      <w:r>
        <w:rPr>
          <w:rFonts w:hint="eastAsia"/>
          <w:b/>
          <w:bCs/>
          <w:lang w:val="en-US" w:eastAsia="zh-CN"/>
        </w:rPr>
        <w:t>6.2 评标</w:t>
      </w:r>
    </w:p>
    <w:p w14:paraId="10D1FDA4">
      <w:pPr>
        <w:spacing w:line="440" w:lineRule="exact"/>
        <w:outlineLvl w:val="4"/>
        <w:rPr>
          <w:rFonts w:ascii="宋体" w:hAnsi="宋体" w:cs="宋体"/>
          <w:bCs/>
          <w:color w:val="000000"/>
          <w:szCs w:val="21"/>
        </w:rPr>
      </w:pPr>
      <w:r>
        <w:rPr>
          <w:rFonts w:hint="eastAsia" w:asciiTheme="minorEastAsia" w:hAnsiTheme="minorEastAsia" w:eastAsiaTheme="minorEastAsia" w:cstheme="minorEastAsia"/>
          <w:szCs w:val="21"/>
          <w:lang w:val="en-US" w:eastAsia="zh-CN"/>
        </w:rPr>
        <w:t>6.</w:t>
      </w:r>
      <w:r>
        <w:rPr>
          <w:rFonts w:hint="eastAsia" w:asciiTheme="minorEastAsia" w:hAnsiTheme="minorEastAsia" w:eastAsiaTheme="minorEastAsia" w:cstheme="minorEastAsia"/>
          <w:szCs w:val="21"/>
        </w:rPr>
        <w:t>2.1.</w:t>
      </w:r>
      <w:r>
        <w:rPr>
          <w:rFonts w:hint="eastAsia" w:asciiTheme="minorEastAsia" w:hAnsiTheme="minorEastAsia" w:eastAsiaTheme="minorEastAsia" w:cstheme="minorEastAsia"/>
          <w:bCs/>
          <w:color w:val="000000"/>
          <w:szCs w:val="21"/>
        </w:rPr>
        <w:t>评</w:t>
      </w:r>
      <w:r>
        <w:rPr>
          <w:rFonts w:hint="eastAsia" w:ascii="宋体" w:hAnsi="宋体" w:cs="宋体"/>
          <w:bCs/>
          <w:color w:val="000000"/>
          <w:szCs w:val="21"/>
        </w:rPr>
        <w:t>标方法</w:t>
      </w:r>
    </w:p>
    <w:p w14:paraId="4CE0C00D">
      <w:pPr>
        <w:spacing w:line="440" w:lineRule="exact"/>
        <w:ind w:firstLine="420" w:firstLineChars="200"/>
        <w:rPr>
          <w:rFonts w:ascii="宋体" w:hAnsi="宋体" w:cs="宋体"/>
          <w:bCs/>
          <w:color w:val="000000"/>
          <w:szCs w:val="21"/>
        </w:rPr>
      </w:pPr>
      <w:r>
        <w:rPr>
          <w:rFonts w:hint="eastAsia" w:ascii="宋体" w:hAnsi="宋体" w:cs="宋体"/>
          <w:bCs/>
          <w:color w:val="000000"/>
          <w:szCs w:val="21"/>
        </w:rPr>
        <w:t>本次招标采用综合评价法，</w:t>
      </w:r>
      <w:r>
        <w:rPr>
          <w:rFonts w:hint="eastAsia" w:ascii="宋体" w:hAnsi="宋体" w:cs="宋体"/>
          <w:bCs/>
          <w:color w:val="000000"/>
          <w:szCs w:val="21"/>
          <w:highlight w:val="yellow"/>
        </w:rPr>
        <w:t>技术标评议分数占总分</w:t>
      </w:r>
      <w:r>
        <w:rPr>
          <w:rFonts w:hint="eastAsia" w:ascii="宋体" w:hAnsi="宋体" w:cs="宋体"/>
          <w:bCs/>
          <w:color w:val="000000"/>
          <w:szCs w:val="21"/>
          <w:highlight w:val="yellow"/>
          <w:lang w:val="en-US" w:eastAsia="zh-CN"/>
        </w:rPr>
        <w:t>30</w:t>
      </w:r>
      <w:r>
        <w:rPr>
          <w:rFonts w:hint="eastAsia" w:ascii="宋体" w:hAnsi="宋体" w:cs="宋体"/>
          <w:bCs/>
          <w:color w:val="000000"/>
          <w:szCs w:val="21"/>
          <w:highlight w:val="yellow"/>
        </w:rPr>
        <w:t>%，商务标评分占比</w:t>
      </w:r>
      <w:r>
        <w:rPr>
          <w:rFonts w:hint="eastAsia" w:ascii="宋体" w:hAnsi="宋体" w:cs="宋体"/>
          <w:bCs/>
          <w:color w:val="000000"/>
          <w:szCs w:val="21"/>
          <w:highlight w:val="yellow"/>
          <w:lang w:val="en-US" w:eastAsia="zh-CN"/>
        </w:rPr>
        <w:t>70</w:t>
      </w:r>
      <w:r>
        <w:rPr>
          <w:rFonts w:hint="eastAsia" w:ascii="宋体" w:hAnsi="宋体" w:cs="宋体"/>
          <w:bCs/>
          <w:color w:val="000000"/>
          <w:szCs w:val="21"/>
          <w:highlight w:val="yellow"/>
        </w:rPr>
        <w:t>%。</w:t>
      </w:r>
      <w:r>
        <w:rPr>
          <w:rFonts w:hint="eastAsia" w:ascii="宋体" w:hAnsi="宋体" w:cs="宋体"/>
          <w:bCs/>
          <w:color w:val="000000"/>
          <w:szCs w:val="21"/>
        </w:rPr>
        <w:t>本着公平、公正、公开的原则，在通过技术标评审后入围的前提下，对招标文件中规定的各项因素进行综合评审，确定中标人，对未中标方不做任何解释。</w:t>
      </w:r>
    </w:p>
    <w:p w14:paraId="7E29F541">
      <w:pPr>
        <w:spacing w:line="440" w:lineRule="exact"/>
        <w:outlineLvl w:val="4"/>
        <w:rPr>
          <w:rFonts w:ascii="宋体" w:hAnsi="宋体" w:cs="宋体"/>
          <w:bCs/>
          <w:color w:val="000000"/>
          <w:szCs w:val="21"/>
        </w:rPr>
      </w:pPr>
      <w:r>
        <w:rPr>
          <w:rFonts w:hint="eastAsia" w:ascii="宋体" w:hAnsi="宋体" w:cs="宋体"/>
          <w:bCs/>
          <w:color w:val="000000"/>
          <w:szCs w:val="21"/>
          <w:lang w:val="en-US" w:eastAsia="zh-CN"/>
        </w:rPr>
        <w:t>6.</w:t>
      </w:r>
      <w:r>
        <w:rPr>
          <w:rFonts w:hint="eastAsia" w:ascii="宋体" w:hAnsi="宋体" w:cs="宋体"/>
          <w:bCs/>
          <w:color w:val="000000"/>
          <w:szCs w:val="21"/>
        </w:rPr>
        <w:t>2</w:t>
      </w:r>
      <w:r>
        <w:rPr>
          <w:rFonts w:ascii="宋体" w:hAnsi="宋体" w:cs="宋体"/>
          <w:bCs/>
          <w:color w:val="000000"/>
          <w:szCs w:val="21"/>
        </w:rPr>
        <w:t>.2</w:t>
      </w:r>
      <w:r>
        <w:rPr>
          <w:rFonts w:hint="eastAsia" w:ascii="宋体" w:hAnsi="宋体" w:cs="宋体"/>
          <w:bCs/>
          <w:color w:val="000000"/>
          <w:szCs w:val="21"/>
        </w:rPr>
        <w:t>评标流程</w:t>
      </w:r>
    </w:p>
    <w:p w14:paraId="4567DBD6">
      <w:pPr>
        <w:pStyle w:val="28"/>
        <w:numPr>
          <w:ilvl w:val="0"/>
          <w:numId w:val="17"/>
        </w:numPr>
        <w:ind w:firstLineChars="0"/>
        <w:rPr>
          <w:rFonts w:hint="eastAsia" w:ascii="宋体" w:hAnsi="宋体" w:eastAsia="宋体" w:cs="宋体"/>
          <w:b w:val="0"/>
          <w:bCs w:val="0"/>
          <w:sz w:val="21"/>
          <w:szCs w:val="21"/>
        </w:rPr>
      </w:pPr>
      <w:r>
        <w:rPr>
          <w:rFonts w:hint="eastAsia" w:ascii="宋体" w:hAnsi="宋体" w:eastAsia="宋体" w:cs="宋体"/>
          <w:b w:val="0"/>
          <w:bCs w:val="0"/>
          <w:sz w:val="21"/>
          <w:szCs w:val="21"/>
        </w:rPr>
        <w:t>资质审核：投标文件</w:t>
      </w:r>
      <w:r>
        <w:rPr>
          <w:rFonts w:hint="eastAsia" w:cs="宋体"/>
          <w:b w:val="0"/>
          <w:bCs w:val="0"/>
          <w:sz w:val="21"/>
          <w:szCs w:val="21"/>
          <w:lang w:val="en-US" w:eastAsia="zh-CN"/>
        </w:rPr>
        <w:t>的组成3</w:t>
      </w:r>
      <w:r>
        <w:rPr>
          <w:rFonts w:hint="eastAsia" w:ascii="宋体" w:hAnsi="宋体" w:eastAsia="宋体" w:cs="宋体"/>
          <w:b w:val="0"/>
          <w:bCs w:val="0"/>
          <w:sz w:val="21"/>
          <w:szCs w:val="21"/>
        </w:rPr>
        <w:t>.1中要求的（1）-（8）资质证明文件审核；</w:t>
      </w:r>
    </w:p>
    <w:p w14:paraId="3FDF4E72">
      <w:pPr>
        <w:pStyle w:val="28"/>
        <w:numPr>
          <w:ilvl w:val="0"/>
          <w:numId w:val="17"/>
        </w:numPr>
        <w:ind w:firstLineChars="0"/>
        <w:rPr>
          <w:rFonts w:hint="eastAsia" w:ascii="宋体" w:hAnsi="宋体" w:eastAsia="宋体" w:cs="宋体"/>
          <w:b w:val="0"/>
          <w:bCs w:val="0"/>
          <w:sz w:val="21"/>
          <w:szCs w:val="21"/>
        </w:rPr>
      </w:pPr>
      <w:r>
        <w:rPr>
          <w:rFonts w:hint="eastAsia" w:ascii="宋体" w:hAnsi="宋体" w:eastAsia="宋体" w:cs="宋体"/>
          <w:b w:val="0"/>
          <w:bCs w:val="0"/>
          <w:sz w:val="21"/>
          <w:szCs w:val="21"/>
        </w:rPr>
        <w:t>通过资质审核的单位可以进入技术评议，没有通过的单位不能进入技术评议；</w:t>
      </w:r>
    </w:p>
    <w:p w14:paraId="11F92A4E">
      <w:pPr>
        <w:pStyle w:val="28"/>
        <w:numPr>
          <w:ilvl w:val="0"/>
          <w:numId w:val="17"/>
        </w:numPr>
        <w:ind w:firstLineChars="0"/>
        <w:rPr>
          <w:rFonts w:hint="eastAsia" w:ascii="宋体" w:hAnsi="宋体" w:eastAsia="宋体" w:cs="宋体"/>
          <w:b w:val="0"/>
          <w:bCs w:val="0"/>
          <w:sz w:val="21"/>
          <w:szCs w:val="21"/>
        </w:rPr>
      </w:pPr>
      <w:r>
        <w:rPr>
          <w:rFonts w:hint="eastAsia" w:ascii="宋体" w:hAnsi="宋体" w:eastAsia="宋体" w:cs="宋体"/>
          <w:b w:val="0"/>
          <w:bCs w:val="0"/>
          <w:sz w:val="21"/>
          <w:szCs w:val="21"/>
        </w:rPr>
        <w:t>技术评议：</w:t>
      </w:r>
    </w:p>
    <w:p w14:paraId="3B208BD5">
      <w:pPr>
        <w:numPr>
          <w:ilvl w:val="0"/>
          <w:numId w:val="18"/>
        </w:numPr>
        <w:tabs>
          <w:tab w:val="left" w:pos="1080"/>
        </w:tabs>
        <w:adjustRightInd w:val="0"/>
        <w:snapToGrid w:val="0"/>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经技术专家组认定</w:t>
      </w:r>
      <w:r>
        <w:rPr>
          <w:rFonts w:hint="eastAsia" w:ascii="宋体" w:hAnsi="宋体" w:eastAsia="宋体" w:cs="宋体"/>
          <w:sz w:val="21"/>
          <w:szCs w:val="21"/>
        </w:rPr>
        <w:t>投标文件不满足或严重偏离招标技术文件关键条款或无证实性技术资料支持，达到1项（包含）及以上者。证实性技术资料以投标文件、投标人公开发布印刷资料或检测机构出具检测报告为准。若投标人公开发布印刷资料与检测机构出具检测报告相矛盾或不一致，以检测机构出具检测报告为准。</w:t>
      </w:r>
    </w:p>
    <w:p w14:paraId="7383D5A0">
      <w:pPr>
        <w:numPr>
          <w:ilvl w:val="0"/>
          <w:numId w:val="18"/>
        </w:numPr>
        <w:tabs>
          <w:tab w:val="left" w:pos="1080"/>
        </w:tabs>
        <w:adjustRightInd w:val="0"/>
        <w:snapToGrid w:val="0"/>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经技术专家组认定</w:t>
      </w:r>
      <w:r>
        <w:rPr>
          <w:rFonts w:hint="eastAsia" w:ascii="宋体" w:hAnsi="宋体" w:eastAsia="宋体" w:cs="宋体"/>
          <w:sz w:val="21"/>
          <w:szCs w:val="21"/>
        </w:rPr>
        <w:t>投标文件不满足或严重偏离招标技术文件重要条款或无证实性技术资料支持，达到3项（包含）及以上者。</w:t>
      </w:r>
    </w:p>
    <w:p w14:paraId="14B4421A">
      <w:pPr>
        <w:numPr>
          <w:ilvl w:val="0"/>
          <w:numId w:val="18"/>
        </w:numPr>
        <w:tabs>
          <w:tab w:val="left" w:pos="1080"/>
        </w:tabs>
        <w:adjustRightInd w:val="0"/>
        <w:snapToGrid w:val="0"/>
        <w:spacing w:line="360" w:lineRule="auto"/>
        <w:rPr>
          <w:rFonts w:hint="eastAsia" w:ascii="宋体" w:hAnsi="宋体" w:eastAsia="宋体" w:cs="宋体"/>
          <w:sz w:val="21"/>
          <w:szCs w:val="21"/>
        </w:rPr>
      </w:pPr>
      <w:r>
        <w:rPr>
          <w:rFonts w:hint="eastAsia" w:ascii="宋体" w:hAnsi="宋体" w:eastAsia="宋体" w:cs="宋体"/>
          <w:sz w:val="21"/>
          <w:szCs w:val="21"/>
        </w:rPr>
        <w:t>投标文件技术规格书的响应与事实不符或虚假投标的。</w:t>
      </w:r>
    </w:p>
    <w:p w14:paraId="157D4F77">
      <w:pPr>
        <w:numPr>
          <w:ilvl w:val="0"/>
          <w:numId w:val="18"/>
        </w:numPr>
        <w:tabs>
          <w:tab w:val="left" w:pos="1080"/>
        </w:tabs>
        <w:adjustRightInd w:val="0"/>
        <w:snapToGrid w:val="0"/>
        <w:spacing w:line="360" w:lineRule="auto"/>
        <w:rPr>
          <w:rFonts w:hint="eastAsia" w:ascii="宋体" w:hAnsi="宋体" w:eastAsia="宋体" w:cs="宋体"/>
          <w:sz w:val="21"/>
          <w:szCs w:val="21"/>
        </w:rPr>
      </w:pPr>
      <w:r>
        <w:rPr>
          <w:rFonts w:hint="eastAsia" w:ascii="宋体" w:hAnsi="宋体" w:eastAsia="宋体" w:cs="宋体"/>
          <w:sz w:val="21"/>
          <w:szCs w:val="21"/>
        </w:rPr>
        <w:t>投标人复制招标文件的相关内容作为其投标文件内容，达到50%及以上者。</w:t>
      </w:r>
    </w:p>
    <w:p w14:paraId="1F1F1F1B">
      <w:pPr>
        <w:numPr>
          <w:ilvl w:val="0"/>
          <w:numId w:val="18"/>
        </w:numPr>
        <w:tabs>
          <w:tab w:val="left" w:pos="1080"/>
        </w:tabs>
        <w:adjustRightInd w:val="0"/>
        <w:snapToGrid w:val="0"/>
        <w:spacing w:line="360" w:lineRule="auto"/>
        <w:rPr>
          <w:rFonts w:hint="eastAsia" w:ascii="宋体" w:hAnsi="宋体" w:eastAsia="宋体" w:cs="宋体"/>
          <w:sz w:val="21"/>
          <w:szCs w:val="21"/>
        </w:rPr>
      </w:pPr>
      <w:r>
        <w:rPr>
          <w:rFonts w:hint="eastAsia" w:ascii="宋体" w:hAnsi="宋体" w:eastAsia="宋体" w:cs="宋体"/>
          <w:sz w:val="21"/>
          <w:szCs w:val="21"/>
        </w:rPr>
        <w:t>投标文件符合招标文件中规定废标的其它技术条款。</w:t>
      </w:r>
    </w:p>
    <w:p w14:paraId="0D3C9B37">
      <w:pPr>
        <w:pStyle w:val="28"/>
        <w:numPr>
          <w:ilvl w:val="0"/>
          <w:numId w:val="17"/>
        </w:numPr>
        <w:ind w:left="0" w:firstLine="482"/>
        <w:rPr>
          <w:rFonts w:hint="eastAsia" w:ascii="宋体" w:hAnsi="宋体" w:eastAsia="宋体" w:cs="宋体"/>
          <w:b w:val="0"/>
          <w:bCs/>
          <w:sz w:val="21"/>
          <w:szCs w:val="21"/>
        </w:rPr>
      </w:pPr>
      <w:r>
        <w:rPr>
          <w:rFonts w:hint="eastAsia" w:ascii="宋体" w:hAnsi="宋体" w:eastAsia="宋体" w:cs="宋体"/>
          <w:b w:val="0"/>
          <w:bCs/>
          <w:sz w:val="21"/>
          <w:szCs w:val="21"/>
        </w:rPr>
        <w:t>技术评议合格的单位可以进入商务评议环节，技术评议不合格的单位会面临淘汰，技术评议分数占总分</w:t>
      </w:r>
      <w:r>
        <w:rPr>
          <w:rFonts w:hint="eastAsia" w:cs="宋体"/>
          <w:b w:val="0"/>
          <w:bCs/>
          <w:sz w:val="21"/>
          <w:szCs w:val="21"/>
          <w:highlight w:val="yellow"/>
          <w:lang w:val="en-US" w:eastAsia="zh-CN"/>
        </w:rPr>
        <w:t>30</w:t>
      </w:r>
      <w:r>
        <w:rPr>
          <w:rFonts w:hint="eastAsia" w:ascii="宋体" w:hAnsi="宋体" w:eastAsia="宋体" w:cs="宋体"/>
          <w:b w:val="0"/>
          <w:bCs/>
          <w:sz w:val="21"/>
          <w:szCs w:val="21"/>
          <w:highlight w:val="yellow"/>
        </w:rPr>
        <w:t>%</w:t>
      </w:r>
      <w:r>
        <w:rPr>
          <w:rFonts w:hint="eastAsia" w:ascii="宋体" w:hAnsi="宋体" w:eastAsia="宋体" w:cs="宋体"/>
          <w:b w:val="0"/>
          <w:bCs/>
          <w:sz w:val="21"/>
          <w:szCs w:val="21"/>
        </w:rPr>
        <w:t>。</w:t>
      </w:r>
    </w:p>
    <w:p w14:paraId="422F8908">
      <w:pPr>
        <w:pStyle w:val="28"/>
        <w:numPr>
          <w:ilvl w:val="0"/>
          <w:numId w:val="17"/>
        </w:numPr>
        <w:ind w:left="0" w:firstLine="480"/>
        <w:rPr>
          <w:rFonts w:hint="eastAsia" w:ascii="宋体" w:hAnsi="宋体" w:eastAsia="宋体" w:cs="宋体"/>
          <w:b w:val="0"/>
          <w:bCs/>
          <w:sz w:val="21"/>
          <w:szCs w:val="21"/>
        </w:rPr>
      </w:pPr>
      <w:r>
        <w:rPr>
          <w:rFonts w:hint="eastAsia" w:ascii="宋体" w:hAnsi="宋体" w:eastAsia="宋体" w:cs="宋体"/>
          <w:b w:val="0"/>
          <w:bCs/>
          <w:sz w:val="21"/>
          <w:szCs w:val="21"/>
        </w:rPr>
        <w:t>商务评议：公开唱标→商务条款相应确认→</w:t>
      </w:r>
      <w:r>
        <w:rPr>
          <w:rFonts w:hint="eastAsia" w:ascii="宋体" w:hAnsi="宋体" w:eastAsia="宋体" w:cs="宋体"/>
          <w:b w:val="0"/>
          <w:bCs/>
          <w:sz w:val="21"/>
          <w:szCs w:val="21"/>
          <w:lang w:val="en-US" w:eastAsia="zh-CN"/>
        </w:rPr>
        <w:t>两级</w:t>
      </w:r>
      <w:r>
        <w:rPr>
          <w:rFonts w:hint="eastAsia" w:ascii="宋体" w:hAnsi="宋体" w:eastAsia="宋体" w:cs="宋体"/>
          <w:b w:val="0"/>
          <w:bCs/>
          <w:sz w:val="21"/>
          <w:szCs w:val="21"/>
        </w:rPr>
        <w:t>商谈评议</w:t>
      </w:r>
      <w:r>
        <w:rPr>
          <w:rFonts w:hint="eastAsia" w:cs="宋体"/>
          <w:b w:val="0"/>
          <w:bCs/>
          <w:sz w:val="21"/>
          <w:szCs w:val="21"/>
          <w:lang w:eastAsia="zh-CN"/>
        </w:rPr>
        <w:t>，</w:t>
      </w:r>
      <w:r>
        <w:rPr>
          <w:rFonts w:hint="eastAsia" w:ascii="宋体" w:hAnsi="宋体" w:eastAsia="宋体" w:cs="宋体"/>
          <w:b w:val="0"/>
          <w:bCs/>
          <w:color w:val="000000"/>
          <w:kern w:val="2"/>
          <w:sz w:val="21"/>
          <w:szCs w:val="21"/>
          <w:highlight w:val="yellow"/>
          <w:lang w:val="en-US" w:eastAsia="zh-CN" w:bidi="ar-SA"/>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评标模式推荐中标人，对未入围候选中标人不做任何解释。</w:t>
      </w:r>
    </w:p>
    <w:p w14:paraId="61D79598">
      <w:pPr>
        <w:pStyle w:val="62"/>
        <w:keepNext w:val="0"/>
        <w:keepLines w:val="0"/>
        <w:pageBreakBefore w:val="0"/>
        <w:widowControl w:val="0"/>
        <w:numPr>
          <w:ilvl w:val="0"/>
          <w:numId w:val="1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sz w:val="21"/>
          <w:szCs w:val="21"/>
        </w:rPr>
      </w:pPr>
      <w:r>
        <w:rPr>
          <w:rFonts w:hint="eastAsia"/>
        </w:rPr>
        <w:t>注意：所有参与现场投标的投标人，需要自带笔记本电脑在</w:t>
      </w:r>
      <w:r>
        <w:rPr>
          <w:rFonts w:hint="eastAsia"/>
          <w:lang w:eastAsia="zh-CN"/>
        </w:rPr>
        <w:t>“</w:t>
      </w:r>
      <w:r>
        <w:rPr>
          <w:rFonts w:hint="eastAsia"/>
        </w:rPr>
        <w:t>重汽e采通</w:t>
      </w:r>
      <w:r>
        <w:rPr>
          <w:rFonts w:hint="eastAsia"/>
          <w:lang w:eastAsia="zh-CN"/>
        </w:rPr>
        <w:t>”</w:t>
      </w:r>
      <w:r>
        <w:rPr>
          <w:rFonts w:hint="eastAsia"/>
        </w:rPr>
        <w:t>进行自主投标和提交澄清函；投标和提交澄清函均有时间限制，超时未提交的按无效处理。</w:t>
      </w:r>
    </w:p>
    <w:p w14:paraId="2D1A4336">
      <w:pPr>
        <w:pStyle w:val="28"/>
        <w:numPr>
          <w:ilvl w:val="0"/>
          <w:numId w:val="17"/>
        </w:numPr>
        <w:ind w:firstLineChars="0"/>
        <w:rPr>
          <w:rFonts w:hint="eastAsia" w:ascii="宋体" w:hAnsi="宋体" w:eastAsia="宋体" w:cs="宋体"/>
          <w:b w:val="0"/>
          <w:bCs/>
          <w:sz w:val="21"/>
          <w:szCs w:val="21"/>
        </w:rPr>
      </w:pPr>
      <w:r>
        <w:rPr>
          <w:rFonts w:hint="eastAsia" w:ascii="宋体" w:hAnsi="宋体" w:eastAsia="宋体" w:cs="宋体"/>
          <w:b w:val="0"/>
          <w:bCs/>
          <w:sz w:val="21"/>
          <w:szCs w:val="21"/>
        </w:rPr>
        <w:t>综合评价：根据技术和商务综合得分，择优推荐中标人</w:t>
      </w:r>
    </w:p>
    <w:p w14:paraId="73CB1B9C">
      <w:pPr>
        <w:spacing w:line="440" w:lineRule="exact"/>
        <w:outlineLvl w:val="4"/>
        <w:rPr>
          <w:rFonts w:hint="eastAsia" w:ascii="宋体" w:hAnsi="宋体" w:cs="宋体"/>
          <w:bCs/>
          <w:color w:val="000000"/>
          <w:sz w:val="21"/>
          <w:szCs w:val="21"/>
        </w:rPr>
      </w:pPr>
      <w:r>
        <w:rPr>
          <w:rFonts w:hint="eastAsia" w:ascii="宋体" w:hAnsi="宋体" w:cs="宋体"/>
          <w:bCs/>
          <w:color w:val="000000"/>
          <w:sz w:val="21"/>
          <w:szCs w:val="21"/>
          <w:lang w:val="en-US" w:eastAsia="zh-CN"/>
        </w:rPr>
        <w:t xml:space="preserve">6.2.3 </w:t>
      </w:r>
      <w:r>
        <w:rPr>
          <w:rFonts w:hint="eastAsia" w:ascii="宋体" w:hAnsi="宋体" w:cs="宋体"/>
          <w:bCs/>
          <w:color w:val="000000"/>
          <w:sz w:val="21"/>
          <w:szCs w:val="21"/>
        </w:rPr>
        <w:t>技术评分标准</w:t>
      </w:r>
    </w:p>
    <w:p w14:paraId="35767E05">
      <w:pPr>
        <w:pStyle w:val="9"/>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Ansi="宋体" w:cs="宋体"/>
          <w:sz w:val="21"/>
          <w:szCs w:val="21"/>
        </w:rPr>
      </w:pPr>
      <w:r>
        <w:rPr>
          <w:rFonts w:hint="eastAsia" w:ascii="Times New Roman" w:hAnsi="Times New Roman" w:eastAsia="宋体"/>
          <w:color w:val="000000"/>
          <w:sz w:val="21"/>
          <w:szCs w:val="21"/>
        </w:rPr>
        <w:t>（</w:t>
      </w:r>
      <w:r>
        <w:rPr>
          <w:rFonts w:hint="eastAsia" w:ascii="Times New Roman" w:hAnsi="Times New Roman"/>
          <w:color w:val="000000"/>
          <w:sz w:val="21"/>
          <w:szCs w:val="21"/>
          <w:lang w:val="en-US" w:eastAsia="zh-CN"/>
        </w:rPr>
        <w:t>1</w:t>
      </w:r>
      <w:r>
        <w:rPr>
          <w:rFonts w:hint="eastAsia" w:ascii="Times New Roman" w:hAnsi="Times New Roman" w:eastAsia="宋体"/>
          <w:color w:val="000000"/>
          <w:sz w:val="21"/>
          <w:szCs w:val="21"/>
        </w:rPr>
        <w:t>）</w:t>
      </w:r>
      <w:r>
        <w:rPr>
          <w:rFonts w:hint="eastAsia" w:ascii="Times New Roman" w:hAnsi="Times New Roman"/>
          <w:color w:val="000000"/>
          <w:sz w:val="21"/>
          <w:szCs w:val="21"/>
        </w:rPr>
        <w:t>评标依据：</w:t>
      </w:r>
      <w:r>
        <w:rPr>
          <w:rFonts w:hint="eastAsia" w:hAnsi="宋体" w:cs="Times New Roman"/>
          <w:b/>
          <w:color w:val="000000"/>
          <w:sz w:val="21"/>
          <w:szCs w:val="21"/>
        </w:rPr>
        <w:t>采用综合评分法，</w:t>
      </w:r>
      <w:r>
        <w:rPr>
          <w:rFonts w:hint="eastAsia" w:hAnsi="宋体" w:cs="Times New Roman"/>
          <w:b/>
          <w:color w:val="000000"/>
          <w:sz w:val="21"/>
          <w:szCs w:val="21"/>
          <w:highlight w:val="yellow"/>
        </w:rPr>
        <w:t>技术标评分占比</w:t>
      </w:r>
      <w:r>
        <w:rPr>
          <w:rFonts w:hint="eastAsia" w:hAnsi="宋体" w:cs="Times New Roman"/>
          <w:b/>
          <w:color w:val="000000"/>
          <w:sz w:val="21"/>
          <w:szCs w:val="21"/>
          <w:highlight w:val="yellow"/>
          <w:lang w:val="en-US" w:eastAsia="zh-CN"/>
        </w:rPr>
        <w:t>30</w:t>
      </w:r>
      <w:r>
        <w:rPr>
          <w:rFonts w:hint="eastAsia" w:hAnsi="宋体" w:cs="Times New Roman"/>
          <w:b/>
          <w:color w:val="000000"/>
          <w:sz w:val="21"/>
          <w:szCs w:val="21"/>
          <w:highlight w:val="yellow"/>
        </w:rPr>
        <w:t>%，商务标评分占比</w:t>
      </w:r>
      <w:r>
        <w:rPr>
          <w:rFonts w:hint="eastAsia" w:hAnsi="宋体" w:cs="Times New Roman"/>
          <w:b/>
          <w:color w:val="000000"/>
          <w:sz w:val="21"/>
          <w:szCs w:val="21"/>
          <w:highlight w:val="yellow"/>
          <w:lang w:val="en-US" w:eastAsia="zh-CN"/>
        </w:rPr>
        <w:t>70</w:t>
      </w:r>
      <w:r>
        <w:rPr>
          <w:rFonts w:hint="eastAsia" w:hAnsi="宋体" w:cs="Times New Roman"/>
          <w:b/>
          <w:color w:val="000000"/>
          <w:sz w:val="21"/>
          <w:szCs w:val="21"/>
          <w:highlight w:val="yellow"/>
        </w:rPr>
        <w:t>%</w:t>
      </w:r>
      <w:r>
        <w:rPr>
          <w:rFonts w:hint="eastAsia" w:ascii="Times New Roman" w:hAnsi="Times New Roman"/>
          <w:color w:val="000000"/>
          <w:sz w:val="21"/>
          <w:szCs w:val="21"/>
        </w:rPr>
        <w:t>。</w:t>
      </w:r>
      <w:r>
        <w:rPr>
          <w:rFonts w:hAnsi="宋体" w:cs="宋体"/>
          <w:sz w:val="21"/>
          <w:szCs w:val="21"/>
        </w:rPr>
        <w:t>所有要求提供相应的佐证材料，若无法提供，视同不满足要求。</w:t>
      </w:r>
    </w:p>
    <w:p w14:paraId="45C2C931">
      <w:pPr>
        <w:keepNext w:val="0"/>
        <w:keepLines w:val="0"/>
        <w:pageBreakBefore w:val="0"/>
        <w:widowControl w:val="0"/>
        <w:kinsoku/>
        <w:wordWrap/>
        <w:overflowPunct/>
        <w:topLinePunct w:val="0"/>
        <w:autoSpaceDE/>
        <w:autoSpaceDN/>
        <w:bidi w:val="0"/>
        <w:adjustRightInd/>
        <w:snapToGrid/>
        <w:ind w:firstLine="420" w:firstLineChars="200"/>
        <w:textAlignment w:val="auto"/>
        <w:rPr>
          <w:rFonts w:hAnsi="宋体"/>
          <w:b/>
          <w:color w:val="000000"/>
          <w:sz w:val="24"/>
          <w:szCs w:val="24"/>
        </w:rPr>
      </w:pPr>
      <w:r>
        <w:rPr>
          <w:rFonts w:hint="eastAsia" w:ascii="Times New Roman" w:hAnsi="Times New Roman" w:eastAsia="宋体"/>
          <w:color w:val="000000"/>
          <w:sz w:val="21"/>
          <w:szCs w:val="21"/>
        </w:rPr>
        <w:t>（2）</w:t>
      </w:r>
      <w:r>
        <w:rPr>
          <w:rFonts w:ascii="Times New Roman" w:hAnsi="Times New Roman" w:eastAsia="宋体"/>
          <w:color w:val="000000"/>
          <w:sz w:val="21"/>
          <w:szCs w:val="21"/>
        </w:rPr>
        <w:t>技术标评分标准</w:t>
      </w:r>
      <w:r>
        <w:rPr>
          <w:rFonts w:hint="eastAsia" w:ascii="Times New Roman" w:hAnsi="Times New Roman" w:eastAsia="宋体"/>
          <w:color w:val="000000"/>
          <w:sz w:val="21"/>
          <w:szCs w:val="21"/>
        </w:rPr>
        <w:t>：</w:t>
      </w:r>
    </w:p>
    <w:tbl>
      <w:tblPr>
        <w:tblStyle w:val="18"/>
        <w:tblW w:w="95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6712"/>
        <w:gridCol w:w="1186"/>
      </w:tblGrid>
      <w:tr w14:paraId="727B3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1696" w:type="dxa"/>
            <w:vAlign w:val="center"/>
          </w:tcPr>
          <w:p w14:paraId="2248345C">
            <w:pPr>
              <w:tabs>
                <w:tab w:val="left" w:pos="7854"/>
              </w:tabs>
              <w:spacing w:line="300" w:lineRule="exact"/>
              <w:jc w:val="center"/>
              <w:rPr>
                <w:rFonts w:ascii="宋体" w:hAnsi="宋体" w:eastAsia="宋体"/>
                <w:b/>
                <w:color w:val="000000"/>
                <w:sz w:val="21"/>
                <w:szCs w:val="21"/>
              </w:rPr>
            </w:pPr>
            <w:r>
              <w:rPr>
                <w:rFonts w:hint="eastAsia" w:ascii="宋体" w:hAnsi="宋体" w:eastAsia="宋体"/>
                <w:b/>
                <w:color w:val="000000"/>
                <w:sz w:val="21"/>
                <w:szCs w:val="21"/>
              </w:rPr>
              <w:t>评审项目</w:t>
            </w:r>
          </w:p>
        </w:tc>
        <w:tc>
          <w:tcPr>
            <w:tcW w:w="6712" w:type="dxa"/>
            <w:vAlign w:val="center"/>
          </w:tcPr>
          <w:p w14:paraId="58A2F199">
            <w:pPr>
              <w:tabs>
                <w:tab w:val="left" w:pos="7854"/>
              </w:tabs>
              <w:spacing w:line="300" w:lineRule="exact"/>
              <w:jc w:val="center"/>
              <w:rPr>
                <w:rFonts w:ascii="宋体" w:hAnsi="宋体" w:eastAsia="宋体"/>
                <w:b/>
                <w:color w:val="000000"/>
                <w:sz w:val="21"/>
                <w:szCs w:val="21"/>
              </w:rPr>
            </w:pPr>
            <w:r>
              <w:rPr>
                <w:rFonts w:hint="eastAsia" w:ascii="宋体" w:hAnsi="宋体" w:eastAsia="宋体"/>
                <w:b/>
                <w:color w:val="000000"/>
                <w:sz w:val="21"/>
                <w:szCs w:val="21"/>
              </w:rPr>
              <w:t>评定内容</w:t>
            </w:r>
          </w:p>
        </w:tc>
        <w:tc>
          <w:tcPr>
            <w:tcW w:w="1186" w:type="dxa"/>
            <w:vAlign w:val="center"/>
          </w:tcPr>
          <w:p w14:paraId="5EE37F73">
            <w:pPr>
              <w:tabs>
                <w:tab w:val="left" w:pos="7854"/>
              </w:tabs>
              <w:spacing w:line="300" w:lineRule="exact"/>
              <w:jc w:val="center"/>
              <w:rPr>
                <w:rFonts w:ascii="宋体" w:hAnsi="宋体" w:eastAsia="宋体"/>
                <w:b/>
                <w:color w:val="000000"/>
                <w:sz w:val="21"/>
                <w:szCs w:val="21"/>
              </w:rPr>
            </w:pPr>
            <w:r>
              <w:rPr>
                <w:rFonts w:hint="eastAsia" w:ascii="宋体" w:hAnsi="宋体" w:eastAsia="宋体"/>
                <w:b/>
                <w:color w:val="000000"/>
                <w:sz w:val="21"/>
                <w:szCs w:val="21"/>
              </w:rPr>
              <w:t>最大分值（分）</w:t>
            </w:r>
          </w:p>
        </w:tc>
      </w:tr>
      <w:tr w14:paraId="4B98B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1" w:hRule="atLeast"/>
        </w:trPr>
        <w:tc>
          <w:tcPr>
            <w:tcW w:w="1696" w:type="dxa"/>
            <w:vAlign w:val="center"/>
          </w:tcPr>
          <w:p w14:paraId="00E26F77">
            <w:pPr>
              <w:tabs>
                <w:tab w:val="left" w:pos="7854"/>
              </w:tabs>
              <w:spacing w:line="300" w:lineRule="exact"/>
              <w:jc w:val="center"/>
              <w:rPr>
                <w:rFonts w:hint="eastAsia" w:ascii="宋体" w:hAnsi="宋体" w:eastAsia="宋体"/>
                <w:b/>
                <w:color w:val="000000"/>
                <w:sz w:val="21"/>
                <w:szCs w:val="21"/>
              </w:rPr>
            </w:pPr>
            <w:r>
              <w:rPr>
                <w:rFonts w:hint="eastAsia" w:ascii="宋体" w:hAnsi="宋体" w:eastAsia="宋体"/>
                <w:b/>
                <w:color w:val="000000"/>
                <w:sz w:val="21"/>
                <w:szCs w:val="21"/>
              </w:rPr>
              <w:t>功能及</w:t>
            </w:r>
          </w:p>
          <w:p w14:paraId="386A4F20">
            <w:pPr>
              <w:tabs>
                <w:tab w:val="left" w:pos="7854"/>
              </w:tabs>
              <w:spacing w:line="300" w:lineRule="exact"/>
              <w:jc w:val="center"/>
              <w:rPr>
                <w:rFonts w:ascii="宋体" w:hAnsi="宋体" w:eastAsia="宋体"/>
                <w:b/>
                <w:color w:val="000000"/>
                <w:sz w:val="21"/>
                <w:szCs w:val="21"/>
              </w:rPr>
            </w:pPr>
            <w:r>
              <w:rPr>
                <w:rFonts w:hint="eastAsia" w:ascii="宋体" w:hAnsi="宋体" w:eastAsia="宋体"/>
                <w:b/>
                <w:color w:val="000000"/>
                <w:sz w:val="21"/>
                <w:szCs w:val="21"/>
              </w:rPr>
              <w:t>许可时限</w:t>
            </w:r>
          </w:p>
        </w:tc>
        <w:tc>
          <w:tcPr>
            <w:tcW w:w="6712" w:type="dxa"/>
            <w:vAlign w:val="center"/>
          </w:tcPr>
          <w:p w14:paraId="276DB9C6">
            <w:pPr>
              <w:tabs>
                <w:tab w:val="left" w:pos="7854"/>
              </w:tabs>
              <w:spacing w:line="300" w:lineRule="exact"/>
              <w:jc w:val="both"/>
              <w:rPr>
                <w:rFonts w:hint="eastAsia" w:asciiTheme="minorEastAsia" w:hAnsiTheme="minorEastAsia" w:eastAsiaTheme="minorEastAsia"/>
                <w:color w:val="000000"/>
                <w:sz w:val="21"/>
                <w:szCs w:val="21"/>
                <w:lang w:eastAsia="zh-CN"/>
              </w:rPr>
            </w:pPr>
            <w:r>
              <w:rPr>
                <w:rFonts w:hint="eastAsia" w:asciiTheme="minorEastAsia" w:hAnsiTheme="minorEastAsia"/>
                <w:color w:val="000000"/>
                <w:sz w:val="21"/>
                <w:szCs w:val="21"/>
              </w:rPr>
              <w:t>永久许可: ABAQUS求解器（Abaqus/standard和Abaqus/explicit）、其前后处理（Abaqus/CAE）</w:t>
            </w:r>
            <w:r>
              <w:rPr>
                <w:rFonts w:hint="eastAsia" w:asciiTheme="minorEastAsia" w:hAnsiTheme="minorEastAsia"/>
                <w:color w:val="000000"/>
                <w:sz w:val="21"/>
                <w:szCs w:val="21"/>
                <w:lang w:eastAsia="zh-CN"/>
              </w:rPr>
              <w:t>。</w:t>
            </w:r>
          </w:p>
          <w:p w14:paraId="1A10EFA8">
            <w:pPr>
              <w:tabs>
                <w:tab w:val="left" w:pos="7854"/>
              </w:tabs>
              <w:spacing w:line="300" w:lineRule="exact"/>
              <w:rPr>
                <w:b/>
                <w:bCs/>
                <w:sz w:val="21"/>
                <w:szCs w:val="21"/>
              </w:rPr>
            </w:pPr>
            <w:r>
              <w:rPr>
                <w:rFonts w:hint="eastAsia" w:asciiTheme="minorEastAsia" w:hAnsiTheme="minorEastAsia"/>
                <w:b/>
                <w:bCs/>
                <w:color w:val="000000"/>
                <w:sz w:val="21"/>
                <w:szCs w:val="21"/>
              </w:rPr>
              <w:t>此项满足得</w:t>
            </w:r>
            <w:r>
              <w:rPr>
                <w:rFonts w:asciiTheme="minorEastAsia" w:hAnsiTheme="minorEastAsia"/>
                <w:b/>
                <w:bCs/>
                <w:color w:val="000000"/>
                <w:sz w:val="21"/>
                <w:szCs w:val="21"/>
              </w:rPr>
              <w:t>10</w:t>
            </w:r>
            <w:r>
              <w:rPr>
                <w:rFonts w:hint="eastAsia" w:asciiTheme="minorEastAsia" w:hAnsiTheme="minorEastAsia"/>
                <w:b/>
                <w:bCs/>
                <w:color w:val="000000"/>
                <w:sz w:val="21"/>
                <w:szCs w:val="21"/>
              </w:rPr>
              <w:t>分，不满足得0分。</w:t>
            </w:r>
          </w:p>
        </w:tc>
        <w:tc>
          <w:tcPr>
            <w:tcW w:w="1186" w:type="dxa"/>
            <w:vAlign w:val="center"/>
          </w:tcPr>
          <w:p w14:paraId="3526C381">
            <w:pPr>
              <w:tabs>
                <w:tab w:val="left" w:pos="7854"/>
              </w:tabs>
              <w:spacing w:line="300" w:lineRule="exact"/>
              <w:jc w:val="center"/>
              <w:rPr>
                <w:rFonts w:ascii="宋体" w:hAnsi="宋体" w:eastAsia="宋体"/>
                <w:color w:val="000000"/>
                <w:sz w:val="21"/>
                <w:szCs w:val="21"/>
              </w:rPr>
            </w:pPr>
            <w:r>
              <w:rPr>
                <w:rFonts w:ascii="宋体" w:hAnsi="宋体" w:eastAsia="宋体"/>
                <w:color w:val="000000"/>
                <w:sz w:val="21"/>
                <w:szCs w:val="21"/>
              </w:rPr>
              <w:t>10</w:t>
            </w:r>
          </w:p>
        </w:tc>
      </w:tr>
      <w:tr w14:paraId="756BC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1" w:hRule="atLeast"/>
        </w:trPr>
        <w:tc>
          <w:tcPr>
            <w:tcW w:w="1696" w:type="dxa"/>
            <w:vAlign w:val="center"/>
          </w:tcPr>
          <w:p w14:paraId="659137D4">
            <w:pPr>
              <w:tabs>
                <w:tab w:val="left" w:pos="7854"/>
              </w:tabs>
              <w:spacing w:line="300" w:lineRule="exact"/>
              <w:jc w:val="center"/>
              <w:rPr>
                <w:rFonts w:ascii="宋体" w:hAnsi="宋体" w:eastAsia="宋体"/>
                <w:b/>
                <w:color w:val="000000"/>
                <w:sz w:val="21"/>
                <w:szCs w:val="21"/>
              </w:rPr>
            </w:pPr>
            <w:r>
              <w:rPr>
                <w:rFonts w:hint="eastAsia" w:ascii="宋体" w:hAnsi="宋体" w:eastAsia="宋体"/>
                <w:b/>
                <w:color w:val="000000"/>
                <w:sz w:val="21"/>
                <w:szCs w:val="21"/>
              </w:rPr>
              <w:t>算力</w:t>
            </w:r>
          </w:p>
        </w:tc>
        <w:tc>
          <w:tcPr>
            <w:tcW w:w="6712" w:type="dxa"/>
            <w:vAlign w:val="center"/>
          </w:tcPr>
          <w:p w14:paraId="52B89A45">
            <w:pPr>
              <w:tabs>
                <w:tab w:val="left" w:pos="7854"/>
              </w:tabs>
              <w:spacing w:line="300" w:lineRule="exact"/>
              <w:rPr>
                <w:rFonts w:hint="eastAsia" w:asciiTheme="minorEastAsia" w:hAnsiTheme="minorEastAsia" w:eastAsiaTheme="minorEastAsia"/>
                <w:color w:val="auto"/>
                <w:sz w:val="21"/>
                <w:szCs w:val="21"/>
                <w:lang w:eastAsia="zh-CN"/>
              </w:rPr>
            </w:pPr>
            <w:r>
              <w:rPr>
                <w:rFonts w:hint="eastAsia" w:asciiTheme="minorEastAsia" w:hAnsiTheme="minorEastAsia"/>
                <w:color w:val="auto"/>
                <w:sz w:val="21"/>
                <w:szCs w:val="21"/>
              </w:rPr>
              <w:t>1)</w:t>
            </w:r>
            <w:r>
              <w:rPr>
                <w:rFonts w:hint="eastAsia" w:asciiTheme="minorEastAsia" w:hAnsiTheme="minorEastAsia"/>
                <w:color w:val="auto"/>
                <w:sz w:val="21"/>
                <w:szCs w:val="21"/>
                <w:lang w:val="en-US" w:eastAsia="zh-CN"/>
              </w:rPr>
              <w:t xml:space="preserve"> </w:t>
            </w:r>
            <w:r>
              <w:rPr>
                <w:rFonts w:hint="eastAsia" w:asciiTheme="minorEastAsia" w:hAnsiTheme="minorEastAsia"/>
                <w:color w:val="auto"/>
                <w:sz w:val="21"/>
                <w:szCs w:val="21"/>
              </w:rPr>
              <w:t>2个QAX（一个现有模块升级，一个新购）</w:t>
            </w:r>
            <w:r>
              <w:rPr>
                <w:rFonts w:hint="eastAsia" w:asciiTheme="minorEastAsia" w:hAnsiTheme="minorEastAsia"/>
                <w:color w:val="auto"/>
                <w:sz w:val="21"/>
                <w:szCs w:val="21"/>
                <w:lang w:eastAsia="zh-CN"/>
              </w:rPr>
              <w:t>；</w:t>
            </w:r>
          </w:p>
          <w:p w14:paraId="60444C28">
            <w:pPr>
              <w:tabs>
                <w:tab w:val="left" w:pos="7854"/>
              </w:tabs>
              <w:spacing w:line="300" w:lineRule="exact"/>
              <w:rPr>
                <w:rFonts w:hint="eastAsia" w:asciiTheme="minorEastAsia" w:hAnsiTheme="minorEastAsia" w:eastAsiaTheme="minorEastAsia"/>
                <w:color w:val="auto"/>
                <w:sz w:val="21"/>
                <w:szCs w:val="21"/>
                <w:lang w:eastAsia="zh-CN"/>
              </w:rPr>
            </w:pPr>
            <w:r>
              <w:rPr>
                <w:rFonts w:hint="eastAsia" w:asciiTheme="minorEastAsia" w:hAnsiTheme="minorEastAsia"/>
                <w:color w:val="auto"/>
                <w:sz w:val="21"/>
                <w:szCs w:val="21"/>
              </w:rPr>
              <w:t>2)</w:t>
            </w:r>
            <w:r>
              <w:rPr>
                <w:rFonts w:hint="eastAsia" w:asciiTheme="minorEastAsia" w:hAnsiTheme="minorEastAsia"/>
                <w:color w:val="auto"/>
                <w:sz w:val="21"/>
                <w:szCs w:val="21"/>
                <w:lang w:val="en-US" w:eastAsia="zh-CN"/>
              </w:rPr>
              <w:t xml:space="preserve"> </w:t>
            </w:r>
            <w:r>
              <w:rPr>
                <w:rFonts w:hint="eastAsia" w:asciiTheme="minorEastAsia" w:hAnsiTheme="minorEastAsia"/>
                <w:color w:val="auto"/>
                <w:sz w:val="21"/>
                <w:szCs w:val="21"/>
              </w:rPr>
              <w:t>22个QXT（22个现有模块升级token）</w:t>
            </w:r>
            <w:r>
              <w:rPr>
                <w:rFonts w:hint="eastAsia" w:asciiTheme="minorEastAsia" w:hAnsiTheme="minorEastAsia"/>
                <w:color w:val="auto"/>
                <w:sz w:val="21"/>
                <w:szCs w:val="21"/>
                <w:lang w:eastAsia="zh-CN"/>
              </w:rPr>
              <w:t>。</w:t>
            </w:r>
          </w:p>
          <w:p w14:paraId="41160BC8">
            <w:pPr>
              <w:pStyle w:val="9"/>
              <w:rPr>
                <w:b/>
                <w:bCs/>
                <w:sz w:val="21"/>
                <w:szCs w:val="21"/>
              </w:rPr>
            </w:pPr>
            <w:r>
              <w:rPr>
                <w:rFonts w:hint="eastAsia" w:asciiTheme="minorEastAsia" w:hAnsiTheme="minorEastAsia"/>
                <w:b/>
                <w:bCs/>
                <w:color w:val="auto"/>
                <w:sz w:val="21"/>
                <w:szCs w:val="21"/>
              </w:rPr>
              <w:t>此两项都满足得</w:t>
            </w:r>
            <w:r>
              <w:rPr>
                <w:rFonts w:asciiTheme="minorEastAsia" w:hAnsiTheme="minorEastAsia"/>
                <w:b/>
                <w:bCs/>
                <w:color w:val="auto"/>
                <w:sz w:val="21"/>
                <w:szCs w:val="21"/>
              </w:rPr>
              <w:t>10</w:t>
            </w:r>
            <w:r>
              <w:rPr>
                <w:rFonts w:hint="eastAsia" w:asciiTheme="minorEastAsia" w:hAnsiTheme="minorEastAsia"/>
                <w:b/>
                <w:bCs/>
                <w:color w:val="auto"/>
                <w:sz w:val="21"/>
                <w:szCs w:val="21"/>
              </w:rPr>
              <w:t>分，任一项不满足得0分。</w:t>
            </w:r>
          </w:p>
        </w:tc>
        <w:tc>
          <w:tcPr>
            <w:tcW w:w="1186" w:type="dxa"/>
            <w:vAlign w:val="center"/>
          </w:tcPr>
          <w:p w14:paraId="736C42AF">
            <w:pPr>
              <w:tabs>
                <w:tab w:val="left" w:pos="7854"/>
              </w:tabs>
              <w:spacing w:line="300" w:lineRule="exact"/>
              <w:jc w:val="center"/>
              <w:rPr>
                <w:rFonts w:ascii="宋体" w:hAnsi="宋体" w:eastAsia="宋体"/>
                <w:color w:val="000000"/>
                <w:sz w:val="21"/>
                <w:szCs w:val="21"/>
              </w:rPr>
            </w:pPr>
            <w:r>
              <w:rPr>
                <w:rFonts w:hint="eastAsia" w:ascii="宋体" w:hAnsi="宋体" w:eastAsia="宋体"/>
                <w:color w:val="000000"/>
                <w:sz w:val="21"/>
                <w:szCs w:val="21"/>
              </w:rPr>
              <w:t>1</w:t>
            </w:r>
            <w:r>
              <w:rPr>
                <w:rFonts w:ascii="宋体" w:hAnsi="宋体" w:eastAsia="宋体"/>
                <w:color w:val="000000"/>
                <w:sz w:val="21"/>
                <w:szCs w:val="21"/>
              </w:rPr>
              <w:t>0</w:t>
            </w:r>
          </w:p>
        </w:tc>
      </w:tr>
      <w:tr w14:paraId="664DE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1" w:hRule="atLeast"/>
        </w:trPr>
        <w:tc>
          <w:tcPr>
            <w:tcW w:w="1696" w:type="dxa"/>
            <w:vAlign w:val="center"/>
          </w:tcPr>
          <w:p w14:paraId="7F9AD52D">
            <w:pPr>
              <w:tabs>
                <w:tab w:val="left" w:pos="7854"/>
              </w:tabs>
              <w:spacing w:line="300" w:lineRule="exact"/>
              <w:jc w:val="center"/>
              <w:rPr>
                <w:rFonts w:ascii="宋体" w:hAnsi="宋体" w:eastAsia="宋体"/>
                <w:b/>
                <w:color w:val="000000"/>
                <w:sz w:val="21"/>
                <w:szCs w:val="21"/>
              </w:rPr>
            </w:pPr>
            <w:r>
              <w:rPr>
                <w:rFonts w:hint="eastAsia" w:ascii="宋体" w:hAnsi="宋体" w:eastAsia="宋体"/>
                <w:b/>
                <w:color w:val="000000"/>
                <w:sz w:val="21"/>
                <w:szCs w:val="21"/>
              </w:rPr>
              <w:t>版本</w:t>
            </w:r>
          </w:p>
        </w:tc>
        <w:tc>
          <w:tcPr>
            <w:tcW w:w="6712" w:type="dxa"/>
            <w:vAlign w:val="center"/>
          </w:tcPr>
          <w:p w14:paraId="0242F78C">
            <w:pPr>
              <w:tabs>
                <w:tab w:val="left" w:pos="7854"/>
              </w:tabs>
              <w:spacing w:line="300" w:lineRule="exact"/>
              <w:rPr>
                <w:rFonts w:hint="eastAsia" w:asciiTheme="minorEastAsia" w:hAnsiTheme="minorEastAsia" w:eastAsiaTheme="minorEastAsia"/>
                <w:color w:val="auto"/>
                <w:sz w:val="21"/>
                <w:szCs w:val="21"/>
                <w:lang w:eastAsia="zh-CN"/>
              </w:rPr>
            </w:pPr>
            <w:r>
              <w:rPr>
                <w:rFonts w:hint="eastAsia" w:asciiTheme="minorEastAsia" w:hAnsiTheme="minorEastAsia"/>
                <w:color w:val="auto"/>
                <w:sz w:val="21"/>
                <w:szCs w:val="21"/>
              </w:rPr>
              <w:t>提供</w:t>
            </w:r>
            <w:r>
              <w:rPr>
                <w:rFonts w:hint="eastAsia" w:asciiTheme="minorEastAsia" w:hAnsiTheme="minorEastAsia"/>
                <w:color w:val="auto"/>
                <w:sz w:val="21"/>
                <w:szCs w:val="21"/>
                <w:lang w:val="en-US" w:eastAsia="zh-CN"/>
              </w:rPr>
              <w:t>软件</w:t>
            </w:r>
            <w:r>
              <w:rPr>
                <w:rFonts w:hint="eastAsia" w:asciiTheme="minorEastAsia" w:hAnsiTheme="minorEastAsia"/>
                <w:color w:val="auto"/>
                <w:sz w:val="21"/>
                <w:szCs w:val="21"/>
              </w:rPr>
              <w:t>最新版本</w:t>
            </w:r>
            <w:r>
              <w:rPr>
                <w:rFonts w:hint="eastAsia" w:asciiTheme="minorEastAsia" w:hAnsiTheme="minorEastAsia"/>
                <w:color w:val="auto"/>
                <w:sz w:val="21"/>
                <w:szCs w:val="21"/>
                <w:lang w:eastAsia="zh-CN"/>
              </w:rPr>
              <w:t>。</w:t>
            </w:r>
          </w:p>
          <w:p w14:paraId="04BFD410">
            <w:pPr>
              <w:pStyle w:val="9"/>
              <w:rPr>
                <w:b/>
                <w:bCs/>
                <w:sz w:val="21"/>
                <w:szCs w:val="21"/>
              </w:rPr>
            </w:pPr>
            <w:r>
              <w:rPr>
                <w:rFonts w:hint="eastAsia" w:asciiTheme="minorEastAsia" w:hAnsiTheme="minorEastAsia"/>
                <w:b/>
                <w:bCs/>
                <w:color w:val="auto"/>
                <w:sz w:val="21"/>
                <w:szCs w:val="21"/>
                <w:lang w:val="en-US" w:eastAsia="zh-CN"/>
              </w:rPr>
              <w:t>此</w:t>
            </w:r>
            <w:r>
              <w:rPr>
                <w:rFonts w:hint="eastAsia" w:asciiTheme="minorEastAsia" w:hAnsiTheme="minorEastAsia"/>
                <w:b/>
                <w:bCs/>
                <w:color w:val="auto"/>
                <w:sz w:val="21"/>
                <w:szCs w:val="21"/>
              </w:rPr>
              <w:t>项满足得</w:t>
            </w:r>
            <w:r>
              <w:rPr>
                <w:rFonts w:asciiTheme="minorEastAsia" w:hAnsiTheme="minorEastAsia"/>
                <w:b/>
                <w:bCs/>
                <w:color w:val="auto"/>
                <w:sz w:val="21"/>
                <w:szCs w:val="21"/>
              </w:rPr>
              <w:t>10</w:t>
            </w:r>
            <w:r>
              <w:rPr>
                <w:rFonts w:hint="eastAsia" w:asciiTheme="minorEastAsia" w:hAnsiTheme="minorEastAsia"/>
                <w:b/>
                <w:bCs/>
                <w:color w:val="auto"/>
                <w:sz w:val="21"/>
                <w:szCs w:val="21"/>
              </w:rPr>
              <w:t>分，不满足得0分。</w:t>
            </w:r>
          </w:p>
        </w:tc>
        <w:tc>
          <w:tcPr>
            <w:tcW w:w="1186" w:type="dxa"/>
            <w:vAlign w:val="center"/>
          </w:tcPr>
          <w:p w14:paraId="39090854">
            <w:pPr>
              <w:tabs>
                <w:tab w:val="left" w:pos="7854"/>
              </w:tabs>
              <w:spacing w:line="300" w:lineRule="exact"/>
              <w:jc w:val="center"/>
              <w:rPr>
                <w:rFonts w:ascii="宋体" w:hAnsi="宋体" w:eastAsia="宋体"/>
                <w:color w:val="000000"/>
                <w:sz w:val="21"/>
                <w:szCs w:val="21"/>
              </w:rPr>
            </w:pPr>
            <w:r>
              <w:rPr>
                <w:rFonts w:hint="eastAsia" w:ascii="宋体" w:hAnsi="宋体" w:eastAsia="宋体"/>
                <w:color w:val="000000"/>
                <w:sz w:val="21"/>
                <w:szCs w:val="21"/>
              </w:rPr>
              <w:t>1</w:t>
            </w:r>
            <w:r>
              <w:rPr>
                <w:rFonts w:ascii="宋体" w:hAnsi="宋体" w:eastAsia="宋体"/>
                <w:color w:val="000000"/>
                <w:sz w:val="21"/>
                <w:szCs w:val="21"/>
              </w:rPr>
              <w:t>0</w:t>
            </w:r>
          </w:p>
        </w:tc>
      </w:tr>
      <w:tr w14:paraId="699C3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1" w:hRule="atLeast"/>
        </w:trPr>
        <w:tc>
          <w:tcPr>
            <w:tcW w:w="1696" w:type="dxa"/>
            <w:vAlign w:val="center"/>
          </w:tcPr>
          <w:p w14:paraId="050E723E">
            <w:pPr>
              <w:tabs>
                <w:tab w:val="left" w:pos="7854"/>
              </w:tabs>
              <w:spacing w:line="300" w:lineRule="exact"/>
              <w:jc w:val="center"/>
              <w:rPr>
                <w:rFonts w:ascii="宋体" w:hAnsi="宋体" w:eastAsia="宋体"/>
                <w:b/>
                <w:color w:val="000000"/>
                <w:sz w:val="21"/>
                <w:szCs w:val="21"/>
              </w:rPr>
            </w:pPr>
            <w:r>
              <w:rPr>
                <w:rFonts w:hint="eastAsia" w:ascii="宋体" w:hAnsi="宋体" w:eastAsia="宋体"/>
                <w:b/>
                <w:color w:val="000000"/>
                <w:sz w:val="21"/>
                <w:szCs w:val="21"/>
              </w:rPr>
              <w:t>交付</w:t>
            </w:r>
          </w:p>
        </w:tc>
        <w:tc>
          <w:tcPr>
            <w:tcW w:w="6712" w:type="dxa"/>
            <w:vAlign w:val="center"/>
          </w:tcPr>
          <w:p w14:paraId="4511869C">
            <w:pPr>
              <w:tabs>
                <w:tab w:val="left" w:pos="7854"/>
              </w:tabs>
              <w:spacing w:line="300" w:lineRule="exact"/>
              <w:rPr>
                <w:rFonts w:asciiTheme="minorEastAsia" w:hAnsiTheme="minorEastAsia"/>
                <w:color w:val="000000"/>
                <w:sz w:val="21"/>
                <w:szCs w:val="21"/>
              </w:rPr>
            </w:pPr>
            <w:r>
              <w:rPr>
                <w:rFonts w:hint="eastAsia" w:asciiTheme="minorEastAsia" w:hAnsiTheme="minorEastAsia"/>
                <w:color w:val="000000"/>
                <w:sz w:val="21"/>
                <w:szCs w:val="21"/>
              </w:rPr>
              <w:t>合同生效日起，30个日历日之内以邮件方式将软件永久许可发送给联系人，并配合进行许可替换等相关工作。</w:t>
            </w:r>
          </w:p>
          <w:p w14:paraId="773E841B">
            <w:pPr>
              <w:pStyle w:val="9"/>
              <w:rPr>
                <w:b/>
                <w:bCs/>
                <w:sz w:val="21"/>
                <w:szCs w:val="21"/>
              </w:rPr>
            </w:pPr>
            <w:r>
              <w:rPr>
                <w:rFonts w:hint="eastAsia" w:asciiTheme="minorEastAsia" w:hAnsiTheme="minorEastAsia"/>
                <w:b/>
                <w:bCs/>
                <w:color w:val="000000"/>
                <w:sz w:val="21"/>
                <w:szCs w:val="21"/>
              </w:rPr>
              <w:t>此项满足得</w:t>
            </w:r>
            <w:r>
              <w:rPr>
                <w:rFonts w:asciiTheme="minorEastAsia" w:hAnsiTheme="minorEastAsia"/>
                <w:b/>
                <w:bCs/>
                <w:color w:val="000000"/>
                <w:sz w:val="21"/>
                <w:szCs w:val="21"/>
              </w:rPr>
              <w:t>10</w:t>
            </w:r>
            <w:r>
              <w:rPr>
                <w:rFonts w:hint="eastAsia" w:asciiTheme="minorEastAsia" w:hAnsiTheme="minorEastAsia"/>
                <w:b/>
                <w:bCs/>
                <w:color w:val="000000"/>
                <w:sz w:val="21"/>
                <w:szCs w:val="21"/>
              </w:rPr>
              <w:t>分，不满足得0分。</w:t>
            </w:r>
          </w:p>
        </w:tc>
        <w:tc>
          <w:tcPr>
            <w:tcW w:w="1186" w:type="dxa"/>
            <w:vAlign w:val="center"/>
          </w:tcPr>
          <w:p w14:paraId="6952DA68">
            <w:pPr>
              <w:tabs>
                <w:tab w:val="left" w:pos="7854"/>
              </w:tabs>
              <w:spacing w:line="300" w:lineRule="exact"/>
              <w:jc w:val="center"/>
              <w:rPr>
                <w:rFonts w:ascii="宋体" w:hAnsi="宋体" w:eastAsia="宋体"/>
                <w:color w:val="000000"/>
                <w:sz w:val="21"/>
                <w:szCs w:val="21"/>
              </w:rPr>
            </w:pPr>
            <w:r>
              <w:rPr>
                <w:rFonts w:hint="eastAsia" w:ascii="宋体" w:hAnsi="宋体" w:eastAsia="宋体"/>
                <w:color w:val="000000"/>
                <w:sz w:val="21"/>
                <w:szCs w:val="21"/>
              </w:rPr>
              <w:t>1</w:t>
            </w:r>
            <w:r>
              <w:rPr>
                <w:rFonts w:ascii="宋体" w:hAnsi="宋体" w:eastAsia="宋体"/>
                <w:color w:val="000000"/>
                <w:sz w:val="21"/>
                <w:szCs w:val="21"/>
              </w:rPr>
              <w:t>0</w:t>
            </w:r>
          </w:p>
        </w:tc>
      </w:tr>
      <w:tr w14:paraId="5BF10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1" w:hRule="atLeast"/>
        </w:trPr>
        <w:tc>
          <w:tcPr>
            <w:tcW w:w="1696" w:type="dxa"/>
            <w:vAlign w:val="center"/>
          </w:tcPr>
          <w:p w14:paraId="79A87446">
            <w:pPr>
              <w:tabs>
                <w:tab w:val="left" w:pos="7854"/>
              </w:tabs>
              <w:spacing w:line="300" w:lineRule="exact"/>
              <w:jc w:val="center"/>
              <w:rPr>
                <w:rFonts w:ascii="宋体" w:hAnsi="宋体" w:eastAsia="宋体"/>
                <w:b/>
                <w:color w:val="000000"/>
                <w:sz w:val="21"/>
                <w:szCs w:val="21"/>
              </w:rPr>
            </w:pPr>
            <w:r>
              <w:rPr>
                <w:rFonts w:hint="eastAsia" w:ascii="宋体" w:hAnsi="宋体" w:eastAsia="宋体"/>
                <w:b/>
                <w:color w:val="000000"/>
                <w:sz w:val="21"/>
                <w:szCs w:val="21"/>
              </w:rPr>
              <w:t>软件维护</w:t>
            </w:r>
          </w:p>
        </w:tc>
        <w:tc>
          <w:tcPr>
            <w:tcW w:w="6712" w:type="dxa"/>
            <w:vAlign w:val="center"/>
          </w:tcPr>
          <w:p w14:paraId="682BD516">
            <w:pPr>
              <w:tabs>
                <w:tab w:val="left" w:pos="7854"/>
              </w:tabs>
              <w:spacing w:line="300" w:lineRule="exact"/>
              <w:rPr>
                <w:rFonts w:hint="eastAsia" w:asciiTheme="minorEastAsia" w:hAnsiTheme="minorEastAsia"/>
                <w:color w:val="FF0000"/>
                <w:sz w:val="21"/>
                <w:szCs w:val="21"/>
              </w:rPr>
            </w:pPr>
            <w:r>
              <w:rPr>
                <w:rFonts w:hint="eastAsia" w:asciiTheme="minorEastAsia" w:hAnsiTheme="minorEastAsia"/>
                <w:color w:val="000000"/>
                <w:sz w:val="21"/>
                <w:szCs w:val="21"/>
              </w:rPr>
              <w:t>一年</w:t>
            </w:r>
            <w:r>
              <w:rPr>
                <w:rFonts w:hint="eastAsia" w:asciiTheme="minorEastAsia" w:hAnsiTheme="minorEastAsia"/>
                <w:color w:val="000000" w:themeColor="text1"/>
                <w:sz w:val="21"/>
                <w:szCs w:val="21"/>
                <w14:textFill>
                  <w14:solidFill>
                    <w14:schemeClr w14:val="tx1"/>
                  </w14:solidFill>
                </w14:textFill>
              </w:rPr>
              <w:t>内软件可免费升级最新版本</w:t>
            </w:r>
            <w:r>
              <w:rPr>
                <w:rFonts w:hint="eastAsia" w:asciiTheme="minorEastAsia" w:hAnsiTheme="minorEastAsia"/>
                <w:color w:val="000000" w:themeColor="text1"/>
                <w:sz w:val="21"/>
                <w:szCs w:val="21"/>
                <w:lang w:eastAsia="zh-CN"/>
                <w14:textFill>
                  <w14:solidFill>
                    <w14:schemeClr w14:val="tx1"/>
                  </w14:solidFill>
                </w14:textFill>
              </w:rPr>
              <w:t>。</w:t>
            </w:r>
          </w:p>
          <w:p w14:paraId="5D413505">
            <w:pPr>
              <w:pStyle w:val="9"/>
              <w:rPr>
                <w:b/>
                <w:bCs/>
                <w:sz w:val="21"/>
                <w:szCs w:val="21"/>
              </w:rPr>
            </w:pPr>
            <w:r>
              <w:rPr>
                <w:rFonts w:hint="eastAsia" w:asciiTheme="minorEastAsia" w:hAnsiTheme="minorEastAsia"/>
                <w:b/>
                <w:bCs/>
                <w:color w:val="000000"/>
                <w:sz w:val="21"/>
                <w:szCs w:val="21"/>
              </w:rPr>
              <w:t>此项满足得</w:t>
            </w:r>
            <w:r>
              <w:rPr>
                <w:rFonts w:hint="eastAsia" w:asciiTheme="minorEastAsia" w:hAnsiTheme="minorEastAsia"/>
                <w:b/>
                <w:bCs/>
                <w:color w:val="000000"/>
                <w:sz w:val="21"/>
                <w:szCs w:val="21"/>
                <w:lang w:val="en-US" w:eastAsia="zh-CN"/>
              </w:rPr>
              <w:t>2</w:t>
            </w:r>
            <w:r>
              <w:rPr>
                <w:rFonts w:asciiTheme="minorEastAsia" w:hAnsiTheme="minorEastAsia"/>
                <w:b/>
                <w:bCs/>
                <w:color w:val="000000"/>
                <w:sz w:val="21"/>
                <w:szCs w:val="21"/>
              </w:rPr>
              <w:t>0</w:t>
            </w:r>
            <w:r>
              <w:rPr>
                <w:rFonts w:hint="eastAsia" w:asciiTheme="minorEastAsia" w:hAnsiTheme="minorEastAsia"/>
                <w:b/>
                <w:bCs/>
                <w:color w:val="000000"/>
                <w:sz w:val="21"/>
                <w:szCs w:val="21"/>
              </w:rPr>
              <w:t>分，不满足得0分。</w:t>
            </w:r>
          </w:p>
        </w:tc>
        <w:tc>
          <w:tcPr>
            <w:tcW w:w="1186" w:type="dxa"/>
            <w:vAlign w:val="center"/>
          </w:tcPr>
          <w:p w14:paraId="7CB9E327">
            <w:pPr>
              <w:tabs>
                <w:tab w:val="left" w:pos="7854"/>
              </w:tabs>
              <w:spacing w:line="300" w:lineRule="exact"/>
              <w:jc w:val="center"/>
              <w:rPr>
                <w:rFonts w:ascii="宋体" w:hAnsi="宋体" w:eastAsia="宋体"/>
                <w:color w:val="000000"/>
                <w:sz w:val="21"/>
                <w:szCs w:val="21"/>
              </w:rPr>
            </w:pPr>
            <w:r>
              <w:rPr>
                <w:rFonts w:hint="eastAsia" w:ascii="宋体" w:hAnsi="宋体" w:eastAsia="宋体"/>
                <w:color w:val="000000"/>
                <w:sz w:val="21"/>
                <w:szCs w:val="21"/>
                <w:lang w:val="en-US" w:eastAsia="zh-CN"/>
              </w:rPr>
              <w:t>2</w:t>
            </w:r>
            <w:r>
              <w:rPr>
                <w:rFonts w:ascii="宋体" w:hAnsi="宋体" w:eastAsia="宋体"/>
                <w:color w:val="000000"/>
                <w:sz w:val="21"/>
                <w:szCs w:val="21"/>
              </w:rPr>
              <w:t>0</w:t>
            </w:r>
          </w:p>
        </w:tc>
      </w:tr>
      <w:tr w14:paraId="6CFE1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1" w:hRule="atLeast"/>
        </w:trPr>
        <w:tc>
          <w:tcPr>
            <w:tcW w:w="1696" w:type="dxa"/>
            <w:vAlign w:val="center"/>
          </w:tcPr>
          <w:p w14:paraId="2B3C1883">
            <w:pPr>
              <w:tabs>
                <w:tab w:val="left" w:pos="7854"/>
              </w:tabs>
              <w:spacing w:line="300" w:lineRule="exact"/>
              <w:jc w:val="center"/>
              <w:rPr>
                <w:rFonts w:ascii="宋体" w:hAnsi="宋体" w:eastAsia="宋体"/>
                <w:b/>
                <w:color w:val="000000"/>
                <w:sz w:val="21"/>
                <w:szCs w:val="21"/>
              </w:rPr>
            </w:pPr>
            <w:r>
              <w:rPr>
                <w:rFonts w:hint="eastAsia" w:ascii="宋体" w:hAnsi="宋体" w:eastAsia="宋体"/>
                <w:b/>
                <w:color w:val="000000"/>
                <w:sz w:val="21"/>
                <w:szCs w:val="21"/>
              </w:rPr>
              <w:t>技术支持</w:t>
            </w:r>
          </w:p>
        </w:tc>
        <w:tc>
          <w:tcPr>
            <w:tcW w:w="6712" w:type="dxa"/>
            <w:vAlign w:val="center"/>
          </w:tcPr>
          <w:p w14:paraId="384D42AA">
            <w:pPr>
              <w:tabs>
                <w:tab w:val="left" w:pos="7854"/>
              </w:tabs>
              <w:spacing w:line="300" w:lineRule="exact"/>
              <w:rPr>
                <w:rFonts w:asciiTheme="minorEastAsia" w:hAnsiTheme="minorEastAsia"/>
                <w:color w:val="auto"/>
                <w:sz w:val="21"/>
                <w:szCs w:val="21"/>
              </w:rPr>
            </w:pPr>
            <w:r>
              <w:rPr>
                <w:rFonts w:hint="eastAsia" w:asciiTheme="minorEastAsia" w:hAnsiTheme="minorEastAsia"/>
                <w:color w:val="auto"/>
                <w:sz w:val="21"/>
                <w:szCs w:val="21"/>
              </w:rPr>
              <w:t>一年内，针对软件使用过程中的问题，提供免费答疑。</w:t>
            </w:r>
          </w:p>
          <w:p w14:paraId="3E332A58">
            <w:pPr>
              <w:pStyle w:val="9"/>
              <w:rPr>
                <w:b/>
                <w:bCs/>
                <w:sz w:val="21"/>
                <w:szCs w:val="21"/>
              </w:rPr>
            </w:pPr>
            <w:r>
              <w:rPr>
                <w:rFonts w:hint="eastAsia" w:asciiTheme="minorEastAsia" w:hAnsiTheme="minorEastAsia"/>
                <w:b/>
                <w:bCs/>
                <w:color w:val="000000"/>
                <w:sz w:val="21"/>
                <w:szCs w:val="21"/>
              </w:rPr>
              <w:t>此项满足得</w:t>
            </w:r>
            <w:r>
              <w:rPr>
                <w:rFonts w:hint="eastAsia" w:asciiTheme="minorEastAsia" w:hAnsiTheme="minorEastAsia"/>
                <w:b/>
                <w:bCs/>
                <w:color w:val="000000"/>
                <w:sz w:val="21"/>
                <w:szCs w:val="21"/>
                <w:lang w:val="en-US" w:eastAsia="zh-CN"/>
              </w:rPr>
              <w:t>2</w:t>
            </w:r>
            <w:r>
              <w:rPr>
                <w:rFonts w:asciiTheme="minorEastAsia" w:hAnsiTheme="minorEastAsia"/>
                <w:b/>
                <w:bCs/>
                <w:color w:val="000000"/>
                <w:sz w:val="21"/>
                <w:szCs w:val="21"/>
              </w:rPr>
              <w:t>0</w:t>
            </w:r>
            <w:r>
              <w:rPr>
                <w:rFonts w:hint="eastAsia" w:asciiTheme="minorEastAsia" w:hAnsiTheme="minorEastAsia"/>
                <w:b/>
                <w:bCs/>
                <w:color w:val="000000"/>
                <w:sz w:val="21"/>
                <w:szCs w:val="21"/>
              </w:rPr>
              <w:t>分，不满足得0分。</w:t>
            </w:r>
          </w:p>
        </w:tc>
        <w:tc>
          <w:tcPr>
            <w:tcW w:w="1186" w:type="dxa"/>
            <w:vAlign w:val="center"/>
          </w:tcPr>
          <w:p w14:paraId="0A23D5EA">
            <w:pPr>
              <w:tabs>
                <w:tab w:val="left" w:pos="7854"/>
              </w:tabs>
              <w:spacing w:line="300" w:lineRule="exact"/>
              <w:jc w:val="center"/>
              <w:rPr>
                <w:rFonts w:ascii="宋体" w:hAnsi="宋体" w:eastAsia="宋体"/>
                <w:color w:val="000000"/>
                <w:sz w:val="21"/>
                <w:szCs w:val="21"/>
              </w:rPr>
            </w:pPr>
            <w:r>
              <w:rPr>
                <w:rFonts w:hint="eastAsia" w:ascii="宋体" w:hAnsi="宋体" w:eastAsia="宋体"/>
                <w:color w:val="000000"/>
                <w:sz w:val="21"/>
                <w:szCs w:val="21"/>
                <w:lang w:val="en-US" w:eastAsia="zh-CN"/>
              </w:rPr>
              <w:t>2</w:t>
            </w:r>
            <w:r>
              <w:rPr>
                <w:rFonts w:ascii="宋体" w:hAnsi="宋体" w:eastAsia="宋体"/>
                <w:color w:val="000000"/>
                <w:sz w:val="21"/>
                <w:szCs w:val="21"/>
              </w:rPr>
              <w:t>0</w:t>
            </w:r>
          </w:p>
        </w:tc>
      </w:tr>
      <w:tr w14:paraId="14749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1" w:hRule="atLeast"/>
        </w:trPr>
        <w:tc>
          <w:tcPr>
            <w:tcW w:w="1696" w:type="dxa"/>
            <w:vAlign w:val="center"/>
          </w:tcPr>
          <w:p w14:paraId="6A320C53">
            <w:pPr>
              <w:tabs>
                <w:tab w:val="left" w:pos="7854"/>
              </w:tabs>
              <w:spacing w:line="300" w:lineRule="exact"/>
              <w:jc w:val="center"/>
              <w:rPr>
                <w:rFonts w:ascii="宋体" w:hAnsi="宋体" w:eastAsia="宋体"/>
                <w:b/>
                <w:color w:val="000000"/>
                <w:sz w:val="21"/>
                <w:szCs w:val="21"/>
              </w:rPr>
            </w:pPr>
            <w:r>
              <w:rPr>
                <w:rFonts w:hint="eastAsia" w:ascii="宋体" w:hAnsi="宋体" w:eastAsia="宋体"/>
                <w:b/>
                <w:color w:val="000000"/>
                <w:sz w:val="21"/>
                <w:szCs w:val="21"/>
                <w:lang w:val="en-US" w:eastAsia="zh-CN"/>
              </w:rPr>
              <w:t>软件培训</w:t>
            </w:r>
          </w:p>
        </w:tc>
        <w:tc>
          <w:tcPr>
            <w:tcW w:w="6712" w:type="dxa"/>
            <w:vAlign w:val="center"/>
          </w:tcPr>
          <w:p w14:paraId="3B34880A">
            <w:pPr>
              <w:tabs>
                <w:tab w:val="left" w:pos="7854"/>
              </w:tabs>
              <w:spacing w:line="300" w:lineRule="exact"/>
              <w:rPr>
                <w:rFonts w:hint="eastAsia" w:asciiTheme="minorEastAsia" w:hAnsiTheme="minorEastAsia" w:eastAsiaTheme="minorEastAsia"/>
                <w:color w:val="000000"/>
                <w:sz w:val="21"/>
                <w:szCs w:val="21"/>
                <w:lang w:eastAsia="zh-CN"/>
              </w:rPr>
            </w:pPr>
            <w:r>
              <w:rPr>
                <w:rFonts w:hint="eastAsia" w:asciiTheme="minorEastAsia" w:hAnsiTheme="minorEastAsia"/>
                <w:color w:val="000000"/>
                <w:sz w:val="21"/>
                <w:szCs w:val="21"/>
                <w:lang w:val="en-US" w:eastAsia="zh-CN"/>
              </w:rPr>
              <w:t>1</w:t>
            </w:r>
            <w:r>
              <w:rPr>
                <w:rFonts w:hint="eastAsia" w:asciiTheme="minorEastAsia" w:hAnsiTheme="minorEastAsia"/>
                <w:color w:val="000000"/>
                <w:sz w:val="21"/>
                <w:szCs w:val="21"/>
              </w:rPr>
              <w:t>)</w:t>
            </w:r>
            <w:r>
              <w:rPr>
                <w:rFonts w:hint="eastAsia" w:asciiTheme="minorEastAsia" w:hAnsiTheme="minorEastAsia"/>
                <w:color w:val="000000"/>
                <w:sz w:val="21"/>
                <w:szCs w:val="21"/>
                <w:lang w:val="en-US" w:eastAsia="zh-CN"/>
              </w:rPr>
              <w:t>提供5天以上软件</w:t>
            </w:r>
            <w:r>
              <w:rPr>
                <w:rFonts w:hint="eastAsia" w:asciiTheme="minorEastAsia" w:hAnsiTheme="minorEastAsia"/>
                <w:color w:val="000000"/>
                <w:sz w:val="21"/>
                <w:szCs w:val="21"/>
              </w:rPr>
              <w:t>操作培训</w:t>
            </w:r>
            <w:r>
              <w:rPr>
                <w:rFonts w:hint="eastAsia" w:asciiTheme="minorEastAsia" w:hAnsiTheme="minorEastAsia"/>
                <w:color w:val="000000"/>
                <w:sz w:val="21"/>
                <w:szCs w:val="21"/>
                <w:lang w:eastAsia="zh-CN"/>
              </w:rPr>
              <w:t>（</w:t>
            </w:r>
            <w:r>
              <w:rPr>
                <w:rFonts w:hint="eastAsia" w:asciiTheme="minorEastAsia" w:hAnsiTheme="minorEastAsia"/>
                <w:color w:val="000000"/>
                <w:sz w:val="21"/>
                <w:szCs w:val="21"/>
                <w:lang w:val="en-US" w:eastAsia="zh-CN"/>
              </w:rPr>
              <w:t>现场培训不少于3天</w:t>
            </w:r>
            <w:r>
              <w:rPr>
                <w:rFonts w:hint="eastAsia" w:asciiTheme="minorEastAsia" w:hAnsiTheme="minorEastAsia"/>
                <w:color w:val="000000"/>
                <w:sz w:val="21"/>
                <w:szCs w:val="21"/>
                <w:lang w:eastAsia="zh-CN"/>
              </w:rPr>
              <w:t>）；</w:t>
            </w:r>
          </w:p>
          <w:p w14:paraId="3F9B0161">
            <w:pPr>
              <w:tabs>
                <w:tab w:val="left" w:pos="7854"/>
              </w:tabs>
              <w:spacing w:line="300" w:lineRule="exact"/>
              <w:rPr>
                <w:rFonts w:hint="eastAsia" w:asciiTheme="minorEastAsia" w:hAnsiTheme="minorEastAsia" w:eastAsiaTheme="minorEastAsia"/>
                <w:color w:val="000000"/>
                <w:sz w:val="21"/>
                <w:szCs w:val="21"/>
                <w:lang w:val="en-US" w:eastAsia="zh-CN"/>
              </w:rPr>
            </w:pPr>
            <w:r>
              <w:rPr>
                <w:rFonts w:hint="eastAsia" w:asciiTheme="minorEastAsia" w:hAnsiTheme="minorEastAsia"/>
                <w:color w:val="000000"/>
                <w:sz w:val="21"/>
                <w:szCs w:val="21"/>
                <w:lang w:val="en-US" w:eastAsia="zh-CN"/>
              </w:rPr>
              <w:t>2</w:t>
            </w:r>
            <w:r>
              <w:rPr>
                <w:rFonts w:hint="eastAsia" w:asciiTheme="minorEastAsia" w:hAnsiTheme="minorEastAsia"/>
                <w:color w:val="000000"/>
                <w:sz w:val="21"/>
                <w:szCs w:val="21"/>
              </w:rPr>
              <w:t>)</w:t>
            </w:r>
            <w:r>
              <w:rPr>
                <w:rFonts w:ascii="宋体" w:hAnsi="宋体" w:eastAsia="宋体" w:cs="宋体"/>
                <w:sz w:val="21"/>
                <w:szCs w:val="21"/>
              </w:rPr>
              <w:t>提供材料参数标定模块软件功能培训</w:t>
            </w:r>
            <w:r>
              <w:rPr>
                <w:rFonts w:hint="eastAsia" w:asciiTheme="minorEastAsia" w:hAnsiTheme="minorEastAsia"/>
                <w:color w:val="000000"/>
                <w:sz w:val="21"/>
                <w:szCs w:val="21"/>
                <w:lang w:eastAsia="zh-CN"/>
              </w:rPr>
              <w:t>。</w:t>
            </w:r>
          </w:p>
          <w:p w14:paraId="018C8A08">
            <w:pPr>
              <w:pStyle w:val="9"/>
              <w:rPr>
                <w:sz w:val="21"/>
                <w:szCs w:val="21"/>
              </w:rPr>
            </w:pPr>
            <w:r>
              <w:rPr>
                <w:rFonts w:hint="eastAsia" w:asciiTheme="minorEastAsia" w:hAnsiTheme="minorEastAsia"/>
                <w:b/>
                <w:bCs/>
                <w:color w:val="000000"/>
                <w:sz w:val="21"/>
                <w:szCs w:val="21"/>
              </w:rPr>
              <w:t>此</w:t>
            </w:r>
            <w:r>
              <w:rPr>
                <w:rFonts w:hint="eastAsia" w:asciiTheme="minorEastAsia" w:hAnsiTheme="minorEastAsia"/>
                <w:b/>
                <w:bCs/>
                <w:color w:val="000000"/>
                <w:sz w:val="21"/>
                <w:szCs w:val="21"/>
                <w:lang w:val="en-US" w:eastAsia="zh-CN"/>
              </w:rPr>
              <w:t>两</w:t>
            </w:r>
            <w:r>
              <w:rPr>
                <w:rFonts w:hint="eastAsia" w:asciiTheme="minorEastAsia" w:hAnsiTheme="minorEastAsia"/>
                <w:b/>
                <w:bCs/>
                <w:color w:val="000000"/>
                <w:sz w:val="21"/>
                <w:szCs w:val="21"/>
              </w:rPr>
              <w:t>项均满足得</w:t>
            </w:r>
            <w:r>
              <w:rPr>
                <w:rFonts w:hint="eastAsia" w:asciiTheme="minorEastAsia" w:hAnsiTheme="minorEastAsia"/>
                <w:b/>
                <w:bCs/>
                <w:color w:val="000000"/>
                <w:sz w:val="21"/>
                <w:szCs w:val="21"/>
                <w:lang w:val="en-US" w:eastAsia="zh-CN"/>
              </w:rPr>
              <w:t>2</w:t>
            </w:r>
            <w:r>
              <w:rPr>
                <w:rFonts w:asciiTheme="minorEastAsia" w:hAnsiTheme="minorEastAsia"/>
                <w:b/>
                <w:bCs/>
                <w:color w:val="000000"/>
                <w:sz w:val="21"/>
                <w:szCs w:val="21"/>
              </w:rPr>
              <w:t>0</w:t>
            </w:r>
            <w:r>
              <w:rPr>
                <w:rFonts w:hint="eastAsia" w:asciiTheme="minorEastAsia" w:hAnsiTheme="minorEastAsia"/>
                <w:b/>
                <w:bCs/>
                <w:color w:val="000000"/>
                <w:sz w:val="21"/>
                <w:szCs w:val="21"/>
              </w:rPr>
              <w:t>分，减少一项扣1</w:t>
            </w:r>
            <w:r>
              <w:rPr>
                <w:rFonts w:asciiTheme="minorEastAsia" w:hAnsiTheme="minorEastAsia"/>
                <w:b/>
                <w:bCs/>
                <w:color w:val="000000"/>
                <w:sz w:val="21"/>
                <w:szCs w:val="21"/>
              </w:rPr>
              <w:t>0</w:t>
            </w:r>
            <w:r>
              <w:rPr>
                <w:rFonts w:hint="eastAsia" w:asciiTheme="minorEastAsia" w:hAnsiTheme="minorEastAsia"/>
                <w:b/>
                <w:bCs/>
                <w:color w:val="000000"/>
                <w:sz w:val="21"/>
                <w:szCs w:val="21"/>
              </w:rPr>
              <w:t>分，均不满足得0分。</w:t>
            </w:r>
          </w:p>
        </w:tc>
        <w:tc>
          <w:tcPr>
            <w:tcW w:w="1186" w:type="dxa"/>
            <w:vAlign w:val="center"/>
          </w:tcPr>
          <w:p w14:paraId="0BF2F77C">
            <w:pPr>
              <w:tabs>
                <w:tab w:val="left" w:pos="7854"/>
              </w:tabs>
              <w:spacing w:line="300" w:lineRule="exact"/>
              <w:jc w:val="center"/>
              <w:rPr>
                <w:rFonts w:ascii="宋体" w:hAnsi="宋体" w:eastAsia="宋体"/>
                <w:color w:val="000000"/>
                <w:sz w:val="21"/>
                <w:szCs w:val="21"/>
              </w:rPr>
            </w:pPr>
            <w:r>
              <w:rPr>
                <w:rFonts w:hint="eastAsia" w:ascii="宋体" w:hAnsi="宋体" w:eastAsia="宋体"/>
                <w:color w:val="000000"/>
                <w:sz w:val="21"/>
                <w:szCs w:val="21"/>
                <w:lang w:val="en-US" w:eastAsia="zh-CN"/>
              </w:rPr>
              <w:t>2</w:t>
            </w:r>
            <w:r>
              <w:rPr>
                <w:rFonts w:ascii="宋体" w:hAnsi="宋体" w:eastAsia="宋体"/>
                <w:color w:val="000000"/>
                <w:sz w:val="21"/>
                <w:szCs w:val="21"/>
              </w:rPr>
              <w:t>0</w:t>
            </w:r>
          </w:p>
        </w:tc>
      </w:tr>
    </w:tbl>
    <w:p w14:paraId="5EE20E68">
      <w:pPr>
        <w:pStyle w:val="9"/>
        <w:spacing w:line="360" w:lineRule="auto"/>
        <w:ind w:firstLine="470" w:firstLineChars="196"/>
        <w:rPr>
          <w:rFonts w:hAnsi="宋体"/>
          <w:color w:val="000000"/>
          <w:sz w:val="24"/>
          <w:szCs w:val="24"/>
        </w:rPr>
      </w:pPr>
    </w:p>
    <w:p w14:paraId="3ECFBF61">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hAnsi="宋体"/>
          <w:color w:val="000000"/>
          <w:sz w:val="21"/>
          <w:szCs w:val="21"/>
          <w:lang w:eastAsia="zh-CN"/>
        </w:rPr>
      </w:pPr>
      <w:r>
        <w:rPr>
          <w:rFonts w:hint="eastAsia" w:hAnsi="宋体"/>
          <w:color w:val="000000"/>
          <w:sz w:val="21"/>
          <w:szCs w:val="21"/>
          <w:highlight w:val="yellow"/>
          <w:lang w:val="en-US" w:eastAsia="zh-CN"/>
        </w:rPr>
        <w:t>注：得分在70分以上的入围商务标。</w:t>
      </w:r>
    </w:p>
    <w:p w14:paraId="2ACDC642">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Ansi="宋体"/>
          <w:color w:val="000000"/>
          <w:sz w:val="21"/>
          <w:szCs w:val="21"/>
        </w:rPr>
      </w:pPr>
      <w:r>
        <w:rPr>
          <w:rFonts w:hint="eastAsia" w:hAnsi="宋体"/>
          <w:color w:val="000000"/>
          <w:sz w:val="21"/>
          <w:szCs w:val="21"/>
          <w:lang w:eastAsia="zh-CN"/>
        </w:rPr>
        <w:t>（</w:t>
      </w:r>
      <w:r>
        <w:rPr>
          <w:rFonts w:hint="eastAsia" w:hAnsi="宋体"/>
          <w:color w:val="000000"/>
          <w:sz w:val="21"/>
          <w:szCs w:val="21"/>
          <w:lang w:val="en-US" w:eastAsia="zh-CN"/>
        </w:rPr>
        <w:t>3）</w:t>
      </w:r>
      <w:r>
        <w:rPr>
          <w:rFonts w:hint="eastAsia" w:hAnsi="宋体"/>
          <w:color w:val="000000"/>
          <w:sz w:val="21"/>
          <w:szCs w:val="21"/>
        </w:rPr>
        <w:t>商务标评分标准：商务标得分</w:t>
      </w:r>
      <w:r>
        <w:rPr>
          <w:rFonts w:hAnsi="宋体"/>
          <w:color w:val="000000"/>
          <w:sz w:val="21"/>
          <w:szCs w:val="21"/>
        </w:rPr>
        <w:t>=当前轮次最低价/供方投标价</w:t>
      </w:r>
      <w:r>
        <w:rPr>
          <w:rFonts w:hint="eastAsia" w:hAnsi="宋体"/>
          <w:color w:val="000000"/>
          <w:sz w:val="21"/>
          <w:szCs w:val="21"/>
        </w:rPr>
        <w:t>×</w:t>
      </w:r>
      <w:r>
        <w:rPr>
          <w:rFonts w:hAnsi="宋体" w:eastAsiaTheme="minorEastAsia"/>
          <w:sz w:val="21"/>
          <w:szCs w:val="21"/>
        </w:rPr>
        <w:t>100</w:t>
      </w:r>
    </w:p>
    <w:p w14:paraId="5D86AC0D">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Ansi="宋体"/>
          <w:color w:val="000000"/>
          <w:sz w:val="21"/>
          <w:szCs w:val="21"/>
          <w:highlight w:val="yellow"/>
        </w:rPr>
      </w:pPr>
      <w:r>
        <w:rPr>
          <w:rFonts w:hint="eastAsia" w:hAnsi="宋体"/>
          <w:color w:val="000000"/>
          <w:sz w:val="21"/>
          <w:szCs w:val="21"/>
          <w:lang w:eastAsia="zh-CN"/>
        </w:rPr>
        <w:t>（</w:t>
      </w:r>
      <w:r>
        <w:rPr>
          <w:rFonts w:hint="eastAsia" w:hAnsi="宋体"/>
          <w:color w:val="000000"/>
          <w:sz w:val="21"/>
          <w:szCs w:val="21"/>
          <w:lang w:val="en-US" w:eastAsia="zh-CN"/>
        </w:rPr>
        <w:t>4）</w:t>
      </w:r>
      <w:r>
        <w:rPr>
          <w:rFonts w:hAnsi="宋体"/>
          <w:color w:val="000000"/>
          <w:sz w:val="21"/>
          <w:szCs w:val="21"/>
        </w:rPr>
        <w:t>综合得分：</w:t>
      </w:r>
      <w:r>
        <w:rPr>
          <w:rFonts w:hAnsi="宋体"/>
          <w:color w:val="000000"/>
          <w:sz w:val="21"/>
          <w:szCs w:val="21"/>
          <w:highlight w:val="yellow"/>
        </w:rPr>
        <w:t>技术标得分*</w:t>
      </w:r>
      <w:r>
        <w:rPr>
          <w:rFonts w:hint="eastAsia" w:hAnsi="宋体"/>
          <w:color w:val="000000"/>
          <w:sz w:val="21"/>
          <w:szCs w:val="21"/>
          <w:highlight w:val="yellow"/>
          <w:lang w:val="en-US" w:eastAsia="zh-CN"/>
        </w:rPr>
        <w:t>30</w:t>
      </w:r>
      <w:r>
        <w:rPr>
          <w:rFonts w:hAnsi="宋体"/>
          <w:color w:val="000000"/>
          <w:sz w:val="21"/>
          <w:szCs w:val="21"/>
          <w:highlight w:val="yellow"/>
        </w:rPr>
        <w:t>%+商务标得分*</w:t>
      </w:r>
      <w:r>
        <w:rPr>
          <w:rFonts w:hint="eastAsia" w:hAnsi="宋体"/>
          <w:color w:val="000000"/>
          <w:sz w:val="21"/>
          <w:szCs w:val="21"/>
          <w:highlight w:val="yellow"/>
          <w:lang w:val="en-US" w:eastAsia="zh-CN"/>
        </w:rPr>
        <w:t>70</w:t>
      </w:r>
      <w:r>
        <w:rPr>
          <w:rFonts w:hAnsi="宋体"/>
          <w:color w:val="000000"/>
          <w:sz w:val="21"/>
          <w:szCs w:val="21"/>
          <w:highlight w:val="yellow"/>
        </w:rPr>
        <w:t>%</w:t>
      </w:r>
    </w:p>
    <w:p w14:paraId="2D0B25D8">
      <w:pPr>
        <w:pStyle w:val="9"/>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eastAsia="宋体"/>
          <w:color w:val="000000"/>
          <w:sz w:val="21"/>
          <w:szCs w:val="21"/>
          <w:lang w:val="en-US" w:eastAsia="zh-CN"/>
        </w:rPr>
      </w:pPr>
      <w:r>
        <w:rPr>
          <w:rFonts w:hint="eastAsia" w:hAnsi="宋体"/>
          <w:color w:val="000000"/>
          <w:sz w:val="21"/>
          <w:szCs w:val="21"/>
          <w:lang w:val="en-US" w:eastAsia="zh-CN"/>
        </w:rPr>
        <w:t>补充说明：</w:t>
      </w:r>
    </w:p>
    <w:p w14:paraId="1EBD7231">
      <w:pPr>
        <w:pStyle w:val="28"/>
        <w:ind w:firstLine="480"/>
        <w:rPr>
          <w:sz w:val="21"/>
          <w:szCs w:val="21"/>
        </w:rPr>
      </w:pPr>
      <w:r>
        <w:rPr>
          <w:rFonts w:hint="eastAsia"/>
          <w:sz w:val="21"/>
          <w:szCs w:val="21"/>
        </w:rPr>
        <w:t>a、若出现总分并列时，比较技术部分得分，此分项得分高者排序在前；若技术部分得分仍相同，再比较价格部分的投标报价得分，此分项得分高者排序在前；若投标报价得分仍相同，则由全体评委成员无记名投票，得票高者排序在前。</w:t>
      </w:r>
    </w:p>
    <w:p w14:paraId="38218D70">
      <w:pPr>
        <w:pStyle w:val="28"/>
        <w:ind w:firstLine="480"/>
        <w:rPr>
          <w:sz w:val="21"/>
          <w:szCs w:val="21"/>
        </w:rPr>
      </w:pPr>
      <w:r>
        <w:rPr>
          <w:rFonts w:hint="eastAsia"/>
          <w:sz w:val="21"/>
          <w:szCs w:val="21"/>
        </w:rPr>
        <w:t>b、评委打分超过得分界限或未按本方法赋分时，该评委的打分按废票处理。</w:t>
      </w:r>
    </w:p>
    <w:p w14:paraId="78C17B82">
      <w:pPr>
        <w:pStyle w:val="28"/>
        <w:ind w:firstLine="480"/>
        <w:rPr>
          <w:sz w:val="21"/>
          <w:szCs w:val="21"/>
        </w:rPr>
      </w:pPr>
      <w:r>
        <w:rPr>
          <w:rFonts w:hint="eastAsia"/>
          <w:sz w:val="21"/>
          <w:szCs w:val="21"/>
        </w:rPr>
        <w:t>c、评标过程中，若出现本办法以外的特殊情况时，将暂停评标，有关情况处理意见待招标工作小组确认后，再行评定。</w:t>
      </w:r>
    </w:p>
    <w:p w14:paraId="0ACEF054">
      <w:pPr>
        <w:pStyle w:val="28"/>
        <w:ind w:firstLine="480"/>
        <w:rPr>
          <w:sz w:val="21"/>
          <w:szCs w:val="21"/>
        </w:rPr>
      </w:pPr>
      <w:r>
        <w:rPr>
          <w:sz w:val="21"/>
          <w:szCs w:val="21"/>
        </w:rPr>
        <w:t>3</w:t>
      </w:r>
      <w:r>
        <w:rPr>
          <w:rFonts w:hint="eastAsia"/>
          <w:sz w:val="21"/>
          <w:szCs w:val="21"/>
        </w:rPr>
        <w:t>.本项目产生</w:t>
      </w:r>
      <w:r>
        <w:rPr>
          <w:rFonts w:hint="eastAsia"/>
          <w:color w:val="auto"/>
          <w:sz w:val="21"/>
          <w:szCs w:val="21"/>
        </w:rPr>
        <w:t>1个中</w:t>
      </w:r>
      <w:r>
        <w:rPr>
          <w:rFonts w:hint="eastAsia"/>
          <w:sz w:val="21"/>
          <w:szCs w:val="21"/>
        </w:rPr>
        <w:t>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对中标候选人的审查结果不符合成交条件，则本次评标作废。</w:t>
      </w:r>
    </w:p>
    <w:p w14:paraId="473BE545">
      <w:pPr>
        <w:pStyle w:val="35"/>
        <w:keepNext/>
        <w:keepLines/>
        <w:pageBreakBefore w:val="0"/>
        <w:widowControl w:val="0"/>
        <w:numPr>
          <w:ilvl w:val="0"/>
          <w:numId w:val="0"/>
        </w:numPr>
        <w:kinsoku/>
        <w:wordWrap/>
        <w:overflowPunct/>
        <w:topLinePunct w:val="0"/>
        <w:autoSpaceDE/>
        <w:autoSpaceDN/>
        <w:bidi w:val="0"/>
        <w:adjustRightInd/>
        <w:snapToGrid/>
        <w:ind w:left="0" w:leftChars="0"/>
        <w:textAlignment w:val="auto"/>
        <w:outlineLvl w:val="2"/>
        <w:rPr>
          <w:rFonts w:hint="eastAsia" w:ascii="宋体" w:hAnsi="宋体"/>
          <w:lang w:val="en-US" w:eastAsia="zh-CN"/>
        </w:rPr>
      </w:pPr>
      <w:r>
        <w:rPr>
          <w:rFonts w:hint="eastAsia" w:ascii="宋体" w:hAnsi="宋体"/>
          <w:lang w:val="en-US" w:eastAsia="zh-CN"/>
        </w:rPr>
        <w:t>7. 废标及终止招标</w:t>
      </w:r>
    </w:p>
    <w:p w14:paraId="6668A0F8">
      <w:pPr>
        <w:pStyle w:val="28"/>
        <w:keepNext w:val="0"/>
        <w:keepLines w:val="0"/>
        <w:pageBreakBefore w:val="0"/>
        <w:widowControl w:val="0"/>
        <w:kinsoku/>
        <w:wordWrap/>
        <w:overflowPunct/>
        <w:topLinePunct w:val="0"/>
        <w:autoSpaceDE/>
        <w:autoSpaceDN/>
        <w:bidi w:val="0"/>
        <w:adjustRightInd/>
        <w:snapToGrid/>
        <w:ind w:firstLine="0" w:firstLineChars="0"/>
        <w:textAlignment w:val="auto"/>
        <w:outlineLvl w:val="3"/>
        <w:rPr>
          <w:rFonts w:hint="eastAsia"/>
          <w:b/>
          <w:bCs/>
          <w:lang w:val="en-US" w:eastAsia="zh-CN"/>
        </w:rPr>
      </w:pPr>
      <w:r>
        <w:rPr>
          <w:rFonts w:hint="eastAsia"/>
          <w:b/>
          <w:bCs/>
          <w:lang w:val="en-US" w:eastAsia="zh-CN"/>
        </w:rPr>
        <w:t>7.</w:t>
      </w:r>
      <w:r>
        <w:rPr>
          <w:rFonts w:hint="default"/>
          <w:b/>
          <w:bCs/>
          <w:lang w:val="en-US" w:eastAsia="zh-CN"/>
        </w:rPr>
        <w:t>1</w:t>
      </w:r>
      <w:r>
        <w:rPr>
          <w:rFonts w:hint="eastAsia"/>
          <w:b/>
          <w:bCs/>
          <w:lang w:val="en-US" w:eastAsia="zh-CN"/>
        </w:rPr>
        <w:t xml:space="preserve"> 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89BF514">
      <w:pPr>
        <w:pStyle w:val="62"/>
        <w:numPr>
          <w:ilvl w:val="0"/>
          <w:numId w:val="19"/>
        </w:numPr>
        <w:spacing w:line="440" w:lineRule="exact"/>
        <w:ind w:left="425" w:leftChars="0" w:hanging="425" w:firstLineChars="0"/>
      </w:pPr>
      <w:r>
        <w:rPr>
          <w:rFonts w:hint="eastAsia"/>
        </w:rPr>
        <w:t>投标人提供的有关资格、资质证明文件不合格、不真实或提供虚假投标材料；</w:t>
      </w:r>
    </w:p>
    <w:p w14:paraId="7605DE31">
      <w:pPr>
        <w:pStyle w:val="62"/>
        <w:numPr>
          <w:ilvl w:val="0"/>
          <w:numId w:val="19"/>
        </w:numPr>
        <w:spacing w:line="440" w:lineRule="exact"/>
        <w:ind w:left="425" w:leftChars="0" w:hanging="425" w:firstLineChars="0"/>
      </w:pPr>
      <w:r>
        <w:rPr>
          <w:rFonts w:hint="eastAsia"/>
        </w:rPr>
        <w:t>投标人在报价有效期内撤回投标；</w:t>
      </w:r>
    </w:p>
    <w:p w14:paraId="3EFC3962">
      <w:pPr>
        <w:pStyle w:val="62"/>
        <w:numPr>
          <w:ilvl w:val="0"/>
          <w:numId w:val="19"/>
        </w:numPr>
        <w:spacing w:line="440" w:lineRule="exact"/>
        <w:ind w:left="425" w:leftChars="0" w:hanging="425" w:firstLineChars="0"/>
      </w:pPr>
      <w:r>
        <w:rPr>
          <w:rFonts w:hint="eastAsia"/>
        </w:rPr>
        <w:t>在整个评标过程中，投标人有企图影响评标结果公正性的任何活动；</w:t>
      </w:r>
    </w:p>
    <w:p w14:paraId="5D17E8AC">
      <w:pPr>
        <w:pStyle w:val="62"/>
        <w:numPr>
          <w:ilvl w:val="0"/>
          <w:numId w:val="19"/>
        </w:numPr>
        <w:spacing w:line="440" w:lineRule="exact"/>
        <w:ind w:left="425" w:leftChars="0" w:hanging="425" w:firstLineChars="0"/>
      </w:pPr>
      <w:r>
        <w:rPr>
          <w:rFonts w:hint="eastAsia"/>
        </w:rPr>
        <w:t>投标人以任何方式诋毁其他投标人；</w:t>
      </w:r>
    </w:p>
    <w:p w14:paraId="41FF87FC">
      <w:pPr>
        <w:pStyle w:val="62"/>
        <w:numPr>
          <w:ilvl w:val="0"/>
          <w:numId w:val="19"/>
        </w:numPr>
        <w:spacing w:line="440" w:lineRule="exact"/>
        <w:ind w:left="425" w:leftChars="0" w:hanging="425" w:firstLineChars="0"/>
      </w:pPr>
      <w:r>
        <w:rPr>
          <w:rFonts w:hint="eastAsia"/>
        </w:rPr>
        <w:t>投标人串通投标；</w:t>
      </w:r>
    </w:p>
    <w:p w14:paraId="21288846">
      <w:pPr>
        <w:pStyle w:val="62"/>
        <w:numPr>
          <w:ilvl w:val="0"/>
          <w:numId w:val="19"/>
        </w:numPr>
        <w:spacing w:line="440" w:lineRule="exact"/>
        <w:ind w:left="425" w:leftChars="0" w:hanging="425" w:firstLineChars="0"/>
      </w:pPr>
      <w:r>
        <w:rPr>
          <w:rFonts w:hint="eastAsia"/>
        </w:rPr>
        <w:t>投标人被举报、检举，并经招标人查实无误的；</w:t>
      </w:r>
    </w:p>
    <w:p w14:paraId="31F1EB12">
      <w:pPr>
        <w:pStyle w:val="62"/>
        <w:numPr>
          <w:ilvl w:val="0"/>
          <w:numId w:val="19"/>
        </w:numPr>
        <w:spacing w:line="440" w:lineRule="exact"/>
        <w:ind w:left="425" w:leftChars="0" w:hanging="425" w:firstLineChars="0"/>
      </w:pPr>
      <w:r>
        <w:rPr>
          <w:rFonts w:hint="eastAsia"/>
        </w:rPr>
        <w:t>以他人名义投标或者以其他方式弄虚作假，骗取中标的；</w:t>
      </w:r>
    </w:p>
    <w:p w14:paraId="41488B6D">
      <w:pPr>
        <w:pStyle w:val="62"/>
        <w:numPr>
          <w:ilvl w:val="0"/>
          <w:numId w:val="19"/>
        </w:numPr>
        <w:spacing w:line="440" w:lineRule="exact"/>
        <w:ind w:left="425" w:leftChars="0" w:hanging="425" w:firstLineChars="0"/>
      </w:pPr>
      <w:r>
        <w:rPr>
          <w:rFonts w:hint="eastAsia"/>
        </w:rPr>
        <w:t>投标人负责人为同一人或者存在控股、管理关系的不同单位；</w:t>
      </w:r>
    </w:p>
    <w:p w14:paraId="551BDDE0">
      <w:pPr>
        <w:pStyle w:val="62"/>
        <w:numPr>
          <w:ilvl w:val="0"/>
          <w:numId w:val="19"/>
        </w:numPr>
        <w:spacing w:line="440" w:lineRule="exact"/>
        <w:ind w:left="425" w:leftChars="0" w:hanging="425" w:firstLineChars="0"/>
      </w:pPr>
      <w:r>
        <w:rPr>
          <w:rFonts w:hint="eastAsia"/>
        </w:rPr>
        <w:t>有效投标不足三家；</w:t>
      </w:r>
    </w:p>
    <w:p w14:paraId="0BFB93FF">
      <w:pPr>
        <w:pStyle w:val="62"/>
        <w:numPr>
          <w:ilvl w:val="0"/>
          <w:numId w:val="19"/>
        </w:numPr>
        <w:spacing w:line="440" w:lineRule="exact"/>
        <w:ind w:left="425" w:leftChars="0" w:hanging="425" w:firstLineChars="0"/>
      </w:pPr>
      <w:r>
        <w:rPr>
          <w:rFonts w:hint="eastAsia"/>
        </w:rPr>
        <w:t>不同投标人的投标文件异常一致或者投标报价呈规律性差异的；</w:t>
      </w:r>
    </w:p>
    <w:p w14:paraId="6BAF9D1A">
      <w:pPr>
        <w:pStyle w:val="62"/>
        <w:numPr>
          <w:ilvl w:val="0"/>
          <w:numId w:val="19"/>
        </w:numPr>
        <w:spacing w:line="440" w:lineRule="exact"/>
        <w:ind w:left="425" w:leftChars="0" w:hanging="425" w:firstLineChars="0"/>
      </w:pPr>
      <w:r>
        <w:rPr>
          <w:rFonts w:hint="eastAsia"/>
        </w:rPr>
        <w:t>未按要求填报商务报价资料，对招标开展造成较大影响；</w:t>
      </w:r>
    </w:p>
    <w:p w14:paraId="1FE98B80">
      <w:pPr>
        <w:pStyle w:val="62"/>
        <w:numPr>
          <w:ilvl w:val="0"/>
          <w:numId w:val="19"/>
        </w:numPr>
        <w:spacing w:line="440" w:lineRule="exact"/>
        <w:ind w:left="425" w:leftChars="0" w:hanging="425" w:firstLineChars="0"/>
      </w:pPr>
      <w:r>
        <w:rPr>
          <w:rFonts w:hint="eastAsia"/>
        </w:rPr>
        <w:t>未按照招标人规定的时间内在中国重汽e采通完成投标的；</w:t>
      </w:r>
    </w:p>
    <w:p w14:paraId="0D5F7F38">
      <w:pPr>
        <w:pStyle w:val="62"/>
        <w:numPr>
          <w:ilvl w:val="0"/>
          <w:numId w:val="19"/>
        </w:numPr>
        <w:spacing w:line="440" w:lineRule="exact"/>
        <w:ind w:left="425" w:leftChars="0" w:hanging="425" w:firstLineChars="0"/>
      </w:pPr>
      <w:r>
        <w:rPr>
          <w:rFonts w:hint="eastAsia"/>
        </w:rPr>
        <w:t>法律、法规规定的其他情况。</w:t>
      </w:r>
    </w:p>
    <w:p w14:paraId="33905EBB">
      <w:pPr>
        <w:pStyle w:val="28"/>
        <w:keepNext w:val="0"/>
        <w:keepLines w:val="0"/>
        <w:pageBreakBefore w:val="0"/>
        <w:widowControl w:val="0"/>
        <w:kinsoku/>
        <w:wordWrap/>
        <w:overflowPunct/>
        <w:topLinePunct w:val="0"/>
        <w:autoSpaceDE/>
        <w:autoSpaceDN/>
        <w:bidi w:val="0"/>
        <w:adjustRightInd/>
        <w:snapToGrid/>
        <w:ind w:firstLine="0" w:firstLineChars="0"/>
        <w:textAlignment w:val="auto"/>
        <w:outlineLvl w:val="3"/>
        <w:rPr>
          <w:rFonts w:hint="eastAsia"/>
          <w:b/>
          <w:bCs/>
          <w:lang w:val="en-US" w:eastAsia="zh-CN"/>
        </w:rPr>
      </w:pPr>
      <w:r>
        <w:rPr>
          <w:rFonts w:hint="eastAsia"/>
          <w:b/>
          <w:bCs/>
          <w:lang w:val="en-US" w:eastAsia="zh-CN"/>
        </w:rPr>
        <w:t>7.2 出现下列情形之一，招标人有权否决所有投标人的投标，并终止招标。</w:t>
      </w:r>
    </w:p>
    <w:p w14:paraId="23852714">
      <w:pPr>
        <w:numPr>
          <w:ilvl w:val="0"/>
          <w:numId w:val="20"/>
        </w:numPr>
        <w:spacing w:line="440" w:lineRule="exact"/>
        <w:ind w:left="425" w:leftChars="0" w:hanging="425" w:firstLineChars="0"/>
        <w:rPr>
          <w:rFonts w:ascii="宋体" w:hAnsi="宋体" w:cs="宋体"/>
          <w:szCs w:val="21"/>
        </w:rPr>
      </w:pPr>
      <w:r>
        <w:rPr>
          <w:rFonts w:hint="eastAsia" w:ascii="宋体" w:hAnsi="宋体" w:cs="宋体"/>
          <w:szCs w:val="21"/>
        </w:rPr>
        <w:t>符合条件的投标人或者对招标文件做实质响应的投标人不足三家的；</w:t>
      </w:r>
    </w:p>
    <w:p w14:paraId="582DEBFB">
      <w:pPr>
        <w:numPr>
          <w:ilvl w:val="0"/>
          <w:numId w:val="20"/>
        </w:numPr>
        <w:spacing w:line="440" w:lineRule="exact"/>
        <w:ind w:left="425" w:leftChars="0" w:hanging="425" w:firstLineChars="0"/>
        <w:rPr>
          <w:rFonts w:ascii="宋体" w:hAnsi="宋体" w:cs="宋体"/>
          <w:szCs w:val="21"/>
        </w:rPr>
      </w:pPr>
      <w:r>
        <w:rPr>
          <w:rFonts w:hint="eastAsia" w:ascii="宋体" w:hAnsi="宋体" w:cs="宋体"/>
          <w:szCs w:val="21"/>
        </w:rPr>
        <w:t>出现影响采购公正的违法、违规行为的；</w:t>
      </w:r>
    </w:p>
    <w:p w14:paraId="4BDEE84C">
      <w:pPr>
        <w:numPr>
          <w:ilvl w:val="0"/>
          <w:numId w:val="20"/>
        </w:numPr>
        <w:spacing w:line="440" w:lineRule="exact"/>
        <w:ind w:left="425" w:leftChars="0" w:hanging="425" w:firstLineChars="0"/>
        <w:rPr>
          <w:rFonts w:ascii="宋体" w:hAnsi="宋体" w:cs="宋体"/>
          <w:szCs w:val="21"/>
        </w:rPr>
      </w:pPr>
      <w:r>
        <w:rPr>
          <w:rFonts w:hint="eastAsia" w:ascii="宋体" w:hAnsi="宋体" w:cs="宋体"/>
          <w:szCs w:val="21"/>
        </w:rPr>
        <w:t>评标委员会经评审，认为所有投标都不符合招标文件要求的；</w:t>
      </w:r>
    </w:p>
    <w:p w14:paraId="1230C25F">
      <w:pPr>
        <w:numPr>
          <w:ilvl w:val="0"/>
          <w:numId w:val="20"/>
        </w:numPr>
        <w:spacing w:line="440" w:lineRule="exact"/>
        <w:ind w:left="425" w:leftChars="0" w:hanging="425" w:firstLineChars="0"/>
        <w:rPr>
          <w:rFonts w:ascii="宋体" w:hAnsi="宋体" w:cs="宋体"/>
          <w:szCs w:val="21"/>
        </w:rPr>
      </w:pPr>
      <w:r>
        <w:rPr>
          <w:rFonts w:hint="eastAsia" w:ascii="宋体" w:hAnsi="宋体" w:cs="宋体"/>
          <w:szCs w:val="21"/>
        </w:rPr>
        <w:t>因重大变故，采购任务取消的</w:t>
      </w:r>
      <w:bookmarkStart w:id="6" w:name="OLE_LINK26"/>
      <w:bookmarkStart w:id="7" w:name="OLE_LINK25"/>
      <w:bookmarkStart w:id="8" w:name="OLE_LINK27"/>
      <w:bookmarkStart w:id="9" w:name="OLE_LINK29"/>
      <w:bookmarkStart w:id="10" w:name="OLE_LINK28"/>
      <w:r>
        <w:rPr>
          <w:rFonts w:hint="eastAsia" w:ascii="宋体" w:hAnsi="宋体" w:cs="宋体"/>
          <w:szCs w:val="21"/>
        </w:rPr>
        <w:t>；</w:t>
      </w:r>
      <w:bookmarkEnd w:id="6"/>
      <w:bookmarkEnd w:id="7"/>
      <w:bookmarkEnd w:id="8"/>
      <w:bookmarkEnd w:id="9"/>
      <w:bookmarkEnd w:id="10"/>
    </w:p>
    <w:p w14:paraId="19D910EA">
      <w:pPr>
        <w:numPr>
          <w:ilvl w:val="0"/>
          <w:numId w:val="20"/>
        </w:numPr>
        <w:spacing w:line="440" w:lineRule="exact"/>
        <w:ind w:left="425" w:leftChars="0" w:hanging="425" w:firstLineChars="0"/>
        <w:rPr>
          <w:rFonts w:ascii="宋体" w:hAnsi="宋体" w:cs="宋体"/>
          <w:szCs w:val="21"/>
        </w:rPr>
      </w:pPr>
      <w:r>
        <w:rPr>
          <w:rFonts w:hint="eastAsia" w:ascii="宋体" w:hAnsi="宋体" w:cs="宋体"/>
          <w:szCs w:val="21"/>
        </w:rPr>
        <w:t>招标人认为其他应终止招标的情形。</w:t>
      </w:r>
    </w:p>
    <w:p w14:paraId="50339D1E">
      <w:pPr>
        <w:pStyle w:val="28"/>
        <w:keepNext w:val="0"/>
        <w:keepLines w:val="0"/>
        <w:pageBreakBefore w:val="0"/>
        <w:widowControl w:val="0"/>
        <w:kinsoku/>
        <w:wordWrap/>
        <w:overflowPunct/>
        <w:topLinePunct w:val="0"/>
        <w:autoSpaceDE/>
        <w:autoSpaceDN/>
        <w:bidi w:val="0"/>
        <w:adjustRightInd/>
        <w:snapToGrid/>
        <w:ind w:firstLine="0" w:firstLineChars="0"/>
        <w:textAlignment w:val="auto"/>
        <w:outlineLvl w:val="3"/>
        <w:rPr>
          <w:rFonts w:hint="eastAsia"/>
          <w:b/>
          <w:bCs/>
          <w:lang w:val="en-US" w:eastAsia="zh-CN"/>
        </w:rPr>
      </w:pPr>
      <w:r>
        <w:rPr>
          <w:rFonts w:hint="eastAsia"/>
          <w:b/>
          <w:bCs/>
          <w:lang w:val="en-US" w:eastAsia="zh-CN"/>
        </w:rPr>
        <w:t>7.3 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DFC980E">
      <w:pPr>
        <w:pStyle w:val="35"/>
        <w:keepNext/>
        <w:keepLines/>
        <w:pageBreakBefore w:val="0"/>
        <w:widowControl w:val="0"/>
        <w:numPr>
          <w:ilvl w:val="0"/>
          <w:numId w:val="0"/>
        </w:numPr>
        <w:kinsoku/>
        <w:wordWrap/>
        <w:overflowPunct/>
        <w:topLinePunct w:val="0"/>
        <w:autoSpaceDE/>
        <w:autoSpaceDN/>
        <w:bidi w:val="0"/>
        <w:adjustRightInd/>
        <w:snapToGrid/>
        <w:ind w:left="0" w:leftChars="0"/>
        <w:textAlignment w:val="auto"/>
        <w:outlineLvl w:val="2"/>
        <w:rPr>
          <w:rFonts w:hint="eastAsia" w:ascii="宋体" w:hAnsi="宋体"/>
          <w:lang w:val="en-US" w:eastAsia="zh-CN"/>
        </w:rPr>
      </w:pPr>
      <w:r>
        <w:rPr>
          <w:rFonts w:hint="eastAsia" w:ascii="宋体" w:hAnsi="宋体"/>
          <w:lang w:val="en-US" w:eastAsia="zh-CN"/>
        </w:rPr>
        <w:t>8. 合同签订</w:t>
      </w:r>
    </w:p>
    <w:p w14:paraId="5DA38B12">
      <w:pPr>
        <w:numPr>
          <w:ilvl w:val="0"/>
          <w:numId w:val="21"/>
        </w:numPr>
        <w:spacing w:line="360" w:lineRule="auto"/>
        <w:ind w:left="425" w:leftChars="0" w:hanging="425" w:firstLineChars="0"/>
        <w:rPr>
          <w:rFonts w:ascii="宋体" w:hAnsi="宋体" w:cs="宋体"/>
          <w:color w:val="000000"/>
          <w:sz w:val="21"/>
          <w:szCs w:val="21"/>
        </w:rPr>
      </w:pPr>
      <w:r>
        <w:rPr>
          <w:rFonts w:hint="eastAsia" w:ascii="宋体" w:hAnsi="宋体" w:cs="宋体"/>
          <w:color w:val="000000"/>
          <w:sz w:val="21"/>
          <w:szCs w:val="21"/>
        </w:rPr>
        <w:t>招标人根据评标工作小组的评标结果确定中标人，在重汽e采通平台公布中标结果，并发送中标通知</w:t>
      </w:r>
      <w:r>
        <w:rPr>
          <w:rFonts w:hint="eastAsia" w:ascii="宋体" w:hAnsi="宋体" w:cs="宋体"/>
          <w:color w:val="000000"/>
          <w:sz w:val="21"/>
          <w:szCs w:val="21"/>
          <w:lang w:eastAsia="zh-CN"/>
        </w:rPr>
        <w:t>；</w:t>
      </w:r>
    </w:p>
    <w:p w14:paraId="088A1BD7">
      <w:pPr>
        <w:numPr>
          <w:ilvl w:val="0"/>
          <w:numId w:val="21"/>
        </w:numPr>
        <w:spacing w:line="360" w:lineRule="auto"/>
        <w:ind w:left="425" w:leftChars="0" w:hanging="425" w:firstLineChars="0"/>
        <w:rPr>
          <w:rFonts w:ascii="宋体" w:hAnsi="宋体" w:cs="宋体"/>
          <w:color w:val="000000"/>
          <w:sz w:val="21"/>
          <w:szCs w:val="21"/>
        </w:rPr>
      </w:pPr>
      <w:r>
        <w:rPr>
          <w:rFonts w:hint="eastAsia" w:ascii="宋体" w:hAnsi="宋体" w:cs="宋体"/>
          <w:color w:val="000000"/>
          <w:sz w:val="21"/>
          <w:szCs w:val="21"/>
        </w:rPr>
        <w:t>中标人应该在中标通知书规定的时间、地点与招标人签订采购合同，否则按照开标后撤回投标处理</w:t>
      </w:r>
      <w:r>
        <w:rPr>
          <w:rFonts w:hint="eastAsia" w:ascii="宋体" w:hAnsi="宋体" w:cs="宋体"/>
          <w:color w:val="000000"/>
          <w:sz w:val="21"/>
          <w:szCs w:val="21"/>
          <w:lang w:eastAsia="zh-CN"/>
        </w:rPr>
        <w:t>；</w:t>
      </w:r>
    </w:p>
    <w:p w14:paraId="15AD92E8">
      <w:pPr>
        <w:numPr>
          <w:ilvl w:val="0"/>
          <w:numId w:val="21"/>
        </w:numPr>
        <w:spacing w:line="360" w:lineRule="auto"/>
        <w:ind w:left="425" w:leftChars="0" w:hanging="425" w:firstLineChars="0"/>
        <w:rPr>
          <w:rFonts w:ascii="宋体" w:hAnsi="宋体" w:cs="宋体"/>
          <w:sz w:val="21"/>
          <w:szCs w:val="21"/>
        </w:rPr>
      </w:pPr>
      <w:r>
        <w:rPr>
          <w:rFonts w:hint="eastAsia" w:ascii="宋体" w:hAnsi="宋体" w:cs="宋体"/>
          <w:color w:val="000000"/>
          <w:sz w:val="21"/>
          <w:szCs w:val="21"/>
        </w:rPr>
        <w:t>中标人应当按照合同约定的履约责任，在保证质量的前提下完成中标项目，不得将中标项目转包或分包给他人，否则视为违约，招标人有权解除合同</w:t>
      </w:r>
      <w:r>
        <w:rPr>
          <w:rFonts w:hint="eastAsia" w:ascii="宋体" w:hAnsi="宋体" w:cs="宋体"/>
          <w:color w:val="000000"/>
          <w:sz w:val="21"/>
          <w:szCs w:val="21"/>
          <w:lang w:eastAsia="zh-CN"/>
        </w:rPr>
        <w:t>；</w:t>
      </w:r>
    </w:p>
    <w:p w14:paraId="35286934">
      <w:pPr>
        <w:numPr>
          <w:ilvl w:val="0"/>
          <w:numId w:val="21"/>
        </w:numPr>
        <w:spacing w:line="360" w:lineRule="auto"/>
        <w:ind w:left="425" w:leftChars="0" w:hanging="425" w:firstLineChars="0"/>
        <w:rPr>
          <w:sz w:val="21"/>
          <w:szCs w:val="21"/>
        </w:rPr>
      </w:pPr>
      <w:r>
        <w:rPr>
          <w:rFonts w:hint="eastAsia" w:ascii="宋体" w:hAnsi="宋体" w:cs="宋体"/>
          <w:color w:val="000000"/>
          <w:sz w:val="21"/>
          <w:szCs w:val="21"/>
        </w:rPr>
        <w:t>招标人有权指定招标人的关联单位作为合同签订人，与中标人签署相关合同，且具体权利义务以中标人与招标人的关联公司最终签署的合同为准</w:t>
      </w:r>
      <w:r>
        <w:rPr>
          <w:rFonts w:hint="eastAsia" w:ascii="宋体" w:hAnsi="宋体" w:cs="宋体"/>
          <w:color w:val="000000"/>
          <w:sz w:val="21"/>
          <w:szCs w:val="21"/>
          <w:lang w:eastAsia="zh-CN"/>
        </w:rPr>
        <w:t>；</w:t>
      </w:r>
    </w:p>
    <w:p w14:paraId="24C99613">
      <w:pPr>
        <w:numPr>
          <w:ilvl w:val="0"/>
          <w:numId w:val="21"/>
        </w:numPr>
        <w:spacing w:line="360" w:lineRule="auto"/>
        <w:ind w:left="425" w:leftChars="0" w:hanging="425" w:firstLineChars="0"/>
        <w:rPr>
          <w:rFonts w:ascii="宋体" w:hAnsi="宋体" w:cs="宋体"/>
          <w:b/>
          <w:color w:val="000000"/>
          <w:sz w:val="21"/>
          <w:szCs w:val="21"/>
        </w:rPr>
      </w:pPr>
      <w:r>
        <w:rPr>
          <w:rFonts w:hint="eastAsia" w:ascii="宋体" w:hAnsi="宋体" w:cs="宋体"/>
          <w:b/>
          <w:sz w:val="21"/>
          <w:szCs w:val="21"/>
        </w:rPr>
        <w:t>中标人由于履行义务的能力或信用有严重缺陷，招标人有权取消其中标资格，招标人将从中标候选单位中依序重新确定中标人，或重新组织招标；</w:t>
      </w:r>
    </w:p>
    <w:p w14:paraId="58171DC2">
      <w:pPr>
        <w:numPr>
          <w:ilvl w:val="0"/>
          <w:numId w:val="21"/>
        </w:numPr>
        <w:spacing w:line="360" w:lineRule="auto"/>
        <w:ind w:left="425" w:leftChars="0" w:hanging="425" w:firstLineChars="0"/>
        <w:rPr>
          <w:rFonts w:ascii="宋体" w:hAnsi="宋体" w:cs="宋体"/>
          <w:b/>
          <w:color w:val="000000"/>
          <w:sz w:val="21"/>
          <w:szCs w:val="21"/>
        </w:rPr>
      </w:pPr>
      <w:r>
        <w:rPr>
          <w:rFonts w:hint="eastAsia" w:ascii="宋体" w:hAnsi="宋体" w:cs="宋体"/>
          <w:b/>
          <w:sz w:val="21"/>
          <w:szCs w:val="21"/>
        </w:rPr>
        <w:t>合同以双方最终签署的版本为准。</w:t>
      </w:r>
    </w:p>
    <w:p w14:paraId="2AC08E81">
      <w:pPr>
        <w:pStyle w:val="9"/>
        <w:rPr>
          <w:rFonts w:hint="eastAsia" w:ascii="宋体" w:hAnsi="宋体" w:cs="宋体"/>
          <w:b/>
          <w:szCs w:val="21"/>
        </w:rPr>
      </w:pPr>
    </w:p>
    <w:p w14:paraId="040DEFB4">
      <w:pPr>
        <w:pStyle w:val="9"/>
        <w:rPr>
          <w:rFonts w:hint="eastAsia" w:ascii="宋体" w:hAnsi="宋体" w:cs="宋体"/>
          <w:b/>
          <w:szCs w:val="21"/>
        </w:rPr>
      </w:pPr>
    </w:p>
    <w:p w14:paraId="6FBD6E7A">
      <w:pPr>
        <w:pStyle w:val="9"/>
        <w:rPr>
          <w:rFonts w:hint="eastAsia" w:ascii="宋体" w:hAnsi="宋体" w:cs="宋体"/>
          <w:b/>
          <w:szCs w:val="21"/>
        </w:rPr>
      </w:pPr>
    </w:p>
    <w:p w14:paraId="56B51BE1">
      <w:pPr>
        <w:pStyle w:val="35"/>
      </w:pPr>
      <w:r>
        <w:rPr>
          <w:rFonts w:hint="eastAsia"/>
        </w:rPr>
        <w:t>附件</w:t>
      </w:r>
      <w:r>
        <w:t>1</w:t>
      </w:r>
      <w:bookmarkStart w:id="11" w:name="_Toc25811"/>
      <w:bookmarkStart w:id="12" w:name="_Toc353881012"/>
      <w:bookmarkStart w:id="13" w:name="_Toc212369550"/>
      <w:bookmarkStart w:id="14" w:name="_Toc639004"/>
      <w:r>
        <w:t xml:space="preserve"> </w:t>
      </w:r>
      <w:r>
        <w:rPr>
          <w:rFonts w:hint="eastAsia"/>
        </w:rPr>
        <w:t>投标函</w:t>
      </w:r>
      <w:bookmarkEnd w:id="11"/>
      <w:bookmarkEnd w:id="12"/>
      <w:bookmarkEnd w:id="13"/>
      <w:bookmarkEnd w:id="14"/>
    </w:p>
    <w:p w14:paraId="76025B66">
      <w:pPr>
        <w:pStyle w:val="28"/>
        <w:ind w:firstLine="480"/>
      </w:pPr>
      <w:r>
        <w:rPr>
          <w:rFonts w:hint="eastAsia"/>
        </w:rPr>
        <w:t>致：中国重汽集团济南动力有限公司：</w:t>
      </w:r>
    </w:p>
    <w:p w14:paraId="5D622F2B">
      <w:pPr>
        <w:pStyle w:val="28"/>
        <w:ind w:firstLine="480"/>
      </w:pPr>
      <w:r>
        <w:rPr>
          <w:rFonts w:hint="eastAsia"/>
        </w:rPr>
        <w:t>根据贵方</w:t>
      </w:r>
      <w:r>
        <w:rPr>
          <w:u w:val="single"/>
        </w:rPr>
        <w:t xml:space="preserve"> </w:t>
      </w:r>
      <w:r>
        <w:rPr>
          <w:rFonts w:hint="eastAsia"/>
          <w:b/>
          <w:bCs/>
          <w:u w:val="single"/>
          <w:lang w:eastAsia="zh-CN"/>
        </w:rPr>
        <w:t>ABAQUS软件采购</w:t>
      </w:r>
      <w:r>
        <w:rPr>
          <w:rFonts w:hint="eastAsia"/>
          <w:b/>
          <w:bCs/>
          <w:u w:val="single"/>
        </w:rPr>
        <w:t>项目</w:t>
      </w:r>
      <w:r>
        <w:rPr>
          <w:rFonts w:hint="eastAsia"/>
          <w:b/>
          <w:bCs/>
          <w:snapToGrid w:val="0"/>
          <w:kern w:val="0"/>
          <w:u w:val="single"/>
        </w:rPr>
        <w:t>招标公告</w:t>
      </w:r>
      <w:r>
        <w:rPr>
          <w:b/>
          <w:bCs/>
          <w:snapToGrid w:val="0"/>
          <w:kern w:val="0"/>
          <w:u w:val="single"/>
        </w:rPr>
        <w:t xml:space="preserve">   </w:t>
      </w:r>
      <w:r>
        <w:rPr>
          <w:rFonts w:hint="eastAsia"/>
        </w:rPr>
        <w:t>，</w:t>
      </w:r>
      <w:r>
        <w:rPr>
          <w:rFonts w:hint="eastAsia"/>
          <w:b/>
          <w:u w:val="single"/>
        </w:rPr>
        <w:t xml:space="preserve"> </w:t>
      </w:r>
      <w:r>
        <w:rPr>
          <w:b/>
          <w:u w:val="single"/>
        </w:rPr>
        <w:t xml:space="preserve">       </w:t>
      </w:r>
      <w:r>
        <w:rPr>
          <w:rFonts w:hint="eastAsia"/>
          <w:b/>
          <w:u w:val="single"/>
        </w:rPr>
        <w:t>投标公司</w:t>
      </w:r>
      <w:r>
        <w:rPr>
          <w:rFonts w:hint="eastAsia"/>
          <w:u w:val="single"/>
        </w:rPr>
        <w:t xml:space="preserve">     </w:t>
      </w:r>
      <w:r>
        <w:rPr>
          <w:rFonts w:hint="eastAsia"/>
        </w:rPr>
        <w:t>， 法人代表人为</w:t>
      </w:r>
      <w:r>
        <w:rPr>
          <w:u w:val="single"/>
        </w:rPr>
        <w:t xml:space="preserve">    </w:t>
      </w:r>
      <w:r>
        <w:rPr>
          <w:rFonts w:hint="eastAsia"/>
          <w:u w:val="single"/>
        </w:rPr>
        <w:t>法人名字</w:t>
      </w:r>
      <w:r>
        <w:rPr>
          <w:u w:val="single"/>
        </w:rPr>
        <w:t xml:space="preserve">  </w:t>
      </w:r>
      <w:r>
        <w:rPr>
          <w:rFonts w:hint="eastAsia"/>
          <w:u w:val="single"/>
        </w:rPr>
        <w:t xml:space="preserve"> </w:t>
      </w:r>
      <w:r>
        <w:rPr>
          <w:u w:val="single"/>
        </w:rPr>
        <w:t xml:space="preserve">  </w:t>
      </w:r>
      <w:r>
        <w:rPr>
          <w:rFonts w:hint="eastAsia"/>
        </w:rPr>
        <w:t>，正式授权</w:t>
      </w:r>
      <w:r>
        <w:rPr>
          <w:rFonts w:hint="eastAsia"/>
          <w:u w:val="single"/>
        </w:rPr>
        <w:t xml:space="preserve"> </w:t>
      </w:r>
      <w:r>
        <w:rPr>
          <w:u w:val="single"/>
        </w:rPr>
        <w:t xml:space="preserve">     </w:t>
      </w:r>
      <w:r>
        <w:rPr>
          <w:rFonts w:hint="eastAsia"/>
          <w:u w:val="single"/>
        </w:rPr>
        <w:t>被授权人名字</w:t>
      </w:r>
      <w:r>
        <w:rPr>
          <w:u w:val="single"/>
        </w:rPr>
        <w:t xml:space="preserve">     </w:t>
      </w:r>
      <w:r>
        <w:rPr>
          <w:rFonts w:hint="eastAsia"/>
        </w:rPr>
        <w:t xml:space="preserve"> 提交纸质投标文件：商务和技术文件、资质证明文件正本</w:t>
      </w:r>
      <w:r>
        <w:rPr>
          <w:rFonts w:hint="eastAsia"/>
          <w:u w:val="single"/>
        </w:rPr>
        <w:t xml:space="preserve"> </w:t>
      </w:r>
      <w:r>
        <w:rPr>
          <w:u w:val="single"/>
        </w:rPr>
        <w:t xml:space="preserve">   </w:t>
      </w:r>
      <w:r>
        <w:rPr>
          <w:rFonts w:hint="eastAsia"/>
        </w:rPr>
        <w:t>份。电子版投标文件1份。</w:t>
      </w:r>
    </w:p>
    <w:p w14:paraId="5433FE63">
      <w:pPr>
        <w:pStyle w:val="28"/>
        <w:ind w:firstLine="480"/>
      </w:pPr>
      <w:r>
        <w:rPr>
          <w:rFonts w:hint="eastAsia"/>
        </w:rPr>
        <w:t>据此函，签字代表宣布同意如下：</w:t>
      </w:r>
    </w:p>
    <w:p w14:paraId="1CFF5466">
      <w:pPr>
        <w:pStyle w:val="28"/>
        <w:ind w:firstLine="480"/>
      </w:pPr>
      <w:r>
        <w:rPr>
          <w:rFonts w:hint="eastAsia"/>
        </w:rPr>
        <w:t>1、投标人已详细审查全部“招标文件”，包括修改文件（如有的话）以及全部参考资料和有关附件，已经了解我方对于招标文件、采购过程、采购结果有依法进行询问、质疑、投诉的权利及相关渠道和要求。</w:t>
      </w:r>
    </w:p>
    <w:p w14:paraId="4EE7F60F">
      <w:pPr>
        <w:pStyle w:val="28"/>
        <w:ind w:firstLine="480"/>
      </w:pPr>
      <w:r>
        <w:rPr>
          <w:rFonts w:hint="eastAsia"/>
        </w:rPr>
        <w:t>2、投标人在投标之前已经与贵方进行了充分的沟通，完全理解并接受招标文件的各项规定和要求，对招标文件的合理性、合法性不再有异议。</w:t>
      </w:r>
    </w:p>
    <w:p w14:paraId="21AFE19B">
      <w:pPr>
        <w:pStyle w:val="28"/>
        <w:ind w:firstLine="480"/>
      </w:pPr>
      <w:r>
        <w:rPr>
          <w:rFonts w:hint="eastAsia"/>
        </w:rPr>
        <w:t>3、本投标有效期自开标日起</w:t>
      </w:r>
      <w:r>
        <w:rPr>
          <w:rFonts w:hint="eastAsia"/>
          <w:bCs/>
          <w:u w:val="single"/>
        </w:rPr>
        <w:t xml:space="preserve"> </w:t>
      </w:r>
      <w:r>
        <w:rPr>
          <w:bCs/>
          <w:u w:val="single"/>
        </w:rPr>
        <w:t>30</w:t>
      </w:r>
      <w:r>
        <w:rPr>
          <w:rFonts w:hint="eastAsia"/>
        </w:rPr>
        <w:t>个日历日。</w:t>
      </w:r>
    </w:p>
    <w:p w14:paraId="5698172E">
      <w:pPr>
        <w:pStyle w:val="28"/>
        <w:ind w:firstLine="480"/>
      </w:pPr>
      <w:r>
        <w:rPr>
          <w:rFonts w:hint="eastAsia"/>
        </w:rPr>
        <w:t>4、如中标，本投标文件至本项目合同履行完毕止均保持有效，本投标人将按“招标文件”及政府采购法律、法规的规定履行合同责任和义务。</w:t>
      </w:r>
    </w:p>
    <w:p w14:paraId="14F55C7B">
      <w:pPr>
        <w:pStyle w:val="28"/>
        <w:ind w:firstLine="480"/>
      </w:pPr>
      <w:r>
        <w:rPr>
          <w:rFonts w:hint="eastAsia"/>
        </w:rPr>
        <w:t>5、投标人同意按照贵方要求提供与投标有关的一切数据或资料。</w:t>
      </w:r>
    </w:p>
    <w:p w14:paraId="3B420585">
      <w:pPr>
        <w:pStyle w:val="28"/>
        <w:ind w:firstLine="480"/>
      </w:pPr>
      <w:r>
        <w:rPr>
          <w:rFonts w:hint="eastAsia"/>
        </w:rPr>
        <w:t>6、与本投标有关的一切正式往来信函请寄：</w:t>
      </w:r>
    </w:p>
    <w:p w14:paraId="706FE88F">
      <w:pPr>
        <w:pStyle w:val="28"/>
        <w:ind w:firstLine="480"/>
      </w:pPr>
      <w:r>
        <w:rPr>
          <w:rFonts w:hint="eastAsia"/>
        </w:rPr>
        <w:t xml:space="preserve">地址：                            </w:t>
      </w:r>
      <w:r>
        <w:t xml:space="preserve"> </w:t>
      </w:r>
    </w:p>
    <w:p w14:paraId="1D08226F">
      <w:pPr>
        <w:pStyle w:val="28"/>
        <w:ind w:firstLine="480"/>
      </w:pPr>
      <w:r>
        <w:rPr>
          <w:rFonts w:hint="eastAsia"/>
        </w:rPr>
        <w:t xml:space="preserve">邮编：        </w:t>
      </w:r>
    </w:p>
    <w:p w14:paraId="638030E5">
      <w:pPr>
        <w:pStyle w:val="28"/>
        <w:ind w:firstLine="480"/>
      </w:pPr>
      <w:r>
        <w:rPr>
          <w:rFonts w:hint="eastAsia"/>
        </w:rPr>
        <w:t xml:space="preserve">电话：        传真：                   </w:t>
      </w:r>
    </w:p>
    <w:p w14:paraId="45C552FE">
      <w:pPr>
        <w:pStyle w:val="28"/>
        <w:ind w:firstLine="480"/>
      </w:pPr>
      <w:r>
        <w:rPr>
          <w:rFonts w:hint="eastAsia"/>
        </w:rPr>
        <w:t xml:space="preserve">投标人代表姓名：__   _____职务：          </w:t>
      </w:r>
    </w:p>
    <w:p w14:paraId="3ED1F715">
      <w:pPr>
        <w:pStyle w:val="28"/>
        <w:ind w:firstLine="480"/>
      </w:pPr>
      <w:r>
        <w:rPr>
          <w:rFonts w:hint="eastAsia"/>
        </w:rPr>
        <w:t xml:space="preserve">开户银行：                  </w:t>
      </w:r>
      <w:r>
        <w:t xml:space="preserve"> </w:t>
      </w:r>
    </w:p>
    <w:p w14:paraId="14B4699B">
      <w:pPr>
        <w:pStyle w:val="28"/>
        <w:ind w:firstLine="480"/>
      </w:pPr>
      <w:r>
        <w:rPr>
          <w:rFonts w:hint="eastAsia"/>
        </w:rPr>
        <w:t xml:space="preserve">银行帐号：                   </w:t>
      </w:r>
    </w:p>
    <w:p w14:paraId="1E6D8328">
      <w:pPr>
        <w:pStyle w:val="28"/>
        <w:ind w:firstLine="480"/>
      </w:pPr>
      <w:r>
        <w:rPr>
          <w:rFonts w:hint="eastAsia"/>
        </w:rPr>
        <w:t>投标人名称（</w:t>
      </w:r>
      <w:r>
        <w:rPr>
          <w:rFonts w:hint="eastAsia"/>
          <w:bCs/>
        </w:rPr>
        <w:t>盖章）</w:t>
      </w:r>
      <w:r>
        <w:rPr>
          <w:rFonts w:hint="eastAsia"/>
        </w:rPr>
        <w:t xml:space="preserve">: </w:t>
      </w:r>
    </w:p>
    <w:p w14:paraId="3D1F31E6">
      <w:pPr>
        <w:pStyle w:val="28"/>
        <w:ind w:firstLine="480"/>
      </w:pPr>
      <w:r>
        <w:rPr>
          <w:rFonts w:hint="eastAsia"/>
        </w:rPr>
        <w:t>授权代表签字</w:t>
      </w:r>
      <w:r>
        <w:rPr>
          <w:rFonts w:hint="eastAsia"/>
          <w:bCs/>
        </w:rPr>
        <w:t>：</w:t>
      </w:r>
    </w:p>
    <w:p w14:paraId="642408F8">
      <w:pPr>
        <w:pStyle w:val="28"/>
        <w:ind w:firstLine="480"/>
      </w:pPr>
      <w:r>
        <w:rPr>
          <w:rFonts w:hint="eastAsia"/>
        </w:rPr>
        <w:t>日期：     年      月      日</w:t>
      </w:r>
    </w:p>
    <w:p w14:paraId="55D81116">
      <w:pPr>
        <w:pStyle w:val="35"/>
      </w:pPr>
      <w:r>
        <w:br w:type="page"/>
      </w:r>
      <w:r>
        <w:rPr>
          <w:rFonts w:hint="eastAsia"/>
        </w:rPr>
        <w:t>附件2</w:t>
      </w:r>
      <w:r>
        <w:t xml:space="preserve"> </w:t>
      </w:r>
      <w:r>
        <w:rPr>
          <w:rFonts w:hint="eastAsia"/>
        </w:rPr>
        <w:t>法定代表人授权委托书</w:t>
      </w:r>
    </w:p>
    <w:p w14:paraId="5A62ECE3">
      <w:pPr>
        <w:pStyle w:val="8"/>
        <w:adjustRightInd w:val="0"/>
        <w:snapToGrid w:val="0"/>
        <w:spacing w:before="93" w:beforeLines="30" w:line="240" w:lineRule="exact"/>
        <w:jc w:val="center"/>
        <w:rPr>
          <w:rFonts w:ascii="宋体" w:hAnsi="宋体"/>
          <w:sz w:val="24"/>
        </w:rPr>
      </w:pPr>
    </w:p>
    <w:p w14:paraId="59BABEE8">
      <w:pPr>
        <w:pStyle w:val="28"/>
        <w:ind w:firstLine="480"/>
      </w:pPr>
      <w:r>
        <w:rPr>
          <w:rFonts w:hint="eastAsia"/>
        </w:rPr>
        <w:t xml:space="preserve">本授权委托书声明：我＿＿＿＿＿＿＿（姓名）系＿＿＿＿＿＿＿＿＿＿＿＿＿＿＿＿＿＿＿＿＿＿＿＿＿＿＿＿（投标人全称）的法定代表人，就  </w:t>
      </w:r>
      <w:r>
        <w:t xml:space="preserve">  </w:t>
      </w:r>
      <w:r>
        <w:rPr>
          <w:rFonts w:hint="eastAsia"/>
        </w:rPr>
        <w:t>（项目名称）   （招标编号）现授权委托＿＿＿＿＿＿＿＿＿＿＿＿＿＿＿＿＿＿＿＿＿＿＿＿＿＿＿＿（单位名称）的＿＿＿＿＿＿＿＿（姓名、职务）为我公司全权代表，全权代表在投标文件、评标过程中的书面承诺、合同等所签署的一切文件和处理与之有关的一切事务，我均予以承认。</w:t>
      </w:r>
    </w:p>
    <w:p w14:paraId="4F755CE9">
      <w:pPr>
        <w:pStyle w:val="28"/>
        <w:ind w:firstLine="480"/>
      </w:pPr>
      <w:r>
        <w:rPr>
          <w:rFonts w:hint="eastAsia"/>
        </w:rPr>
        <w:t>全权代表无转委权。特此委托。</w:t>
      </w:r>
    </w:p>
    <w:tbl>
      <w:tblPr>
        <w:tblStyle w:val="1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596F8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37A508B4">
            <w:pPr>
              <w:adjustRightInd w:val="0"/>
              <w:snapToGrid w:val="0"/>
              <w:spacing w:before="93" w:beforeLines="30" w:line="312" w:lineRule="auto"/>
              <w:jc w:val="center"/>
              <w:rPr>
                <w:rFonts w:ascii="宋体" w:hAnsi="宋体" w:eastAsia="宋体"/>
                <w:sz w:val="24"/>
              </w:rPr>
            </w:pPr>
            <w:r>
              <w:rPr>
                <w:rFonts w:hint="eastAsia" w:ascii="宋体" w:hAnsi="宋体" w:eastAsia="宋体"/>
                <w:sz w:val="24"/>
              </w:rPr>
              <w:t>（附法人身份证明复印件）</w:t>
            </w:r>
          </w:p>
          <w:p w14:paraId="2CDD3F64">
            <w:pPr>
              <w:adjustRightInd w:val="0"/>
              <w:snapToGrid w:val="0"/>
              <w:spacing w:before="93" w:beforeLines="30" w:line="312" w:lineRule="auto"/>
              <w:jc w:val="center"/>
              <w:rPr>
                <w:rFonts w:ascii="宋体" w:hAnsi="宋体"/>
                <w:sz w:val="24"/>
              </w:rPr>
            </w:pPr>
            <w:r>
              <w:rPr>
                <w:rFonts w:hint="eastAsia" w:ascii="宋体" w:hAnsi="宋体" w:eastAsia="宋体"/>
                <w:sz w:val="24"/>
              </w:rPr>
              <w:t>（附授权代理人身份证明复印件）</w:t>
            </w:r>
          </w:p>
        </w:tc>
      </w:tr>
    </w:tbl>
    <w:p w14:paraId="32B107E4">
      <w:pPr>
        <w:pStyle w:val="28"/>
        <w:ind w:firstLine="480"/>
      </w:pPr>
      <w:r>
        <w:rPr>
          <w:rFonts w:hint="eastAsia"/>
        </w:rPr>
        <w:t>全权代表姓名：            性别：          年龄：</w:t>
      </w:r>
    </w:p>
    <w:p w14:paraId="68E87D1E">
      <w:pPr>
        <w:pStyle w:val="28"/>
        <w:ind w:firstLine="480"/>
      </w:pPr>
      <w:r>
        <w:rPr>
          <w:rFonts w:hint="eastAsia"/>
        </w:rPr>
        <w:t>单位：                    部门：          职务：</w:t>
      </w:r>
    </w:p>
    <w:p w14:paraId="3B34A7C1">
      <w:pPr>
        <w:pStyle w:val="28"/>
        <w:ind w:firstLine="480"/>
      </w:pPr>
      <w:r>
        <w:rPr>
          <w:rFonts w:hint="eastAsia"/>
        </w:rPr>
        <w:t xml:space="preserve">法定代表人签字或盖章                          </w:t>
      </w:r>
    </w:p>
    <w:p w14:paraId="68D4BBF1">
      <w:pPr>
        <w:pStyle w:val="28"/>
        <w:ind w:firstLine="480"/>
      </w:pPr>
      <w:r>
        <w:rPr>
          <w:rFonts w:hint="eastAsia"/>
        </w:rPr>
        <w:t xml:space="preserve">被授权人签字  </w:t>
      </w:r>
    </w:p>
    <w:p w14:paraId="5B8B358A">
      <w:pPr>
        <w:pStyle w:val="28"/>
        <w:ind w:firstLine="480"/>
      </w:pPr>
      <w:r>
        <w:rPr>
          <w:rFonts w:hint="eastAsia"/>
        </w:rPr>
        <w:t xml:space="preserve">被授权人电话：                          </w:t>
      </w:r>
    </w:p>
    <w:p w14:paraId="45E4E6B0">
      <w:pPr>
        <w:pStyle w:val="28"/>
        <w:ind w:firstLine="480"/>
      </w:pPr>
      <w:r>
        <w:rPr>
          <w:rFonts w:hint="eastAsia"/>
        </w:rPr>
        <w:t xml:space="preserve">投标人名称（公章）                       </w:t>
      </w:r>
    </w:p>
    <w:p w14:paraId="01DF4B52">
      <w:pPr>
        <w:spacing w:line="460" w:lineRule="exact"/>
        <w:ind w:firstLine="5520" w:firstLineChars="2300"/>
        <w:rPr>
          <w:rFonts w:ascii="宋体" w:hAnsi="宋体"/>
          <w:sz w:val="24"/>
          <w:u w:val="single"/>
        </w:rPr>
      </w:pP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4FBE0151">
      <w:pPr>
        <w:rPr>
          <w:rFonts w:eastAsia="黑体"/>
          <w:b/>
          <w:bCs/>
          <w:color w:val="000000"/>
          <w:sz w:val="28"/>
        </w:rPr>
        <w:sectPr>
          <w:headerReference r:id="rId4" w:type="first"/>
          <w:footerReference r:id="rId6" w:type="first"/>
          <w:headerReference r:id="rId3" w:type="default"/>
          <w:footerReference r:id="rId5" w:type="default"/>
          <w:pgSz w:w="11906" w:h="16838"/>
          <w:pgMar w:top="1588" w:right="1418" w:bottom="1134" w:left="1418" w:header="851" w:footer="680" w:gutter="0"/>
          <w:pgNumType w:start="0"/>
          <w:cols w:space="720" w:num="1"/>
          <w:titlePg/>
          <w:docGrid w:type="lines" w:linePitch="312" w:charSpace="0"/>
        </w:sectPr>
      </w:pPr>
    </w:p>
    <w:p w14:paraId="2FCF5EFA">
      <w:pPr>
        <w:pStyle w:val="35"/>
      </w:pPr>
      <w:r>
        <w:rPr>
          <w:rFonts w:hint="eastAsia" w:cs="宋体"/>
        </w:rPr>
        <w:t>附件</w:t>
      </w:r>
      <w:r>
        <w:rPr>
          <w:rFonts w:cs="宋体"/>
        </w:rPr>
        <w:t xml:space="preserve">3 </w:t>
      </w:r>
      <w:r>
        <w:rPr>
          <w:rFonts w:hint="eastAsia"/>
          <w:color w:val="auto"/>
        </w:rPr>
        <w:t>技术规格偏离表</w:t>
      </w:r>
    </w:p>
    <w:p w14:paraId="75B5B6CA">
      <w:pPr>
        <w:spacing w:line="600" w:lineRule="exact"/>
        <w:ind w:firstLine="141"/>
        <w:jc w:val="left"/>
      </w:pPr>
      <w:r>
        <w:rPr>
          <w:rFonts w:hint="eastAsia"/>
        </w:rPr>
        <w:t>项目名称：</w:t>
      </w:r>
      <w:r>
        <w:rPr>
          <w:rFonts w:hint="eastAsia" w:ascii="宋体" w:hAnsi="宋体" w:eastAsia="宋体"/>
          <w:color w:val="000000"/>
          <w:sz w:val="24"/>
          <w:szCs w:val="24"/>
          <w:u w:val="single"/>
          <w:lang w:eastAsia="zh-CN"/>
        </w:rPr>
        <w:t>ABAQUS软件采购项目</w:t>
      </w:r>
      <w:r>
        <w:rPr>
          <w:rFonts w:hint="eastAsia"/>
        </w:rPr>
        <w:t xml:space="preserve">                                                           </w:t>
      </w:r>
    </w:p>
    <w:tbl>
      <w:tblPr>
        <w:tblStyle w:val="18"/>
        <w:tblW w:w="502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6277"/>
        <w:gridCol w:w="1163"/>
        <w:gridCol w:w="1094"/>
      </w:tblGrid>
      <w:tr w14:paraId="5683A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427" w:type="pct"/>
            <w:vAlign w:val="center"/>
          </w:tcPr>
          <w:p w14:paraId="65146C9D">
            <w:pPr>
              <w:pStyle w:val="31"/>
              <w:jc w:val="center"/>
            </w:pPr>
            <w:r>
              <w:rPr>
                <w:rFonts w:hint="eastAsia"/>
              </w:rPr>
              <w:t>序号</w:t>
            </w:r>
          </w:p>
        </w:tc>
        <w:tc>
          <w:tcPr>
            <w:tcW w:w="3362" w:type="pct"/>
            <w:vAlign w:val="center"/>
          </w:tcPr>
          <w:p w14:paraId="027C0318">
            <w:pPr>
              <w:pStyle w:val="31"/>
            </w:pPr>
            <w:r>
              <w:rPr>
                <w:rFonts w:hint="eastAsia"/>
              </w:rPr>
              <w:t>招标要求</w:t>
            </w:r>
          </w:p>
        </w:tc>
        <w:tc>
          <w:tcPr>
            <w:tcW w:w="623" w:type="pct"/>
            <w:vAlign w:val="center"/>
          </w:tcPr>
          <w:p w14:paraId="47A6C65D">
            <w:pPr>
              <w:pStyle w:val="31"/>
            </w:pPr>
            <w:r>
              <w:rPr>
                <w:rFonts w:hint="eastAsia"/>
              </w:rPr>
              <w:t>响应规格</w:t>
            </w:r>
          </w:p>
        </w:tc>
        <w:tc>
          <w:tcPr>
            <w:tcW w:w="586" w:type="pct"/>
            <w:vAlign w:val="center"/>
          </w:tcPr>
          <w:p w14:paraId="3A98D1D8">
            <w:pPr>
              <w:pStyle w:val="31"/>
            </w:pPr>
            <w:r>
              <w:rPr>
                <w:rFonts w:hint="eastAsia"/>
              </w:rPr>
              <w:t>是否偏离</w:t>
            </w:r>
          </w:p>
        </w:tc>
      </w:tr>
      <w:tr w14:paraId="03401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trPr>
        <w:tc>
          <w:tcPr>
            <w:tcW w:w="427" w:type="pct"/>
            <w:vAlign w:val="center"/>
          </w:tcPr>
          <w:p w14:paraId="31FB21BE">
            <w:pPr>
              <w:pStyle w:val="31"/>
              <w:jc w:val="center"/>
            </w:pPr>
            <w:r>
              <w:rPr>
                <w:rFonts w:hint="eastAsia"/>
              </w:rPr>
              <w:t>1</w:t>
            </w:r>
          </w:p>
        </w:tc>
        <w:tc>
          <w:tcPr>
            <w:tcW w:w="3362" w:type="pct"/>
            <w:vAlign w:val="center"/>
          </w:tcPr>
          <w:p w14:paraId="74782DCA">
            <w:pPr>
              <w:pStyle w:val="31"/>
              <w:spacing w:line="360" w:lineRule="auto"/>
              <w:rPr>
                <w:rFonts w:hint="eastAsia"/>
              </w:rPr>
            </w:pPr>
            <w:r>
              <w:rPr>
                <w:rFonts w:hint="eastAsia"/>
              </w:rPr>
              <w:t>功能要求：</w:t>
            </w:r>
          </w:p>
          <w:p w14:paraId="0C149347">
            <w:pPr>
              <w:pStyle w:val="31"/>
              <w:numPr>
                <w:ilvl w:val="0"/>
                <w:numId w:val="22"/>
              </w:numPr>
              <w:spacing w:line="360" w:lineRule="auto"/>
              <w:ind w:left="425" w:leftChars="0" w:hanging="425" w:firstLineChars="0"/>
              <w:rPr>
                <w:rFonts w:hint="eastAsia"/>
                <w:lang w:val="en-US" w:eastAsia="zh-CN"/>
              </w:rPr>
            </w:pPr>
            <w:r>
              <w:rPr>
                <w:rFonts w:hint="eastAsia"/>
                <w:lang w:val="en-US" w:eastAsia="zh-CN"/>
              </w:rPr>
              <w:t>前处理能够快速建立分析模型，包括快速建立或导入几何模型、划分网格、定义材料属性、边界条件与约束条件、施加载荷等。</w:t>
            </w:r>
          </w:p>
          <w:p w14:paraId="2FB80F23">
            <w:pPr>
              <w:pStyle w:val="31"/>
              <w:numPr>
                <w:ilvl w:val="0"/>
                <w:numId w:val="22"/>
              </w:numPr>
              <w:spacing w:line="360" w:lineRule="auto"/>
              <w:ind w:left="425" w:leftChars="0" w:hanging="425" w:firstLineChars="0"/>
              <w:rPr>
                <w:rFonts w:hint="eastAsia"/>
                <w:lang w:val="en-US" w:eastAsia="zh-CN"/>
              </w:rPr>
            </w:pPr>
            <w:r>
              <w:rPr>
                <w:rFonts w:hint="eastAsia"/>
                <w:lang w:val="en-US" w:eastAsia="zh-CN"/>
              </w:rPr>
              <w:t>后处理提供云图、等值线、向量、动画、曲线等多种显示模式，能够处理各种结构量（包括应力应变、力、速度、加速度、位移等）。</w:t>
            </w:r>
          </w:p>
          <w:p w14:paraId="6EC460A2">
            <w:pPr>
              <w:pStyle w:val="31"/>
              <w:numPr>
                <w:ilvl w:val="0"/>
                <w:numId w:val="22"/>
              </w:numPr>
              <w:spacing w:line="360" w:lineRule="auto"/>
              <w:ind w:left="425" w:leftChars="0" w:hanging="425" w:firstLineChars="0"/>
              <w:rPr>
                <w:rFonts w:hint="eastAsia"/>
                <w:lang w:val="en-US" w:eastAsia="zh-CN"/>
              </w:rPr>
            </w:pPr>
            <w:r>
              <w:rPr>
                <w:rFonts w:hint="eastAsia"/>
                <w:lang w:val="en-US" w:eastAsia="zh-CN"/>
              </w:rPr>
              <w:t>具有隐式和显式求解器，两种求解器均具有结构分析和热分析能力，能够求解复杂的多步非线性问题，包括几何大变形、复杂接触和材料非线性行为；求解器精度好，效率高，收敛性好。隐式和显式求解器由同一厂家研发，数据结构统一，数据能够互导。</w:t>
            </w:r>
          </w:p>
          <w:p w14:paraId="4BFC93A1">
            <w:pPr>
              <w:pStyle w:val="31"/>
              <w:numPr>
                <w:ilvl w:val="0"/>
                <w:numId w:val="22"/>
              </w:numPr>
              <w:spacing w:line="360" w:lineRule="auto"/>
              <w:ind w:left="425" w:leftChars="0" w:hanging="425" w:firstLineChars="0"/>
              <w:rPr>
                <w:rFonts w:hint="eastAsia"/>
                <w:lang w:val="en-US" w:eastAsia="zh-CN"/>
              </w:rPr>
            </w:pPr>
            <w:r>
              <w:rPr>
                <w:rFonts w:hint="eastAsia"/>
                <w:lang w:val="en-US" w:eastAsia="zh-CN"/>
              </w:rPr>
              <w:t>能够进行结构疲劳计算，支持应力算法和应变算法，可基于有限元分析数据，或实验数据。</w:t>
            </w:r>
          </w:p>
          <w:p w14:paraId="739AA45A">
            <w:pPr>
              <w:pStyle w:val="31"/>
              <w:numPr>
                <w:ilvl w:val="0"/>
                <w:numId w:val="22"/>
              </w:numPr>
              <w:spacing w:line="360" w:lineRule="auto"/>
              <w:ind w:left="425" w:leftChars="0" w:hanging="425" w:firstLineChars="0"/>
              <w:rPr>
                <w:rFonts w:hint="eastAsia"/>
                <w:lang w:val="en-US" w:eastAsia="zh-CN"/>
              </w:rPr>
            </w:pPr>
            <w:r>
              <w:rPr>
                <w:rFonts w:hint="eastAsia"/>
                <w:lang w:val="en-US" w:eastAsia="zh-CN"/>
              </w:rPr>
              <w:t>能够进行基于流程的多目标多学科参数优化，支持实验设计、参数灵敏度分析、近似建模、稳健性设计。</w:t>
            </w:r>
          </w:p>
          <w:p w14:paraId="2DA9E952">
            <w:pPr>
              <w:pStyle w:val="31"/>
              <w:numPr>
                <w:ilvl w:val="0"/>
                <w:numId w:val="22"/>
              </w:numPr>
              <w:spacing w:line="360" w:lineRule="auto"/>
              <w:ind w:left="425" w:leftChars="0" w:hanging="425" w:firstLineChars="0"/>
              <w:rPr>
                <w:rFonts w:hint="eastAsia"/>
              </w:rPr>
            </w:pPr>
            <w:r>
              <w:rPr>
                <w:rFonts w:hint="eastAsia"/>
                <w:lang w:val="en-US" w:eastAsia="zh-CN"/>
              </w:rPr>
              <w:t>能够进行拓扑优化，包括形状优化、起筋优化、尺寸优化等多种类型，优化时可考虑结构的非线性效应。</w:t>
            </w:r>
          </w:p>
        </w:tc>
        <w:tc>
          <w:tcPr>
            <w:tcW w:w="623" w:type="pct"/>
            <w:vAlign w:val="center"/>
          </w:tcPr>
          <w:p w14:paraId="743BBBF5">
            <w:pPr>
              <w:pStyle w:val="31"/>
            </w:pPr>
          </w:p>
        </w:tc>
        <w:tc>
          <w:tcPr>
            <w:tcW w:w="586" w:type="pct"/>
            <w:vAlign w:val="center"/>
          </w:tcPr>
          <w:p w14:paraId="3772218C">
            <w:pPr>
              <w:pStyle w:val="31"/>
            </w:pPr>
          </w:p>
        </w:tc>
      </w:tr>
      <w:tr w14:paraId="03BF2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trPr>
        <w:tc>
          <w:tcPr>
            <w:tcW w:w="427" w:type="pct"/>
            <w:vAlign w:val="center"/>
          </w:tcPr>
          <w:p w14:paraId="5FD269EE">
            <w:pPr>
              <w:pStyle w:val="31"/>
              <w:jc w:val="center"/>
            </w:pPr>
            <w:r>
              <w:rPr>
                <w:rFonts w:hint="eastAsia"/>
              </w:rPr>
              <w:t>2</w:t>
            </w:r>
          </w:p>
        </w:tc>
        <w:tc>
          <w:tcPr>
            <w:tcW w:w="3362" w:type="pct"/>
            <w:vAlign w:val="center"/>
          </w:tcPr>
          <w:p w14:paraId="5A6472FF">
            <w:pPr>
              <w:pStyle w:val="31"/>
              <w:spacing w:line="360" w:lineRule="auto"/>
            </w:pPr>
            <w:r>
              <w:rPr>
                <w:rFonts w:hint="eastAsia"/>
              </w:rPr>
              <w:t>算力要求：</w:t>
            </w:r>
          </w:p>
          <w:p w14:paraId="68B842A8">
            <w:pPr>
              <w:pStyle w:val="31"/>
              <w:numPr>
                <w:ilvl w:val="0"/>
                <w:numId w:val="23"/>
              </w:numPr>
              <w:spacing w:line="360" w:lineRule="auto"/>
              <w:ind w:left="425" w:leftChars="0" w:hanging="425" w:firstLineChars="0"/>
              <w:rPr>
                <w:rFonts w:hint="default" w:eastAsia="宋体"/>
                <w:lang w:val="en-US" w:eastAsia="zh-CN"/>
              </w:rPr>
            </w:pPr>
            <w:r>
              <w:rPr>
                <w:rFonts w:hint="eastAsia" w:eastAsia="宋体"/>
                <w:color w:val="FF0000"/>
                <w:lang w:val="en-US" w:eastAsia="zh-CN"/>
              </w:rPr>
              <w:t>2个QAX（一个现有模块升级，一个新购）</w:t>
            </w:r>
          </w:p>
          <w:p w14:paraId="27813298">
            <w:pPr>
              <w:pStyle w:val="31"/>
              <w:numPr>
                <w:ilvl w:val="0"/>
                <w:numId w:val="23"/>
              </w:numPr>
              <w:spacing w:line="360" w:lineRule="auto"/>
              <w:ind w:left="425" w:leftChars="0" w:hanging="425" w:firstLineChars="0"/>
              <w:rPr>
                <w:rFonts w:hint="default" w:eastAsia="宋体"/>
                <w:lang w:val="en-US" w:eastAsia="zh-CN"/>
              </w:rPr>
            </w:pPr>
            <w:r>
              <w:rPr>
                <w:rFonts w:hint="eastAsia" w:eastAsia="宋体"/>
                <w:color w:val="FF0000"/>
                <w:lang w:val="en-US" w:eastAsia="zh-CN"/>
              </w:rPr>
              <w:t>22个QXT（22个现有模块升级token）</w:t>
            </w:r>
          </w:p>
        </w:tc>
        <w:tc>
          <w:tcPr>
            <w:tcW w:w="623" w:type="pct"/>
            <w:vAlign w:val="center"/>
          </w:tcPr>
          <w:p w14:paraId="1CF2533B">
            <w:pPr>
              <w:pStyle w:val="31"/>
            </w:pPr>
          </w:p>
        </w:tc>
        <w:tc>
          <w:tcPr>
            <w:tcW w:w="586" w:type="pct"/>
            <w:vAlign w:val="center"/>
          </w:tcPr>
          <w:p w14:paraId="7073C4A1">
            <w:pPr>
              <w:pStyle w:val="31"/>
            </w:pPr>
          </w:p>
        </w:tc>
      </w:tr>
      <w:tr w14:paraId="6E64D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trPr>
        <w:tc>
          <w:tcPr>
            <w:tcW w:w="427" w:type="pct"/>
            <w:vAlign w:val="center"/>
          </w:tcPr>
          <w:p w14:paraId="4A224DE9">
            <w:pPr>
              <w:pStyle w:val="31"/>
              <w:jc w:val="center"/>
              <w:rPr>
                <w:rFonts w:hint="eastAsia" w:eastAsia="宋体"/>
                <w:lang w:val="en-US" w:eastAsia="zh-CN"/>
              </w:rPr>
            </w:pPr>
            <w:r>
              <w:rPr>
                <w:rFonts w:hint="eastAsia"/>
                <w:lang w:val="en-US" w:eastAsia="zh-CN"/>
              </w:rPr>
              <w:t>3</w:t>
            </w:r>
          </w:p>
        </w:tc>
        <w:tc>
          <w:tcPr>
            <w:tcW w:w="3362" w:type="pct"/>
            <w:vAlign w:val="center"/>
          </w:tcPr>
          <w:p w14:paraId="55F7BF26">
            <w:pPr>
              <w:pStyle w:val="31"/>
              <w:spacing w:line="360" w:lineRule="auto"/>
              <w:rPr>
                <w:rFonts w:hint="eastAsia"/>
                <w:lang w:val="en-US" w:eastAsia="zh-CN"/>
              </w:rPr>
            </w:pPr>
            <w:r>
              <w:rPr>
                <w:rFonts w:hint="eastAsia"/>
                <w:lang w:val="en-US" w:eastAsia="zh-CN"/>
              </w:rPr>
              <w:t>软件前后处理：</w:t>
            </w:r>
          </w:p>
          <w:p w14:paraId="5C6674AA">
            <w:pPr>
              <w:pStyle w:val="31"/>
              <w:numPr>
                <w:ilvl w:val="0"/>
                <w:numId w:val="24"/>
              </w:numPr>
              <w:spacing w:line="360" w:lineRule="auto"/>
              <w:ind w:left="425" w:leftChars="0" w:hanging="425" w:firstLineChars="0"/>
              <w:rPr>
                <w:rFonts w:hint="eastAsia"/>
              </w:rPr>
            </w:pPr>
            <w:r>
              <w:rPr>
                <w:rFonts w:hint="eastAsia"/>
              </w:rPr>
              <w:t xml:space="preserve">前处理器采用参数化、特征化建模，采用三维CAD方式建模和可视化窗口系统，具有良好的人机交互特性；具有模型管理和载荷管理手段，为多任务、多工况、多步骤实际工程问题的建模和仿真提供便利。 </w:t>
            </w:r>
          </w:p>
          <w:p w14:paraId="4747CF5C">
            <w:pPr>
              <w:pStyle w:val="31"/>
              <w:numPr>
                <w:ilvl w:val="0"/>
                <w:numId w:val="24"/>
              </w:numPr>
              <w:spacing w:line="360" w:lineRule="auto"/>
              <w:ind w:left="425" w:leftChars="0" w:hanging="425" w:firstLineChars="0"/>
              <w:rPr>
                <w:rFonts w:hint="eastAsia"/>
              </w:rPr>
            </w:pPr>
            <w:r>
              <w:rPr>
                <w:rFonts w:hint="eastAsia"/>
              </w:rPr>
              <w:t>前处理具备自动虚拟拓扑功能，可自动修复几何体，自动忽略小面、导角等特征，提高网格划分的质量。</w:t>
            </w:r>
          </w:p>
          <w:p w14:paraId="224E8AF8">
            <w:pPr>
              <w:pStyle w:val="31"/>
              <w:numPr>
                <w:ilvl w:val="0"/>
                <w:numId w:val="24"/>
              </w:numPr>
              <w:spacing w:line="360" w:lineRule="auto"/>
              <w:ind w:left="425" w:leftChars="0" w:hanging="425" w:firstLineChars="0"/>
              <w:rPr>
                <w:rFonts w:hint="eastAsia"/>
              </w:rPr>
            </w:pPr>
            <w:r>
              <w:rPr>
                <w:rFonts w:hint="eastAsia"/>
              </w:rPr>
              <w:t>软件支持自动四面体网格划分，支持多种方式完成六面体网格划分。</w:t>
            </w:r>
          </w:p>
          <w:p w14:paraId="6DC46674">
            <w:pPr>
              <w:pStyle w:val="31"/>
              <w:numPr>
                <w:ilvl w:val="0"/>
                <w:numId w:val="24"/>
              </w:numPr>
              <w:spacing w:line="360" w:lineRule="auto"/>
              <w:ind w:left="425" w:leftChars="0" w:hanging="425" w:firstLineChars="0"/>
              <w:rPr>
                <w:rFonts w:hint="eastAsia"/>
              </w:rPr>
            </w:pPr>
            <w:r>
              <w:rPr>
                <w:rFonts w:hint="eastAsia"/>
              </w:rPr>
              <w:t>后处理支持切面功能，能查询任意节点的结果，能输出截面弯矩和反力，能显示多视窗、多视图，允许用户对输出的变量进行处理，生成的结果以云图、动画、曲线方式显示。</w:t>
            </w:r>
          </w:p>
          <w:p w14:paraId="36BF9812">
            <w:pPr>
              <w:pStyle w:val="31"/>
              <w:numPr>
                <w:ilvl w:val="0"/>
                <w:numId w:val="24"/>
              </w:numPr>
              <w:spacing w:line="360" w:lineRule="auto"/>
              <w:ind w:left="425" w:leftChars="0" w:hanging="425" w:firstLineChars="0"/>
              <w:rPr>
                <w:rFonts w:hint="eastAsia"/>
              </w:rPr>
            </w:pPr>
            <w:r>
              <w:rPr>
                <w:rFonts w:hint="eastAsia"/>
              </w:rPr>
              <w:t>前处理能够为显式和隐式分析定义通用接触，缩短建模时间。前处理能够自动搜寻装配模型中的接触对，该装配模型可以是几何体，也可是网格体。前处理应提供自动搜索接触对功能，为快速定义大量的面面接触提供支持。</w:t>
            </w:r>
          </w:p>
          <w:p w14:paraId="75C1E2DF">
            <w:pPr>
              <w:pStyle w:val="31"/>
              <w:numPr>
                <w:ilvl w:val="0"/>
                <w:numId w:val="24"/>
              </w:numPr>
              <w:spacing w:line="360" w:lineRule="auto"/>
              <w:ind w:left="425" w:leftChars="0" w:hanging="425" w:firstLineChars="0"/>
              <w:rPr>
                <w:rFonts w:hint="eastAsia"/>
              </w:rPr>
            </w:pPr>
            <w:r>
              <w:rPr>
                <w:rFonts w:hint="eastAsia"/>
              </w:rPr>
              <w:t>针对裂纹计算，前处理具备植入初始裂纹的功能，并能够定义裂纹自动扩展区域以节约计算量。后处理能够显示与裂纹相关的变量，方便观察裂纹自动扩展情况。</w:t>
            </w:r>
          </w:p>
          <w:p w14:paraId="18619A5F">
            <w:pPr>
              <w:pStyle w:val="31"/>
              <w:numPr>
                <w:ilvl w:val="0"/>
                <w:numId w:val="24"/>
              </w:numPr>
              <w:spacing w:line="360" w:lineRule="auto"/>
              <w:ind w:left="425" w:leftChars="0" w:hanging="425" w:firstLineChars="0"/>
              <w:rPr>
                <w:rFonts w:hint="default"/>
                <w:lang w:val="en-US" w:eastAsia="zh-CN"/>
              </w:rPr>
            </w:pPr>
            <w:r>
              <w:rPr>
                <w:rFonts w:hint="eastAsia"/>
              </w:rPr>
              <w:t>前后处理支持通过Python语言进行界面的定制开发。</w:t>
            </w:r>
          </w:p>
        </w:tc>
        <w:tc>
          <w:tcPr>
            <w:tcW w:w="623" w:type="pct"/>
            <w:vAlign w:val="center"/>
          </w:tcPr>
          <w:p w14:paraId="5FE38905">
            <w:pPr>
              <w:pStyle w:val="31"/>
            </w:pPr>
          </w:p>
        </w:tc>
        <w:tc>
          <w:tcPr>
            <w:tcW w:w="586" w:type="pct"/>
            <w:vAlign w:val="center"/>
          </w:tcPr>
          <w:p w14:paraId="0947C678">
            <w:pPr>
              <w:pStyle w:val="31"/>
            </w:pPr>
          </w:p>
        </w:tc>
      </w:tr>
      <w:tr w14:paraId="14EFF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trPr>
        <w:tc>
          <w:tcPr>
            <w:tcW w:w="427" w:type="pct"/>
            <w:vAlign w:val="center"/>
          </w:tcPr>
          <w:p w14:paraId="00083EEE">
            <w:pPr>
              <w:pStyle w:val="31"/>
              <w:jc w:val="center"/>
              <w:rPr>
                <w:rFonts w:hint="default" w:eastAsia="宋体"/>
                <w:lang w:val="en-US" w:eastAsia="zh-CN"/>
              </w:rPr>
            </w:pPr>
            <w:r>
              <w:rPr>
                <w:rFonts w:hint="eastAsia"/>
                <w:lang w:val="en-US" w:eastAsia="zh-CN"/>
              </w:rPr>
              <w:t>4</w:t>
            </w:r>
          </w:p>
        </w:tc>
        <w:tc>
          <w:tcPr>
            <w:tcW w:w="3362" w:type="pct"/>
            <w:vAlign w:val="center"/>
          </w:tcPr>
          <w:p w14:paraId="37C2ED92">
            <w:pPr>
              <w:pStyle w:val="31"/>
              <w:spacing w:line="360" w:lineRule="auto"/>
              <w:rPr>
                <w:rFonts w:hint="eastAsia"/>
                <w:lang w:eastAsia="zh-CN"/>
              </w:rPr>
            </w:pPr>
            <w:r>
              <w:rPr>
                <w:rFonts w:hint="eastAsia"/>
              </w:rPr>
              <w:t>软件求解器</w:t>
            </w:r>
            <w:r>
              <w:rPr>
                <w:rFonts w:hint="eastAsia"/>
                <w:lang w:eastAsia="zh-CN"/>
              </w:rPr>
              <w:t>：</w:t>
            </w:r>
          </w:p>
          <w:p w14:paraId="2F2F11ED">
            <w:pPr>
              <w:pStyle w:val="31"/>
              <w:numPr>
                <w:ilvl w:val="0"/>
                <w:numId w:val="25"/>
              </w:numPr>
              <w:spacing w:line="360" w:lineRule="auto"/>
              <w:ind w:left="425" w:leftChars="0" w:hanging="425" w:firstLineChars="0"/>
              <w:rPr>
                <w:rFonts w:hint="eastAsia"/>
                <w:lang w:eastAsia="zh-CN"/>
              </w:rPr>
            </w:pPr>
            <w:r>
              <w:rPr>
                <w:rFonts w:hint="eastAsia"/>
                <w:lang w:eastAsia="zh-CN"/>
              </w:rPr>
              <w:t>具有线性和非线性问题分析功能，能够求解结构的静力学动力学、热等问题，对同时发生作用的几何、材料和接触非线性采用自动控制技术处理。</w:t>
            </w:r>
          </w:p>
          <w:p w14:paraId="29A16711">
            <w:pPr>
              <w:pStyle w:val="31"/>
              <w:numPr>
                <w:ilvl w:val="0"/>
                <w:numId w:val="25"/>
              </w:numPr>
              <w:spacing w:line="360" w:lineRule="auto"/>
              <w:ind w:left="425" w:leftChars="0" w:hanging="425" w:firstLineChars="0"/>
              <w:rPr>
                <w:rFonts w:hint="eastAsia"/>
                <w:lang w:eastAsia="zh-CN"/>
              </w:rPr>
            </w:pPr>
            <w:r>
              <w:rPr>
                <w:rFonts w:hint="eastAsia"/>
                <w:lang w:eastAsia="zh-CN"/>
              </w:rPr>
              <w:t>具备频域动力学分析功能，并能够在频域分析中考虑接触和预载荷效应，能够根据接触状态自动设定接触部位的连接刚度。</w:t>
            </w:r>
          </w:p>
          <w:p w14:paraId="334F813B">
            <w:pPr>
              <w:pStyle w:val="31"/>
              <w:numPr>
                <w:ilvl w:val="0"/>
                <w:numId w:val="25"/>
              </w:numPr>
              <w:spacing w:line="360" w:lineRule="auto"/>
              <w:ind w:left="425" w:leftChars="0" w:hanging="425" w:firstLineChars="0"/>
              <w:rPr>
                <w:rFonts w:hint="eastAsia"/>
                <w:lang w:eastAsia="zh-CN"/>
              </w:rPr>
            </w:pPr>
            <w:r>
              <w:rPr>
                <w:rFonts w:hint="eastAsia"/>
                <w:lang w:eastAsia="zh-CN"/>
              </w:rPr>
              <w:t>支持冲击动力学分析，可模拟冲击、碰撞、爆炸等瞬态、高度大变形非线性分析等，可以同时处理几何、材料和接触非线性的组合非线性问题，并可自动控制时间步长。</w:t>
            </w:r>
          </w:p>
          <w:p w14:paraId="22C24809">
            <w:pPr>
              <w:pStyle w:val="31"/>
              <w:numPr>
                <w:ilvl w:val="0"/>
                <w:numId w:val="25"/>
              </w:numPr>
              <w:spacing w:line="360" w:lineRule="auto"/>
              <w:ind w:left="425" w:leftChars="0" w:hanging="425" w:firstLineChars="0"/>
              <w:rPr>
                <w:rFonts w:hint="eastAsia"/>
                <w:lang w:eastAsia="zh-CN"/>
              </w:rPr>
            </w:pPr>
            <w:r>
              <w:rPr>
                <w:rFonts w:hint="eastAsia"/>
                <w:lang w:eastAsia="zh-CN"/>
              </w:rPr>
              <w:t>提供多种连接方式，可以模拟部件之间的铰接，焊接等多种连接关系,具有柔性多体动力学分析功能，单一模型可以同时包含非线性变形体，线性变形体，刚体，显示体。</w:t>
            </w:r>
          </w:p>
        </w:tc>
        <w:tc>
          <w:tcPr>
            <w:tcW w:w="623" w:type="pct"/>
            <w:vAlign w:val="center"/>
          </w:tcPr>
          <w:p w14:paraId="21A582C3">
            <w:pPr>
              <w:pStyle w:val="31"/>
            </w:pPr>
          </w:p>
        </w:tc>
        <w:tc>
          <w:tcPr>
            <w:tcW w:w="586" w:type="pct"/>
            <w:vAlign w:val="center"/>
          </w:tcPr>
          <w:p w14:paraId="00648C9E">
            <w:pPr>
              <w:pStyle w:val="31"/>
            </w:pPr>
          </w:p>
        </w:tc>
      </w:tr>
      <w:tr w14:paraId="5C576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trPr>
        <w:tc>
          <w:tcPr>
            <w:tcW w:w="427" w:type="pct"/>
            <w:vAlign w:val="center"/>
          </w:tcPr>
          <w:p w14:paraId="12C668F4">
            <w:pPr>
              <w:pStyle w:val="31"/>
              <w:jc w:val="center"/>
              <w:rPr>
                <w:rFonts w:hint="default"/>
                <w:lang w:val="en-US" w:eastAsia="zh-CN"/>
              </w:rPr>
            </w:pPr>
            <w:r>
              <w:rPr>
                <w:rFonts w:hint="eastAsia"/>
                <w:lang w:val="en-US" w:eastAsia="zh-CN"/>
              </w:rPr>
              <w:t>5</w:t>
            </w:r>
          </w:p>
        </w:tc>
        <w:tc>
          <w:tcPr>
            <w:tcW w:w="3362" w:type="pct"/>
            <w:vAlign w:val="center"/>
          </w:tcPr>
          <w:p w14:paraId="4D34464A">
            <w:pPr>
              <w:pStyle w:val="31"/>
              <w:numPr>
                <w:ilvl w:val="0"/>
                <w:numId w:val="0"/>
              </w:numPr>
              <w:spacing w:line="360" w:lineRule="auto"/>
              <w:ind w:leftChars="0"/>
              <w:rPr>
                <w:rFonts w:hint="eastAsia"/>
                <w:lang w:eastAsia="zh-CN"/>
              </w:rPr>
            </w:pPr>
            <w:r>
              <w:rPr>
                <w:rFonts w:hint="eastAsia"/>
                <w:lang w:eastAsia="zh-CN"/>
              </w:rPr>
              <w:t>材料参数标定：</w:t>
            </w:r>
          </w:p>
          <w:p w14:paraId="4B0B400E">
            <w:pPr>
              <w:pStyle w:val="31"/>
              <w:numPr>
                <w:ilvl w:val="0"/>
                <w:numId w:val="26"/>
              </w:numPr>
              <w:spacing w:line="360" w:lineRule="auto"/>
              <w:ind w:left="425" w:leftChars="0" w:hanging="425" w:firstLineChars="0"/>
              <w:rPr>
                <w:rFonts w:hint="eastAsia"/>
                <w:lang w:eastAsia="zh-CN"/>
              </w:rPr>
            </w:pPr>
            <w:r>
              <w:rPr>
                <w:rFonts w:hint="eastAsia"/>
                <w:lang w:eastAsia="zh-CN"/>
              </w:rPr>
              <w:t>能够基于实验数据，自动、高效、准确地确定有限元分析时采用的材料本构模型所需的输入参数。提供专门为材料标定设计的操作界面，简单易用。可以直观实时对比拟合曲线与原始实验曲线，方便评估拟合质量。</w:t>
            </w:r>
          </w:p>
          <w:p w14:paraId="7D97B976">
            <w:pPr>
              <w:pStyle w:val="31"/>
              <w:numPr>
                <w:ilvl w:val="0"/>
                <w:numId w:val="26"/>
              </w:numPr>
              <w:spacing w:line="360" w:lineRule="auto"/>
              <w:ind w:left="425" w:leftChars="0" w:hanging="425" w:firstLineChars="0"/>
              <w:rPr>
                <w:rFonts w:hint="eastAsia"/>
                <w:lang w:eastAsia="zh-CN"/>
              </w:rPr>
            </w:pPr>
            <w:r>
              <w:rPr>
                <w:rFonts w:hint="eastAsia"/>
                <w:lang w:eastAsia="zh-CN"/>
              </w:rPr>
              <w:t>支持多种材料模型:超弹性、粘弹性、金属塑性、粘塑性 (如Chaboche模型)等复杂的非线性材料模型，以及用户自定义的模型。</w:t>
            </w:r>
          </w:p>
          <w:p w14:paraId="2081F2E7">
            <w:pPr>
              <w:pStyle w:val="31"/>
              <w:numPr>
                <w:ilvl w:val="0"/>
                <w:numId w:val="26"/>
              </w:numPr>
              <w:spacing w:line="360" w:lineRule="auto"/>
              <w:ind w:left="425" w:leftChars="0" w:hanging="425" w:firstLineChars="0"/>
              <w:rPr>
                <w:rFonts w:hint="eastAsia"/>
                <w:lang w:eastAsia="zh-CN"/>
              </w:rPr>
            </w:pPr>
            <w:r>
              <w:rPr>
                <w:rFonts w:hint="eastAsia"/>
                <w:lang w:eastAsia="zh-CN"/>
              </w:rPr>
              <w:t>支持多种实验数据类型，如:单轴拉伸、等双轴拉伸、平面拉伸、不同应变率下的测试数据等。提供对原始测试数据的预处理功能。</w:t>
            </w:r>
          </w:p>
          <w:p w14:paraId="6E180973">
            <w:pPr>
              <w:pStyle w:val="31"/>
              <w:numPr>
                <w:ilvl w:val="0"/>
                <w:numId w:val="26"/>
              </w:numPr>
              <w:spacing w:line="360" w:lineRule="auto"/>
              <w:ind w:left="425" w:leftChars="0" w:hanging="425" w:firstLineChars="0"/>
              <w:rPr>
                <w:rFonts w:hint="eastAsia"/>
                <w:lang w:eastAsia="zh-CN"/>
              </w:rPr>
            </w:pPr>
            <w:r>
              <w:rPr>
                <w:rFonts w:hint="eastAsia"/>
                <w:lang w:eastAsia="zh-CN"/>
              </w:rPr>
              <w:t>材料参数标定可以基于解析(Analytical)、数值 (Numerical)或有限元(FE-based)模式，内置多种优化算法，包括:Nelder-Mead，Hooke-Jeeves，Conjugate Gradient，Particle Swarm，Powell等，最小化模型预测值与实验数据之间的误差。提供参数敏感性分析功能，以识别关键参数。可以选择合适的误差度量标准，如R2，MSE，RMSE等</w:t>
            </w:r>
          </w:p>
        </w:tc>
        <w:tc>
          <w:tcPr>
            <w:tcW w:w="623" w:type="pct"/>
            <w:vAlign w:val="center"/>
          </w:tcPr>
          <w:p w14:paraId="535F3E0C">
            <w:pPr>
              <w:pStyle w:val="31"/>
            </w:pPr>
          </w:p>
        </w:tc>
        <w:tc>
          <w:tcPr>
            <w:tcW w:w="586" w:type="pct"/>
            <w:vAlign w:val="center"/>
          </w:tcPr>
          <w:p w14:paraId="1C0B55EA">
            <w:pPr>
              <w:pStyle w:val="31"/>
            </w:pPr>
          </w:p>
        </w:tc>
      </w:tr>
      <w:tr w14:paraId="59AA4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trPr>
        <w:tc>
          <w:tcPr>
            <w:tcW w:w="427" w:type="pct"/>
            <w:vAlign w:val="center"/>
          </w:tcPr>
          <w:p w14:paraId="53576908">
            <w:pPr>
              <w:pStyle w:val="31"/>
              <w:jc w:val="center"/>
              <w:rPr>
                <w:rFonts w:hint="eastAsia" w:eastAsia="宋体"/>
                <w:lang w:val="en-US" w:eastAsia="zh-CN"/>
              </w:rPr>
            </w:pPr>
            <w:r>
              <w:rPr>
                <w:rFonts w:hint="eastAsia"/>
                <w:lang w:val="en-US" w:eastAsia="zh-CN"/>
              </w:rPr>
              <w:t>6</w:t>
            </w:r>
          </w:p>
        </w:tc>
        <w:tc>
          <w:tcPr>
            <w:tcW w:w="3362" w:type="pct"/>
            <w:vAlign w:val="center"/>
          </w:tcPr>
          <w:p w14:paraId="72F6275C">
            <w:pPr>
              <w:pStyle w:val="31"/>
              <w:spacing w:line="360" w:lineRule="auto"/>
            </w:pPr>
            <w:r>
              <w:rPr>
                <w:rFonts w:hint="eastAsia"/>
              </w:rPr>
              <w:t>版本要求：</w:t>
            </w:r>
          </w:p>
          <w:p w14:paraId="473AB542">
            <w:pPr>
              <w:pStyle w:val="31"/>
              <w:spacing w:line="360" w:lineRule="auto"/>
            </w:pPr>
            <w:r>
              <w:rPr>
                <w:rFonts w:hint="eastAsia"/>
                <w:kern w:val="24"/>
              </w:rPr>
              <w:t>提供软件须为最新版本</w:t>
            </w:r>
          </w:p>
        </w:tc>
        <w:tc>
          <w:tcPr>
            <w:tcW w:w="623" w:type="pct"/>
            <w:vAlign w:val="center"/>
          </w:tcPr>
          <w:p w14:paraId="53000175">
            <w:pPr>
              <w:pStyle w:val="31"/>
            </w:pPr>
          </w:p>
        </w:tc>
        <w:tc>
          <w:tcPr>
            <w:tcW w:w="586" w:type="pct"/>
            <w:vAlign w:val="center"/>
          </w:tcPr>
          <w:p w14:paraId="57CA506D">
            <w:pPr>
              <w:pStyle w:val="31"/>
            </w:pPr>
          </w:p>
        </w:tc>
      </w:tr>
      <w:tr w14:paraId="6404B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trPr>
        <w:tc>
          <w:tcPr>
            <w:tcW w:w="427" w:type="pct"/>
            <w:vAlign w:val="center"/>
          </w:tcPr>
          <w:p w14:paraId="5EB54AC6">
            <w:pPr>
              <w:pStyle w:val="31"/>
              <w:jc w:val="center"/>
              <w:rPr>
                <w:rFonts w:hint="eastAsia" w:eastAsia="宋体"/>
                <w:lang w:val="en-US" w:eastAsia="zh-CN"/>
              </w:rPr>
            </w:pPr>
            <w:r>
              <w:rPr>
                <w:rFonts w:hint="eastAsia"/>
                <w:lang w:val="en-US" w:eastAsia="zh-CN"/>
              </w:rPr>
              <w:t>7</w:t>
            </w:r>
          </w:p>
        </w:tc>
        <w:tc>
          <w:tcPr>
            <w:tcW w:w="3362" w:type="pct"/>
            <w:vAlign w:val="center"/>
          </w:tcPr>
          <w:p w14:paraId="1A9DF2DA">
            <w:pPr>
              <w:pStyle w:val="31"/>
              <w:spacing w:line="360" w:lineRule="auto"/>
            </w:pPr>
            <w:r>
              <w:rPr>
                <w:rFonts w:hint="eastAsia"/>
              </w:rPr>
              <w:t>许可时限要求：</w:t>
            </w:r>
          </w:p>
          <w:p w14:paraId="2AD46FFE">
            <w:pPr>
              <w:pStyle w:val="31"/>
              <w:spacing w:line="360" w:lineRule="auto"/>
              <w:rPr>
                <w:rFonts w:hint="default"/>
                <w:kern w:val="24"/>
                <w:lang w:val="en-US"/>
              </w:rPr>
            </w:pPr>
            <w:r>
              <w:rPr>
                <w:rFonts w:hint="eastAsia"/>
                <w:kern w:val="24"/>
              </w:rPr>
              <w:t>软件为浮动许可并可永久使用</w:t>
            </w:r>
            <w:r>
              <w:rPr>
                <w:rFonts w:hint="eastAsia"/>
                <w:kern w:val="24"/>
                <w:lang w:eastAsia="zh-CN"/>
              </w:rPr>
              <w:t>，</w:t>
            </w:r>
            <w:r>
              <w:rPr>
                <w:rFonts w:hint="eastAsia"/>
                <w:lang w:val="en-US" w:eastAsia="zh-CN"/>
              </w:rPr>
              <w:t>支持单机多核</w:t>
            </w:r>
            <w:r>
              <w:rPr>
                <w:rFonts w:hint="eastAsia"/>
                <w:strike w:val="0"/>
                <w:color w:val="auto"/>
                <w:lang w:val="en-US" w:eastAsia="zh-CN"/>
              </w:rPr>
              <w:t>求解。</w:t>
            </w:r>
          </w:p>
        </w:tc>
        <w:tc>
          <w:tcPr>
            <w:tcW w:w="623" w:type="pct"/>
            <w:vAlign w:val="center"/>
          </w:tcPr>
          <w:p w14:paraId="36773560">
            <w:pPr>
              <w:pStyle w:val="31"/>
            </w:pPr>
          </w:p>
        </w:tc>
        <w:tc>
          <w:tcPr>
            <w:tcW w:w="586" w:type="pct"/>
            <w:vAlign w:val="center"/>
          </w:tcPr>
          <w:p w14:paraId="20DC2D9B">
            <w:pPr>
              <w:pStyle w:val="31"/>
            </w:pPr>
          </w:p>
        </w:tc>
      </w:tr>
      <w:tr w14:paraId="38CD0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trPr>
        <w:tc>
          <w:tcPr>
            <w:tcW w:w="427" w:type="pct"/>
            <w:vAlign w:val="center"/>
          </w:tcPr>
          <w:p w14:paraId="44C89D5A">
            <w:pPr>
              <w:pStyle w:val="31"/>
              <w:jc w:val="center"/>
              <w:rPr>
                <w:rFonts w:hint="eastAsia" w:eastAsia="宋体"/>
                <w:lang w:val="en-US" w:eastAsia="zh-CN"/>
              </w:rPr>
            </w:pPr>
            <w:r>
              <w:rPr>
                <w:rFonts w:hint="eastAsia"/>
                <w:lang w:val="en-US" w:eastAsia="zh-CN"/>
              </w:rPr>
              <w:t>8</w:t>
            </w:r>
          </w:p>
        </w:tc>
        <w:tc>
          <w:tcPr>
            <w:tcW w:w="3362" w:type="pct"/>
            <w:vAlign w:val="center"/>
          </w:tcPr>
          <w:p w14:paraId="75EF9F96">
            <w:pPr>
              <w:pStyle w:val="31"/>
              <w:spacing w:line="360" w:lineRule="auto"/>
              <w:rPr>
                <w:rFonts w:hint="eastAsia"/>
              </w:rPr>
            </w:pPr>
            <w:r>
              <w:rPr>
                <w:rFonts w:hint="eastAsia"/>
              </w:rPr>
              <w:t>交付要求：</w:t>
            </w:r>
          </w:p>
          <w:p w14:paraId="7BA71212">
            <w:pPr>
              <w:pStyle w:val="31"/>
              <w:spacing w:line="360" w:lineRule="auto"/>
            </w:pPr>
            <w:r>
              <w:rPr>
                <w:rFonts w:hint="eastAsia"/>
              </w:rPr>
              <w:t>合同生效日起，30个日历日之内以邮件方式将软件永久许可发送给联系人，并配合</w:t>
            </w:r>
            <w:r>
              <w:rPr>
                <w:rFonts w:hint="default"/>
                <w:lang w:val="en-US"/>
              </w:rPr>
              <w:t>进行许可替换等相关工作</w:t>
            </w:r>
            <w:r>
              <w:rPr>
                <w:rFonts w:hint="eastAsia"/>
              </w:rPr>
              <w:t>。</w:t>
            </w:r>
          </w:p>
        </w:tc>
        <w:tc>
          <w:tcPr>
            <w:tcW w:w="623" w:type="pct"/>
            <w:vAlign w:val="center"/>
          </w:tcPr>
          <w:p w14:paraId="0BA12B3B">
            <w:pPr>
              <w:pStyle w:val="31"/>
            </w:pPr>
          </w:p>
        </w:tc>
        <w:tc>
          <w:tcPr>
            <w:tcW w:w="586" w:type="pct"/>
            <w:vAlign w:val="center"/>
          </w:tcPr>
          <w:p w14:paraId="6DC95756">
            <w:pPr>
              <w:pStyle w:val="31"/>
            </w:pPr>
          </w:p>
        </w:tc>
      </w:tr>
      <w:tr w14:paraId="7B4BE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427" w:type="pct"/>
            <w:vAlign w:val="center"/>
          </w:tcPr>
          <w:p w14:paraId="652A84A2">
            <w:pPr>
              <w:pStyle w:val="31"/>
              <w:jc w:val="center"/>
              <w:rPr>
                <w:rFonts w:hint="eastAsia" w:eastAsia="宋体"/>
                <w:lang w:val="en-US" w:eastAsia="zh-CN"/>
              </w:rPr>
            </w:pPr>
            <w:r>
              <w:rPr>
                <w:rFonts w:hint="eastAsia"/>
                <w:lang w:val="en-US" w:eastAsia="zh-CN"/>
              </w:rPr>
              <w:t>9</w:t>
            </w:r>
          </w:p>
        </w:tc>
        <w:tc>
          <w:tcPr>
            <w:tcW w:w="3362" w:type="pct"/>
            <w:vAlign w:val="center"/>
          </w:tcPr>
          <w:p w14:paraId="0A81518C">
            <w:pPr>
              <w:pStyle w:val="31"/>
              <w:spacing w:line="360" w:lineRule="auto"/>
              <w:rPr>
                <w:rFonts w:hint="eastAsia"/>
              </w:rPr>
            </w:pPr>
            <w:r>
              <w:rPr>
                <w:rFonts w:hint="eastAsia"/>
              </w:rPr>
              <w:t>软件维护：</w:t>
            </w:r>
          </w:p>
          <w:p w14:paraId="15B313E1">
            <w:pPr>
              <w:pStyle w:val="31"/>
              <w:spacing w:line="360" w:lineRule="auto"/>
            </w:pPr>
            <w:r>
              <w:rPr>
                <w:rFonts w:hint="eastAsia"/>
              </w:rPr>
              <w:t>一年内软件可免费升级最新版本。</w:t>
            </w:r>
          </w:p>
        </w:tc>
        <w:tc>
          <w:tcPr>
            <w:tcW w:w="623" w:type="pct"/>
            <w:vAlign w:val="center"/>
          </w:tcPr>
          <w:p w14:paraId="00B5556D">
            <w:pPr>
              <w:pStyle w:val="31"/>
            </w:pPr>
          </w:p>
        </w:tc>
        <w:tc>
          <w:tcPr>
            <w:tcW w:w="586" w:type="pct"/>
            <w:vAlign w:val="center"/>
          </w:tcPr>
          <w:p w14:paraId="378F4093">
            <w:pPr>
              <w:pStyle w:val="31"/>
            </w:pPr>
          </w:p>
        </w:tc>
      </w:tr>
      <w:tr w14:paraId="1C6D2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2" w:hRule="exact"/>
        </w:trPr>
        <w:tc>
          <w:tcPr>
            <w:tcW w:w="427" w:type="pct"/>
            <w:vAlign w:val="center"/>
          </w:tcPr>
          <w:p w14:paraId="2A907688">
            <w:pPr>
              <w:pStyle w:val="31"/>
              <w:jc w:val="center"/>
              <w:rPr>
                <w:rFonts w:hint="default" w:eastAsia="宋体"/>
                <w:lang w:val="en-US" w:eastAsia="zh-CN"/>
              </w:rPr>
            </w:pPr>
            <w:r>
              <w:rPr>
                <w:rFonts w:hint="eastAsia"/>
                <w:lang w:val="en-US" w:eastAsia="zh-CN"/>
              </w:rPr>
              <w:t>10</w:t>
            </w:r>
          </w:p>
        </w:tc>
        <w:tc>
          <w:tcPr>
            <w:tcW w:w="3362" w:type="pct"/>
            <w:vAlign w:val="center"/>
          </w:tcPr>
          <w:p w14:paraId="1DBB6B65">
            <w:pPr>
              <w:pStyle w:val="31"/>
              <w:spacing w:line="360" w:lineRule="auto"/>
              <w:rPr>
                <w:color w:val="auto"/>
              </w:rPr>
            </w:pPr>
            <w:r>
              <w:rPr>
                <w:rFonts w:hint="eastAsia"/>
                <w:color w:val="auto"/>
              </w:rPr>
              <w:t>技术支持：</w:t>
            </w:r>
          </w:p>
          <w:p w14:paraId="4AF5E1A1">
            <w:pPr>
              <w:pStyle w:val="31"/>
              <w:spacing w:line="360" w:lineRule="auto"/>
            </w:pPr>
            <w:r>
              <w:rPr>
                <w:rFonts w:hint="eastAsia"/>
                <w:color w:val="auto"/>
              </w:rPr>
              <w:t>一年内，针对软件使用过程中的问题，提供</w:t>
            </w:r>
            <w:r>
              <w:rPr>
                <w:rFonts w:hint="eastAsia"/>
                <w:color w:val="auto"/>
                <w:lang w:val="en-US" w:eastAsia="zh-CN"/>
              </w:rPr>
              <w:t>免费</w:t>
            </w:r>
            <w:r>
              <w:rPr>
                <w:rFonts w:hint="eastAsia"/>
                <w:color w:val="auto"/>
              </w:rPr>
              <w:t>答疑</w:t>
            </w:r>
            <w:r>
              <w:rPr>
                <w:rFonts w:hint="eastAsia"/>
              </w:rPr>
              <w:t>。</w:t>
            </w:r>
          </w:p>
        </w:tc>
        <w:tc>
          <w:tcPr>
            <w:tcW w:w="623" w:type="pct"/>
            <w:vAlign w:val="center"/>
          </w:tcPr>
          <w:p w14:paraId="5658DE04">
            <w:pPr>
              <w:pStyle w:val="31"/>
            </w:pPr>
          </w:p>
        </w:tc>
        <w:tc>
          <w:tcPr>
            <w:tcW w:w="586" w:type="pct"/>
            <w:vAlign w:val="center"/>
          </w:tcPr>
          <w:p w14:paraId="34BFF30D">
            <w:pPr>
              <w:pStyle w:val="31"/>
            </w:pPr>
          </w:p>
        </w:tc>
      </w:tr>
      <w:tr w14:paraId="70898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427" w:type="pct"/>
            <w:vAlign w:val="center"/>
          </w:tcPr>
          <w:p w14:paraId="6B7C6A02">
            <w:pPr>
              <w:pStyle w:val="31"/>
              <w:jc w:val="center"/>
              <w:rPr>
                <w:rFonts w:hint="default" w:eastAsia="宋体"/>
                <w:lang w:val="en-US" w:eastAsia="zh-CN"/>
              </w:rPr>
            </w:pPr>
            <w:r>
              <w:rPr>
                <w:rFonts w:hint="eastAsia"/>
                <w:lang w:val="en-US" w:eastAsia="zh-CN"/>
              </w:rPr>
              <w:t>11</w:t>
            </w:r>
          </w:p>
        </w:tc>
        <w:tc>
          <w:tcPr>
            <w:tcW w:w="3362" w:type="pct"/>
            <w:vAlign w:val="center"/>
          </w:tcPr>
          <w:p w14:paraId="14ADA298">
            <w:pPr>
              <w:pStyle w:val="31"/>
              <w:spacing w:line="360" w:lineRule="auto"/>
              <w:rPr>
                <w:color w:val="auto"/>
              </w:rPr>
            </w:pPr>
            <w:r>
              <w:rPr>
                <w:rFonts w:hint="eastAsia"/>
                <w:color w:val="auto"/>
                <w:lang w:val="en-US" w:eastAsia="zh-CN"/>
              </w:rPr>
              <w:t>软件培训</w:t>
            </w:r>
            <w:r>
              <w:rPr>
                <w:rFonts w:hint="eastAsia"/>
                <w:color w:val="auto"/>
              </w:rPr>
              <w:t>：</w:t>
            </w:r>
          </w:p>
          <w:p w14:paraId="5EAA599A">
            <w:pPr>
              <w:pStyle w:val="31"/>
              <w:numPr>
                <w:ilvl w:val="0"/>
                <w:numId w:val="27"/>
              </w:numPr>
              <w:spacing w:line="360" w:lineRule="auto"/>
              <w:ind w:left="425" w:leftChars="0" w:hanging="425" w:firstLineChars="0"/>
              <w:rPr>
                <w:rFonts w:hint="eastAsia"/>
                <w:color w:val="auto"/>
              </w:rPr>
            </w:pPr>
            <w:r>
              <w:rPr>
                <w:rFonts w:hint="eastAsia"/>
                <w:color w:val="auto"/>
                <w:lang w:val="en-US" w:eastAsia="zh-CN"/>
              </w:rPr>
              <w:t>提供5天以上软件</w:t>
            </w:r>
            <w:r>
              <w:rPr>
                <w:rFonts w:hint="eastAsia"/>
                <w:color w:val="auto"/>
              </w:rPr>
              <w:t>操作培训</w:t>
            </w:r>
            <w:r>
              <w:rPr>
                <w:rFonts w:hint="eastAsia"/>
                <w:color w:val="auto"/>
                <w:lang w:eastAsia="zh-CN"/>
              </w:rPr>
              <w:t>（</w:t>
            </w:r>
            <w:r>
              <w:rPr>
                <w:rFonts w:hint="eastAsia"/>
                <w:color w:val="auto"/>
                <w:lang w:val="en-US" w:eastAsia="zh-CN"/>
              </w:rPr>
              <w:t>现场培训不少于3天</w:t>
            </w:r>
            <w:r>
              <w:rPr>
                <w:rFonts w:hint="eastAsia"/>
                <w:color w:val="auto"/>
                <w:lang w:eastAsia="zh-CN"/>
              </w:rPr>
              <w:t>）；</w:t>
            </w:r>
          </w:p>
          <w:p w14:paraId="498EFB4A">
            <w:pPr>
              <w:pStyle w:val="31"/>
              <w:numPr>
                <w:ilvl w:val="0"/>
                <w:numId w:val="27"/>
              </w:numPr>
              <w:spacing w:line="360" w:lineRule="auto"/>
              <w:ind w:left="425" w:leftChars="0" w:hanging="425" w:firstLineChars="0"/>
            </w:pPr>
            <w:r>
              <w:rPr>
                <w:rFonts w:hint="eastAsia" w:ascii="Times New Roman" w:hAnsi="Times New Roman" w:eastAsia="宋体" w:cs="Times New Roman"/>
                <w:color w:val="auto"/>
                <w:sz w:val="21"/>
                <w:szCs w:val="20"/>
              </w:rPr>
              <w:t>提供材料参数标定模块软件功能培训</w:t>
            </w:r>
            <w:r>
              <w:rPr>
                <w:rFonts w:hint="eastAsia"/>
                <w:color w:val="auto"/>
                <w:lang w:eastAsia="zh-CN"/>
              </w:rPr>
              <w:t>。</w:t>
            </w:r>
          </w:p>
        </w:tc>
        <w:tc>
          <w:tcPr>
            <w:tcW w:w="623" w:type="pct"/>
            <w:vAlign w:val="center"/>
          </w:tcPr>
          <w:p w14:paraId="6776AF02">
            <w:pPr>
              <w:pStyle w:val="31"/>
            </w:pPr>
          </w:p>
        </w:tc>
        <w:tc>
          <w:tcPr>
            <w:tcW w:w="586" w:type="pct"/>
            <w:vAlign w:val="center"/>
          </w:tcPr>
          <w:p w14:paraId="43F0BC9A">
            <w:pPr>
              <w:pStyle w:val="31"/>
            </w:pPr>
          </w:p>
        </w:tc>
      </w:tr>
    </w:tbl>
    <w:p w14:paraId="15BECCF5">
      <w:pPr>
        <w:spacing w:line="660" w:lineRule="exact"/>
        <w:rPr>
          <w:rFonts w:ascii="宋体" w:hAnsi="宋体"/>
          <w:sz w:val="24"/>
        </w:rPr>
      </w:pPr>
      <w:r>
        <w:rPr>
          <w:rFonts w:hint="eastAsia" w:ascii="宋体" w:hAnsi="宋体"/>
          <w:sz w:val="24"/>
        </w:rPr>
        <w:t>投标人：（盖章）</w:t>
      </w:r>
    </w:p>
    <w:p w14:paraId="5A6DA00F">
      <w:pPr>
        <w:spacing w:line="660" w:lineRule="exact"/>
        <w:rPr>
          <w:rFonts w:ascii="宋体" w:hAnsi="宋体"/>
          <w:sz w:val="24"/>
        </w:rPr>
      </w:pPr>
      <w:r>
        <w:rPr>
          <w:rFonts w:hint="eastAsia" w:ascii="宋体" w:hAnsi="宋体"/>
          <w:sz w:val="24"/>
        </w:rPr>
        <w:t>法定代表人（委托代理人）：（签字）</w:t>
      </w:r>
    </w:p>
    <w:p w14:paraId="2D4CACE8">
      <w:pPr>
        <w:rPr>
          <w:rFonts w:ascii="黑体" w:eastAsia="黑体"/>
          <w:color w:val="000000"/>
          <w:sz w:val="24"/>
          <w:szCs w:val="24"/>
        </w:rPr>
      </w:pPr>
    </w:p>
    <w:p w14:paraId="04693DCB">
      <w:pPr>
        <w:rPr>
          <w:rFonts w:ascii="宋体" w:hAnsi="宋体" w:cs="宋体"/>
          <w:b/>
          <w:bCs/>
          <w:color w:val="000000"/>
          <w:sz w:val="28"/>
        </w:rPr>
      </w:pPr>
    </w:p>
    <w:p w14:paraId="5C88702A">
      <w:pPr>
        <w:rPr>
          <w:rFonts w:ascii="宋体" w:hAnsi="宋体" w:cs="宋体"/>
          <w:b/>
          <w:bCs/>
          <w:color w:val="000000"/>
          <w:sz w:val="28"/>
        </w:rPr>
        <w:sectPr>
          <w:footerReference r:id="rId7" w:type="first"/>
          <w:pgSz w:w="11906" w:h="16838"/>
          <w:pgMar w:top="1588" w:right="1418" w:bottom="1134" w:left="1418" w:header="851" w:footer="992" w:gutter="0"/>
          <w:cols w:space="720" w:num="1"/>
          <w:titlePg/>
          <w:docGrid w:type="lines" w:linePitch="312" w:charSpace="0"/>
        </w:sectPr>
      </w:pPr>
    </w:p>
    <w:p w14:paraId="2C64ADF7">
      <w:pPr>
        <w:pStyle w:val="35"/>
      </w:pPr>
      <w:r>
        <w:rPr>
          <w:rFonts w:hint="eastAsia"/>
        </w:rPr>
        <w:t>附件</w:t>
      </w:r>
      <w:r>
        <w:t xml:space="preserve">4 </w:t>
      </w:r>
      <w:r>
        <w:rPr>
          <w:rFonts w:hint="eastAsia"/>
        </w:rPr>
        <w:t>近三年同类项目业绩一览表</w:t>
      </w:r>
    </w:p>
    <w:p w14:paraId="3F2E334B">
      <w:pPr>
        <w:spacing w:line="600" w:lineRule="exact"/>
        <w:ind w:firstLine="141"/>
        <w:jc w:val="left"/>
      </w:pPr>
      <w:r>
        <w:rPr>
          <w:rFonts w:hint="eastAsia"/>
        </w:rPr>
        <w:t>项目名称：</w:t>
      </w:r>
      <w:r>
        <w:rPr>
          <w:rFonts w:hint="eastAsia" w:ascii="宋体" w:hAnsi="宋体" w:eastAsia="宋体"/>
          <w:color w:val="000000"/>
          <w:sz w:val="24"/>
          <w:szCs w:val="24"/>
          <w:u w:val="single"/>
          <w:lang w:eastAsia="zh-CN"/>
        </w:rPr>
        <w:t>ABAQUS软件采购项目</w:t>
      </w:r>
      <w:r>
        <w:rPr>
          <w:rFonts w:hint="eastAsia"/>
        </w:rPr>
        <w:t xml:space="preserve">                                                             </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
        <w:gridCol w:w="2136"/>
        <w:gridCol w:w="1389"/>
        <w:gridCol w:w="847"/>
        <w:gridCol w:w="1354"/>
        <w:gridCol w:w="1049"/>
        <w:gridCol w:w="1629"/>
      </w:tblGrid>
      <w:tr w14:paraId="717B4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vAlign w:val="center"/>
          </w:tcPr>
          <w:p w14:paraId="6D7DE1B1">
            <w:pPr>
              <w:pStyle w:val="16"/>
              <w:jc w:val="center"/>
              <w:rPr>
                <w:rFonts w:ascii="宋体" w:hAnsi="宋体"/>
                <w:b/>
                <w:szCs w:val="21"/>
              </w:rPr>
            </w:pPr>
            <w:r>
              <w:rPr>
                <w:rFonts w:hint="eastAsia" w:ascii="宋体" w:hAnsi="宋体"/>
                <w:b/>
                <w:szCs w:val="21"/>
              </w:rPr>
              <w:t>序号</w:t>
            </w:r>
          </w:p>
        </w:tc>
        <w:tc>
          <w:tcPr>
            <w:tcW w:w="1150" w:type="pct"/>
            <w:vAlign w:val="center"/>
          </w:tcPr>
          <w:p w14:paraId="3BC0F50E">
            <w:pPr>
              <w:pStyle w:val="16"/>
              <w:jc w:val="center"/>
              <w:rPr>
                <w:rFonts w:ascii="宋体" w:hAnsi="宋体"/>
                <w:b/>
                <w:szCs w:val="21"/>
              </w:rPr>
            </w:pPr>
            <w:r>
              <w:rPr>
                <w:rFonts w:hint="eastAsia" w:ascii="宋体" w:hAnsi="宋体"/>
                <w:b/>
                <w:szCs w:val="21"/>
              </w:rPr>
              <w:t>采购单位</w:t>
            </w:r>
          </w:p>
        </w:tc>
        <w:tc>
          <w:tcPr>
            <w:tcW w:w="748" w:type="pct"/>
            <w:vAlign w:val="center"/>
          </w:tcPr>
          <w:p w14:paraId="66D903BF">
            <w:pPr>
              <w:pStyle w:val="16"/>
              <w:jc w:val="center"/>
              <w:rPr>
                <w:rFonts w:ascii="宋体" w:hAnsi="宋体"/>
                <w:b/>
                <w:szCs w:val="21"/>
              </w:rPr>
            </w:pPr>
            <w:r>
              <w:rPr>
                <w:rFonts w:hint="eastAsia" w:ascii="宋体" w:hAnsi="宋体"/>
                <w:b/>
                <w:szCs w:val="21"/>
              </w:rPr>
              <w:t>项目名称</w:t>
            </w:r>
          </w:p>
          <w:p w14:paraId="350FAC4B">
            <w:pPr>
              <w:pStyle w:val="16"/>
              <w:jc w:val="center"/>
              <w:rPr>
                <w:rFonts w:ascii="宋体" w:hAnsi="宋体"/>
                <w:b/>
                <w:szCs w:val="21"/>
              </w:rPr>
            </w:pPr>
            <w:r>
              <w:rPr>
                <w:rFonts w:hint="eastAsia" w:ascii="宋体" w:hAnsi="宋体"/>
                <w:b/>
                <w:szCs w:val="21"/>
              </w:rPr>
              <w:t>（万元）</w:t>
            </w:r>
          </w:p>
        </w:tc>
        <w:tc>
          <w:tcPr>
            <w:tcW w:w="456" w:type="pct"/>
            <w:vAlign w:val="center"/>
          </w:tcPr>
          <w:p w14:paraId="10A9705D">
            <w:pPr>
              <w:pStyle w:val="16"/>
              <w:ind w:left="0" w:firstLine="0"/>
              <w:jc w:val="center"/>
              <w:rPr>
                <w:rFonts w:ascii="宋体" w:hAnsi="宋体"/>
                <w:b/>
                <w:szCs w:val="21"/>
              </w:rPr>
            </w:pPr>
            <w:r>
              <w:rPr>
                <w:rFonts w:hint="eastAsia" w:ascii="宋体" w:hAnsi="宋体"/>
                <w:b/>
                <w:szCs w:val="21"/>
              </w:rPr>
              <w:t>数量</w:t>
            </w:r>
          </w:p>
        </w:tc>
        <w:tc>
          <w:tcPr>
            <w:tcW w:w="729" w:type="pct"/>
            <w:vAlign w:val="center"/>
          </w:tcPr>
          <w:p w14:paraId="56AEA112">
            <w:pPr>
              <w:pStyle w:val="16"/>
              <w:ind w:left="0" w:firstLine="0"/>
              <w:jc w:val="center"/>
              <w:rPr>
                <w:rFonts w:ascii="宋体" w:hAnsi="宋体"/>
                <w:b/>
                <w:szCs w:val="21"/>
              </w:rPr>
            </w:pPr>
            <w:r>
              <w:rPr>
                <w:rFonts w:hint="eastAsia" w:ascii="宋体" w:hAnsi="宋体"/>
                <w:b/>
                <w:szCs w:val="21"/>
              </w:rPr>
              <w:t>合同金额</w:t>
            </w:r>
          </w:p>
        </w:tc>
        <w:tc>
          <w:tcPr>
            <w:tcW w:w="565" w:type="pct"/>
            <w:vAlign w:val="center"/>
          </w:tcPr>
          <w:p w14:paraId="09524B9D">
            <w:pPr>
              <w:pStyle w:val="16"/>
              <w:ind w:left="0" w:firstLine="0"/>
              <w:jc w:val="center"/>
              <w:rPr>
                <w:rFonts w:ascii="宋体" w:hAnsi="宋体"/>
                <w:b/>
                <w:szCs w:val="21"/>
              </w:rPr>
            </w:pPr>
            <w:r>
              <w:rPr>
                <w:rFonts w:hint="eastAsia" w:ascii="宋体" w:hAnsi="宋体"/>
                <w:b/>
                <w:szCs w:val="21"/>
              </w:rPr>
              <w:t>合同签订时间</w:t>
            </w:r>
          </w:p>
        </w:tc>
        <w:tc>
          <w:tcPr>
            <w:tcW w:w="878" w:type="pct"/>
            <w:vAlign w:val="center"/>
          </w:tcPr>
          <w:p w14:paraId="1B301AD2">
            <w:pPr>
              <w:pStyle w:val="16"/>
              <w:jc w:val="center"/>
              <w:rPr>
                <w:rFonts w:ascii="宋体" w:hAnsi="宋体"/>
                <w:b/>
                <w:szCs w:val="21"/>
              </w:rPr>
            </w:pPr>
            <w:r>
              <w:rPr>
                <w:rFonts w:hint="eastAsia" w:ascii="宋体" w:hAnsi="宋体"/>
                <w:b/>
                <w:szCs w:val="21"/>
              </w:rPr>
              <w:t>联系人及</w:t>
            </w:r>
          </w:p>
          <w:p w14:paraId="61323F73">
            <w:pPr>
              <w:pStyle w:val="16"/>
              <w:jc w:val="center"/>
              <w:rPr>
                <w:rFonts w:ascii="宋体" w:hAnsi="宋体"/>
                <w:b/>
                <w:szCs w:val="21"/>
              </w:rPr>
            </w:pPr>
            <w:r>
              <w:rPr>
                <w:rFonts w:hint="eastAsia" w:ascii="宋体" w:hAnsi="宋体"/>
                <w:b/>
                <w:szCs w:val="21"/>
              </w:rPr>
              <w:t>联系电话</w:t>
            </w:r>
          </w:p>
        </w:tc>
      </w:tr>
      <w:tr w14:paraId="76209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14:paraId="068E2D31">
            <w:pPr>
              <w:pStyle w:val="16"/>
              <w:rPr>
                <w:rFonts w:ascii="宋体" w:hAnsi="宋体"/>
                <w:b/>
              </w:rPr>
            </w:pPr>
          </w:p>
        </w:tc>
        <w:tc>
          <w:tcPr>
            <w:tcW w:w="1150" w:type="pct"/>
          </w:tcPr>
          <w:p w14:paraId="775773EE">
            <w:pPr>
              <w:pStyle w:val="16"/>
              <w:rPr>
                <w:rFonts w:ascii="宋体" w:hAnsi="宋体"/>
                <w:b/>
              </w:rPr>
            </w:pPr>
          </w:p>
        </w:tc>
        <w:tc>
          <w:tcPr>
            <w:tcW w:w="748" w:type="pct"/>
          </w:tcPr>
          <w:p w14:paraId="7C394140">
            <w:pPr>
              <w:pStyle w:val="16"/>
              <w:rPr>
                <w:rFonts w:ascii="宋体" w:hAnsi="宋体"/>
                <w:b/>
              </w:rPr>
            </w:pPr>
          </w:p>
        </w:tc>
        <w:tc>
          <w:tcPr>
            <w:tcW w:w="456" w:type="pct"/>
          </w:tcPr>
          <w:p w14:paraId="41A7A583">
            <w:pPr>
              <w:pStyle w:val="16"/>
              <w:rPr>
                <w:rFonts w:ascii="宋体" w:hAnsi="宋体"/>
                <w:b/>
              </w:rPr>
            </w:pPr>
          </w:p>
        </w:tc>
        <w:tc>
          <w:tcPr>
            <w:tcW w:w="729" w:type="pct"/>
          </w:tcPr>
          <w:p w14:paraId="256EF7F4">
            <w:pPr>
              <w:pStyle w:val="16"/>
              <w:rPr>
                <w:rFonts w:ascii="宋体" w:hAnsi="宋体"/>
                <w:b/>
              </w:rPr>
            </w:pPr>
          </w:p>
        </w:tc>
        <w:tc>
          <w:tcPr>
            <w:tcW w:w="565" w:type="pct"/>
          </w:tcPr>
          <w:p w14:paraId="78A48201">
            <w:pPr>
              <w:pStyle w:val="16"/>
              <w:rPr>
                <w:rFonts w:ascii="宋体" w:hAnsi="宋体"/>
                <w:b/>
              </w:rPr>
            </w:pPr>
          </w:p>
        </w:tc>
        <w:tc>
          <w:tcPr>
            <w:tcW w:w="878" w:type="pct"/>
          </w:tcPr>
          <w:p w14:paraId="65974587">
            <w:pPr>
              <w:pStyle w:val="16"/>
              <w:rPr>
                <w:rFonts w:ascii="宋体" w:hAnsi="宋体"/>
                <w:b/>
              </w:rPr>
            </w:pPr>
          </w:p>
        </w:tc>
      </w:tr>
      <w:tr w14:paraId="3955E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14:paraId="1E016988">
            <w:pPr>
              <w:pStyle w:val="16"/>
              <w:rPr>
                <w:rFonts w:ascii="宋体" w:hAnsi="宋体"/>
                <w:b/>
              </w:rPr>
            </w:pPr>
          </w:p>
        </w:tc>
        <w:tc>
          <w:tcPr>
            <w:tcW w:w="1150" w:type="pct"/>
          </w:tcPr>
          <w:p w14:paraId="20CA2032">
            <w:pPr>
              <w:pStyle w:val="16"/>
              <w:rPr>
                <w:rFonts w:ascii="宋体" w:hAnsi="宋体"/>
                <w:b/>
              </w:rPr>
            </w:pPr>
          </w:p>
        </w:tc>
        <w:tc>
          <w:tcPr>
            <w:tcW w:w="748" w:type="pct"/>
          </w:tcPr>
          <w:p w14:paraId="01FE6077">
            <w:pPr>
              <w:pStyle w:val="16"/>
              <w:rPr>
                <w:rFonts w:ascii="宋体" w:hAnsi="宋体"/>
                <w:b/>
              </w:rPr>
            </w:pPr>
          </w:p>
        </w:tc>
        <w:tc>
          <w:tcPr>
            <w:tcW w:w="456" w:type="pct"/>
          </w:tcPr>
          <w:p w14:paraId="7AB13BBD">
            <w:pPr>
              <w:pStyle w:val="16"/>
              <w:rPr>
                <w:rFonts w:ascii="宋体" w:hAnsi="宋体"/>
                <w:b/>
              </w:rPr>
            </w:pPr>
          </w:p>
        </w:tc>
        <w:tc>
          <w:tcPr>
            <w:tcW w:w="729" w:type="pct"/>
          </w:tcPr>
          <w:p w14:paraId="02927DBC">
            <w:pPr>
              <w:pStyle w:val="16"/>
              <w:rPr>
                <w:rFonts w:ascii="宋体" w:hAnsi="宋体"/>
                <w:b/>
              </w:rPr>
            </w:pPr>
          </w:p>
        </w:tc>
        <w:tc>
          <w:tcPr>
            <w:tcW w:w="565" w:type="pct"/>
          </w:tcPr>
          <w:p w14:paraId="722B1447">
            <w:pPr>
              <w:pStyle w:val="16"/>
              <w:rPr>
                <w:rFonts w:ascii="宋体" w:hAnsi="宋体"/>
                <w:b/>
              </w:rPr>
            </w:pPr>
          </w:p>
        </w:tc>
        <w:tc>
          <w:tcPr>
            <w:tcW w:w="878" w:type="pct"/>
          </w:tcPr>
          <w:p w14:paraId="5B6B5068">
            <w:pPr>
              <w:pStyle w:val="16"/>
              <w:rPr>
                <w:rFonts w:ascii="宋体" w:hAnsi="宋体"/>
                <w:b/>
              </w:rPr>
            </w:pPr>
          </w:p>
        </w:tc>
      </w:tr>
      <w:tr w14:paraId="0F359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14:paraId="3762E623">
            <w:pPr>
              <w:pStyle w:val="16"/>
              <w:rPr>
                <w:rFonts w:ascii="宋体" w:hAnsi="宋体"/>
                <w:b/>
              </w:rPr>
            </w:pPr>
          </w:p>
        </w:tc>
        <w:tc>
          <w:tcPr>
            <w:tcW w:w="1150" w:type="pct"/>
          </w:tcPr>
          <w:p w14:paraId="6FF4B03B">
            <w:pPr>
              <w:pStyle w:val="16"/>
              <w:rPr>
                <w:rFonts w:ascii="宋体" w:hAnsi="宋体"/>
                <w:b/>
              </w:rPr>
            </w:pPr>
          </w:p>
        </w:tc>
        <w:tc>
          <w:tcPr>
            <w:tcW w:w="748" w:type="pct"/>
          </w:tcPr>
          <w:p w14:paraId="0897240A">
            <w:pPr>
              <w:pStyle w:val="16"/>
              <w:rPr>
                <w:rFonts w:ascii="宋体" w:hAnsi="宋体"/>
                <w:b/>
              </w:rPr>
            </w:pPr>
          </w:p>
        </w:tc>
        <w:tc>
          <w:tcPr>
            <w:tcW w:w="456" w:type="pct"/>
          </w:tcPr>
          <w:p w14:paraId="54754928">
            <w:pPr>
              <w:pStyle w:val="16"/>
              <w:rPr>
                <w:rFonts w:ascii="宋体" w:hAnsi="宋体"/>
                <w:b/>
              </w:rPr>
            </w:pPr>
          </w:p>
        </w:tc>
        <w:tc>
          <w:tcPr>
            <w:tcW w:w="729" w:type="pct"/>
          </w:tcPr>
          <w:p w14:paraId="2E87AE8A">
            <w:pPr>
              <w:pStyle w:val="16"/>
              <w:rPr>
                <w:rFonts w:ascii="宋体" w:hAnsi="宋体"/>
                <w:b/>
              </w:rPr>
            </w:pPr>
          </w:p>
        </w:tc>
        <w:tc>
          <w:tcPr>
            <w:tcW w:w="565" w:type="pct"/>
          </w:tcPr>
          <w:p w14:paraId="483C6D11">
            <w:pPr>
              <w:pStyle w:val="16"/>
              <w:rPr>
                <w:rFonts w:ascii="宋体" w:hAnsi="宋体"/>
                <w:b/>
              </w:rPr>
            </w:pPr>
          </w:p>
        </w:tc>
        <w:tc>
          <w:tcPr>
            <w:tcW w:w="878" w:type="pct"/>
          </w:tcPr>
          <w:p w14:paraId="400068E8">
            <w:pPr>
              <w:pStyle w:val="16"/>
              <w:rPr>
                <w:rFonts w:ascii="宋体" w:hAnsi="宋体"/>
                <w:b/>
              </w:rPr>
            </w:pPr>
          </w:p>
        </w:tc>
      </w:tr>
      <w:tr w14:paraId="36460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14:paraId="45328463">
            <w:pPr>
              <w:pStyle w:val="16"/>
              <w:rPr>
                <w:rFonts w:ascii="宋体" w:hAnsi="宋体"/>
                <w:b/>
              </w:rPr>
            </w:pPr>
          </w:p>
        </w:tc>
        <w:tc>
          <w:tcPr>
            <w:tcW w:w="1150" w:type="pct"/>
          </w:tcPr>
          <w:p w14:paraId="01570079">
            <w:pPr>
              <w:pStyle w:val="16"/>
              <w:rPr>
                <w:rFonts w:ascii="宋体" w:hAnsi="宋体"/>
                <w:b/>
              </w:rPr>
            </w:pPr>
          </w:p>
        </w:tc>
        <w:tc>
          <w:tcPr>
            <w:tcW w:w="748" w:type="pct"/>
          </w:tcPr>
          <w:p w14:paraId="27C898C6">
            <w:pPr>
              <w:pStyle w:val="16"/>
              <w:rPr>
                <w:rFonts w:ascii="宋体" w:hAnsi="宋体"/>
                <w:b/>
              </w:rPr>
            </w:pPr>
          </w:p>
        </w:tc>
        <w:tc>
          <w:tcPr>
            <w:tcW w:w="456" w:type="pct"/>
          </w:tcPr>
          <w:p w14:paraId="22101303">
            <w:pPr>
              <w:pStyle w:val="16"/>
              <w:rPr>
                <w:rFonts w:ascii="宋体" w:hAnsi="宋体"/>
                <w:b/>
              </w:rPr>
            </w:pPr>
          </w:p>
        </w:tc>
        <w:tc>
          <w:tcPr>
            <w:tcW w:w="729" w:type="pct"/>
          </w:tcPr>
          <w:p w14:paraId="2A2ED292">
            <w:pPr>
              <w:pStyle w:val="16"/>
              <w:rPr>
                <w:rFonts w:ascii="宋体" w:hAnsi="宋体"/>
                <w:b/>
              </w:rPr>
            </w:pPr>
          </w:p>
        </w:tc>
        <w:tc>
          <w:tcPr>
            <w:tcW w:w="565" w:type="pct"/>
          </w:tcPr>
          <w:p w14:paraId="5B8B0CAF">
            <w:pPr>
              <w:pStyle w:val="16"/>
              <w:rPr>
                <w:rFonts w:ascii="宋体" w:hAnsi="宋体"/>
                <w:b/>
              </w:rPr>
            </w:pPr>
          </w:p>
        </w:tc>
        <w:tc>
          <w:tcPr>
            <w:tcW w:w="878" w:type="pct"/>
          </w:tcPr>
          <w:p w14:paraId="11708DCA">
            <w:pPr>
              <w:pStyle w:val="16"/>
              <w:rPr>
                <w:rFonts w:ascii="宋体" w:hAnsi="宋体"/>
                <w:b/>
              </w:rPr>
            </w:pPr>
          </w:p>
        </w:tc>
      </w:tr>
      <w:tr w14:paraId="48CD8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14:paraId="1D68AEF0">
            <w:pPr>
              <w:pStyle w:val="16"/>
              <w:rPr>
                <w:rFonts w:ascii="宋体" w:hAnsi="宋体"/>
                <w:b/>
              </w:rPr>
            </w:pPr>
          </w:p>
        </w:tc>
        <w:tc>
          <w:tcPr>
            <w:tcW w:w="1150" w:type="pct"/>
          </w:tcPr>
          <w:p w14:paraId="58606A0A">
            <w:pPr>
              <w:pStyle w:val="16"/>
              <w:rPr>
                <w:rFonts w:ascii="宋体" w:hAnsi="宋体"/>
                <w:b/>
              </w:rPr>
            </w:pPr>
          </w:p>
        </w:tc>
        <w:tc>
          <w:tcPr>
            <w:tcW w:w="748" w:type="pct"/>
          </w:tcPr>
          <w:p w14:paraId="3C5F27D6">
            <w:pPr>
              <w:pStyle w:val="16"/>
              <w:rPr>
                <w:rFonts w:ascii="宋体" w:hAnsi="宋体"/>
                <w:b/>
              </w:rPr>
            </w:pPr>
          </w:p>
        </w:tc>
        <w:tc>
          <w:tcPr>
            <w:tcW w:w="456" w:type="pct"/>
          </w:tcPr>
          <w:p w14:paraId="6084D5B5">
            <w:pPr>
              <w:pStyle w:val="16"/>
              <w:rPr>
                <w:rFonts w:ascii="宋体" w:hAnsi="宋体"/>
                <w:b/>
              </w:rPr>
            </w:pPr>
          </w:p>
        </w:tc>
        <w:tc>
          <w:tcPr>
            <w:tcW w:w="729" w:type="pct"/>
          </w:tcPr>
          <w:p w14:paraId="79EC6639">
            <w:pPr>
              <w:pStyle w:val="16"/>
              <w:rPr>
                <w:rFonts w:ascii="宋体" w:hAnsi="宋体"/>
                <w:b/>
              </w:rPr>
            </w:pPr>
          </w:p>
        </w:tc>
        <w:tc>
          <w:tcPr>
            <w:tcW w:w="565" w:type="pct"/>
          </w:tcPr>
          <w:p w14:paraId="7D12FF41">
            <w:pPr>
              <w:pStyle w:val="16"/>
              <w:rPr>
                <w:rFonts w:ascii="宋体" w:hAnsi="宋体"/>
                <w:b/>
              </w:rPr>
            </w:pPr>
          </w:p>
        </w:tc>
        <w:tc>
          <w:tcPr>
            <w:tcW w:w="878" w:type="pct"/>
          </w:tcPr>
          <w:p w14:paraId="5AA5B370">
            <w:pPr>
              <w:pStyle w:val="16"/>
              <w:rPr>
                <w:rFonts w:ascii="宋体" w:hAnsi="宋体"/>
                <w:b/>
              </w:rPr>
            </w:pPr>
          </w:p>
        </w:tc>
      </w:tr>
      <w:tr w14:paraId="64420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14:paraId="7EAF07D0">
            <w:pPr>
              <w:pStyle w:val="16"/>
              <w:rPr>
                <w:rFonts w:ascii="宋体" w:hAnsi="宋体"/>
                <w:b/>
              </w:rPr>
            </w:pPr>
          </w:p>
        </w:tc>
        <w:tc>
          <w:tcPr>
            <w:tcW w:w="1150" w:type="pct"/>
          </w:tcPr>
          <w:p w14:paraId="55766E00">
            <w:pPr>
              <w:pStyle w:val="16"/>
              <w:rPr>
                <w:rFonts w:ascii="宋体" w:hAnsi="宋体"/>
                <w:b/>
              </w:rPr>
            </w:pPr>
          </w:p>
        </w:tc>
        <w:tc>
          <w:tcPr>
            <w:tcW w:w="748" w:type="pct"/>
          </w:tcPr>
          <w:p w14:paraId="7941BF48">
            <w:pPr>
              <w:pStyle w:val="16"/>
              <w:rPr>
                <w:rFonts w:ascii="宋体" w:hAnsi="宋体"/>
                <w:b/>
              </w:rPr>
            </w:pPr>
          </w:p>
        </w:tc>
        <w:tc>
          <w:tcPr>
            <w:tcW w:w="456" w:type="pct"/>
          </w:tcPr>
          <w:p w14:paraId="3D06DB93">
            <w:pPr>
              <w:pStyle w:val="16"/>
              <w:rPr>
                <w:rFonts w:ascii="宋体" w:hAnsi="宋体"/>
                <w:b/>
              </w:rPr>
            </w:pPr>
          </w:p>
        </w:tc>
        <w:tc>
          <w:tcPr>
            <w:tcW w:w="729" w:type="pct"/>
          </w:tcPr>
          <w:p w14:paraId="248A9604">
            <w:pPr>
              <w:pStyle w:val="16"/>
              <w:rPr>
                <w:rFonts w:ascii="宋体" w:hAnsi="宋体"/>
                <w:b/>
              </w:rPr>
            </w:pPr>
          </w:p>
        </w:tc>
        <w:tc>
          <w:tcPr>
            <w:tcW w:w="565" w:type="pct"/>
          </w:tcPr>
          <w:p w14:paraId="55CEAEFA">
            <w:pPr>
              <w:pStyle w:val="16"/>
              <w:rPr>
                <w:rFonts w:ascii="宋体" w:hAnsi="宋体"/>
                <w:b/>
              </w:rPr>
            </w:pPr>
          </w:p>
        </w:tc>
        <w:tc>
          <w:tcPr>
            <w:tcW w:w="878" w:type="pct"/>
          </w:tcPr>
          <w:p w14:paraId="7BFB3902">
            <w:pPr>
              <w:pStyle w:val="16"/>
              <w:rPr>
                <w:rFonts w:ascii="宋体" w:hAnsi="宋体"/>
                <w:b/>
              </w:rPr>
            </w:pPr>
          </w:p>
        </w:tc>
      </w:tr>
      <w:tr w14:paraId="22CA8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14:paraId="25C96BEA">
            <w:pPr>
              <w:pStyle w:val="16"/>
              <w:rPr>
                <w:rFonts w:ascii="宋体" w:hAnsi="宋体"/>
                <w:b/>
              </w:rPr>
            </w:pPr>
          </w:p>
        </w:tc>
        <w:tc>
          <w:tcPr>
            <w:tcW w:w="1150" w:type="pct"/>
          </w:tcPr>
          <w:p w14:paraId="416FA9C8">
            <w:pPr>
              <w:pStyle w:val="16"/>
              <w:rPr>
                <w:rFonts w:ascii="宋体" w:hAnsi="宋体"/>
                <w:b/>
              </w:rPr>
            </w:pPr>
          </w:p>
        </w:tc>
        <w:tc>
          <w:tcPr>
            <w:tcW w:w="748" w:type="pct"/>
          </w:tcPr>
          <w:p w14:paraId="69FC3C8A">
            <w:pPr>
              <w:pStyle w:val="16"/>
              <w:rPr>
                <w:rFonts w:ascii="宋体" w:hAnsi="宋体"/>
                <w:b/>
              </w:rPr>
            </w:pPr>
          </w:p>
        </w:tc>
        <w:tc>
          <w:tcPr>
            <w:tcW w:w="456" w:type="pct"/>
          </w:tcPr>
          <w:p w14:paraId="028E80A5">
            <w:pPr>
              <w:pStyle w:val="16"/>
              <w:rPr>
                <w:rFonts w:ascii="宋体" w:hAnsi="宋体"/>
                <w:b/>
              </w:rPr>
            </w:pPr>
          </w:p>
        </w:tc>
        <w:tc>
          <w:tcPr>
            <w:tcW w:w="729" w:type="pct"/>
          </w:tcPr>
          <w:p w14:paraId="1F8CF860">
            <w:pPr>
              <w:pStyle w:val="16"/>
              <w:rPr>
                <w:rFonts w:ascii="宋体" w:hAnsi="宋体"/>
                <w:b/>
              </w:rPr>
            </w:pPr>
          </w:p>
        </w:tc>
        <w:tc>
          <w:tcPr>
            <w:tcW w:w="565" w:type="pct"/>
          </w:tcPr>
          <w:p w14:paraId="34D6FFAC">
            <w:pPr>
              <w:pStyle w:val="16"/>
              <w:rPr>
                <w:rFonts w:ascii="宋体" w:hAnsi="宋体"/>
                <w:b/>
              </w:rPr>
            </w:pPr>
          </w:p>
        </w:tc>
        <w:tc>
          <w:tcPr>
            <w:tcW w:w="878" w:type="pct"/>
          </w:tcPr>
          <w:p w14:paraId="1630E114">
            <w:pPr>
              <w:pStyle w:val="16"/>
              <w:rPr>
                <w:rFonts w:ascii="宋体" w:hAnsi="宋体"/>
                <w:b/>
              </w:rPr>
            </w:pPr>
          </w:p>
        </w:tc>
      </w:tr>
      <w:tr w14:paraId="31996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14:paraId="1E0D6B4B">
            <w:pPr>
              <w:pStyle w:val="16"/>
              <w:rPr>
                <w:rFonts w:ascii="宋体" w:hAnsi="宋体"/>
                <w:b/>
              </w:rPr>
            </w:pPr>
          </w:p>
        </w:tc>
        <w:tc>
          <w:tcPr>
            <w:tcW w:w="1150" w:type="pct"/>
          </w:tcPr>
          <w:p w14:paraId="6D50A32C">
            <w:pPr>
              <w:pStyle w:val="16"/>
              <w:rPr>
                <w:rFonts w:ascii="宋体" w:hAnsi="宋体"/>
                <w:b/>
              </w:rPr>
            </w:pPr>
          </w:p>
        </w:tc>
        <w:tc>
          <w:tcPr>
            <w:tcW w:w="748" w:type="pct"/>
          </w:tcPr>
          <w:p w14:paraId="4D35239E">
            <w:pPr>
              <w:pStyle w:val="16"/>
              <w:rPr>
                <w:rFonts w:ascii="宋体" w:hAnsi="宋体"/>
                <w:b/>
              </w:rPr>
            </w:pPr>
          </w:p>
        </w:tc>
        <w:tc>
          <w:tcPr>
            <w:tcW w:w="456" w:type="pct"/>
          </w:tcPr>
          <w:p w14:paraId="11715AAF">
            <w:pPr>
              <w:pStyle w:val="16"/>
              <w:rPr>
                <w:rFonts w:ascii="宋体" w:hAnsi="宋体"/>
                <w:b/>
              </w:rPr>
            </w:pPr>
          </w:p>
        </w:tc>
        <w:tc>
          <w:tcPr>
            <w:tcW w:w="729" w:type="pct"/>
          </w:tcPr>
          <w:p w14:paraId="299C161E">
            <w:pPr>
              <w:pStyle w:val="16"/>
              <w:rPr>
                <w:rFonts w:ascii="宋体" w:hAnsi="宋体"/>
                <w:b/>
              </w:rPr>
            </w:pPr>
          </w:p>
        </w:tc>
        <w:tc>
          <w:tcPr>
            <w:tcW w:w="565" w:type="pct"/>
          </w:tcPr>
          <w:p w14:paraId="628BEAF8">
            <w:pPr>
              <w:pStyle w:val="16"/>
              <w:rPr>
                <w:rFonts w:ascii="宋体" w:hAnsi="宋体"/>
                <w:b/>
              </w:rPr>
            </w:pPr>
          </w:p>
        </w:tc>
        <w:tc>
          <w:tcPr>
            <w:tcW w:w="878" w:type="pct"/>
          </w:tcPr>
          <w:p w14:paraId="11778957">
            <w:pPr>
              <w:pStyle w:val="16"/>
              <w:rPr>
                <w:rFonts w:ascii="宋体" w:hAnsi="宋体"/>
                <w:b/>
              </w:rPr>
            </w:pPr>
          </w:p>
        </w:tc>
      </w:tr>
      <w:tr w14:paraId="46473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14:paraId="34B0B1A6">
            <w:pPr>
              <w:pStyle w:val="16"/>
              <w:rPr>
                <w:rFonts w:ascii="宋体" w:hAnsi="宋体"/>
                <w:b/>
              </w:rPr>
            </w:pPr>
          </w:p>
        </w:tc>
        <w:tc>
          <w:tcPr>
            <w:tcW w:w="1150" w:type="pct"/>
          </w:tcPr>
          <w:p w14:paraId="3637FFBA">
            <w:pPr>
              <w:pStyle w:val="16"/>
              <w:rPr>
                <w:rFonts w:ascii="宋体" w:hAnsi="宋体"/>
                <w:b/>
              </w:rPr>
            </w:pPr>
          </w:p>
        </w:tc>
        <w:tc>
          <w:tcPr>
            <w:tcW w:w="748" w:type="pct"/>
          </w:tcPr>
          <w:p w14:paraId="58B38792">
            <w:pPr>
              <w:pStyle w:val="16"/>
              <w:rPr>
                <w:rFonts w:ascii="宋体" w:hAnsi="宋体"/>
                <w:b/>
              </w:rPr>
            </w:pPr>
          </w:p>
        </w:tc>
        <w:tc>
          <w:tcPr>
            <w:tcW w:w="456" w:type="pct"/>
          </w:tcPr>
          <w:p w14:paraId="098FB5E1">
            <w:pPr>
              <w:pStyle w:val="16"/>
              <w:rPr>
                <w:rFonts w:ascii="宋体" w:hAnsi="宋体"/>
                <w:b/>
              </w:rPr>
            </w:pPr>
          </w:p>
        </w:tc>
        <w:tc>
          <w:tcPr>
            <w:tcW w:w="729" w:type="pct"/>
          </w:tcPr>
          <w:p w14:paraId="0F02774B">
            <w:pPr>
              <w:pStyle w:val="16"/>
              <w:rPr>
                <w:rFonts w:ascii="宋体" w:hAnsi="宋体"/>
                <w:b/>
              </w:rPr>
            </w:pPr>
          </w:p>
        </w:tc>
        <w:tc>
          <w:tcPr>
            <w:tcW w:w="565" w:type="pct"/>
          </w:tcPr>
          <w:p w14:paraId="27BD03AB">
            <w:pPr>
              <w:pStyle w:val="16"/>
              <w:rPr>
                <w:rFonts w:ascii="宋体" w:hAnsi="宋体"/>
                <w:b/>
              </w:rPr>
            </w:pPr>
          </w:p>
        </w:tc>
        <w:tc>
          <w:tcPr>
            <w:tcW w:w="878" w:type="pct"/>
          </w:tcPr>
          <w:p w14:paraId="20062A02">
            <w:pPr>
              <w:pStyle w:val="16"/>
              <w:rPr>
                <w:rFonts w:ascii="宋体" w:hAnsi="宋体"/>
                <w:b/>
              </w:rPr>
            </w:pPr>
          </w:p>
        </w:tc>
      </w:tr>
      <w:tr w14:paraId="0DC7F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14:paraId="477CFFFF">
            <w:pPr>
              <w:pStyle w:val="16"/>
              <w:rPr>
                <w:rFonts w:ascii="宋体" w:hAnsi="宋体"/>
                <w:b/>
              </w:rPr>
            </w:pPr>
          </w:p>
        </w:tc>
        <w:tc>
          <w:tcPr>
            <w:tcW w:w="1150" w:type="pct"/>
          </w:tcPr>
          <w:p w14:paraId="53F3205C">
            <w:pPr>
              <w:pStyle w:val="16"/>
              <w:rPr>
                <w:rFonts w:ascii="宋体" w:hAnsi="宋体"/>
                <w:b/>
              </w:rPr>
            </w:pPr>
          </w:p>
        </w:tc>
        <w:tc>
          <w:tcPr>
            <w:tcW w:w="748" w:type="pct"/>
          </w:tcPr>
          <w:p w14:paraId="22EF8D9B">
            <w:pPr>
              <w:pStyle w:val="16"/>
              <w:rPr>
                <w:rFonts w:ascii="宋体" w:hAnsi="宋体"/>
                <w:b/>
              </w:rPr>
            </w:pPr>
          </w:p>
        </w:tc>
        <w:tc>
          <w:tcPr>
            <w:tcW w:w="456" w:type="pct"/>
          </w:tcPr>
          <w:p w14:paraId="0B7EA5C6">
            <w:pPr>
              <w:pStyle w:val="16"/>
              <w:rPr>
                <w:rFonts w:ascii="宋体" w:hAnsi="宋体"/>
                <w:b/>
              </w:rPr>
            </w:pPr>
          </w:p>
        </w:tc>
        <w:tc>
          <w:tcPr>
            <w:tcW w:w="729" w:type="pct"/>
          </w:tcPr>
          <w:p w14:paraId="0F1D59B6">
            <w:pPr>
              <w:pStyle w:val="16"/>
              <w:rPr>
                <w:rFonts w:ascii="宋体" w:hAnsi="宋体"/>
                <w:b/>
              </w:rPr>
            </w:pPr>
          </w:p>
        </w:tc>
        <w:tc>
          <w:tcPr>
            <w:tcW w:w="565" w:type="pct"/>
          </w:tcPr>
          <w:p w14:paraId="4DB5B2A8">
            <w:pPr>
              <w:pStyle w:val="16"/>
              <w:rPr>
                <w:rFonts w:ascii="宋体" w:hAnsi="宋体"/>
                <w:b/>
              </w:rPr>
            </w:pPr>
          </w:p>
        </w:tc>
        <w:tc>
          <w:tcPr>
            <w:tcW w:w="878" w:type="pct"/>
          </w:tcPr>
          <w:p w14:paraId="46C732A0">
            <w:pPr>
              <w:pStyle w:val="16"/>
              <w:rPr>
                <w:rFonts w:ascii="宋体" w:hAnsi="宋体"/>
                <w:b/>
              </w:rPr>
            </w:pPr>
          </w:p>
        </w:tc>
      </w:tr>
      <w:tr w14:paraId="287F2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14:paraId="3CFF5B1A">
            <w:pPr>
              <w:pStyle w:val="16"/>
              <w:rPr>
                <w:rFonts w:ascii="宋体" w:hAnsi="宋体"/>
                <w:b/>
              </w:rPr>
            </w:pPr>
          </w:p>
        </w:tc>
        <w:tc>
          <w:tcPr>
            <w:tcW w:w="1150" w:type="pct"/>
          </w:tcPr>
          <w:p w14:paraId="4218602E">
            <w:pPr>
              <w:pStyle w:val="16"/>
              <w:rPr>
                <w:rFonts w:ascii="宋体" w:hAnsi="宋体"/>
                <w:b/>
              </w:rPr>
            </w:pPr>
          </w:p>
        </w:tc>
        <w:tc>
          <w:tcPr>
            <w:tcW w:w="748" w:type="pct"/>
          </w:tcPr>
          <w:p w14:paraId="7B4C4B6A">
            <w:pPr>
              <w:pStyle w:val="16"/>
              <w:rPr>
                <w:rFonts w:ascii="宋体" w:hAnsi="宋体"/>
                <w:b/>
              </w:rPr>
            </w:pPr>
          </w:p>
        </w:tc>
        <w:tc>
          <w:tcPr>
            <w:tcW w:w="456" w:type="pct"/>
          </w:tcPr>
          <w:p w14:paraId="451C67E2">
            <w:pPr>
              <w:pStyle w:val="16"/>
              <w:rPr>
                <w:rFonts w:ascii="宋体" w:hAnsi="宋体"/>
                <w:b/>
              </w:rPr>
            </w:pPr>
          </w:p>
        </w:tc>
        <w:tc>
          <w:tcPr>
            <w:tcW w:w="729" w:type="pct"/>
          </w:tcPr>
          <w:p w14:paraId="2E6B80BC">
            <w:pPr>
              <w:pStyle w:val="16"/>
              <w:rPr>
                <w:rFonts w:ascii="宋体" w:hAnsi="宋体"/>
                <w:b/>
              </w:rPr>
            </w:pPr>
          </w:p>
        </w:tc>
        <w:tc>
          <w:tcPr>
            <w:tcW w:w="565" w:type="pct"/>
          </w:tcPr>
          <w:p w14:paraId="0AA9AE39">
            <w:pPr>
              <w:pStyle w:val="16"/>
              <w:rPr>
                <w:rFonts w:ascii="宋体" w:hAnsi="宋体"/>
                <w:b/>
              </w:rPr>
            </w:pPr>
          </w:p>
        </w:tc>
        <w:tc>
          <w:tcPr>
            <w:tcW w:w="878" w:type="pct"/>
          </w:tcPr>
          <w:p w14:paraId="30D37162">
            <w:pPr>
              <w:pStyle w:val="16"/>
              <w:rPr>
                <w:rFonts w:ascii="宋体" w:hAnsi="宋体"/>
                <w:b/>
              </w:rPr>
            </w:pPr>
          </w:p>
        </w:tc>
      </w:tr>
      <w:tr w14:paraId="4FF05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14:paraId="47A55E4F">
            <w:pPr>
              <w:pStyle w:val="16"/>
              <w:rPr>
                <w:rFonts w:ascii="宋体" w:hAnsi="宋体"/>
                <w:b/>
              </w:rPr>
            </w:pPr>
          </w:p>
        </w:tc>
        <w:tc>
          <w:tcPr>
            <w:tcW w:w="1150" w:type="pct"/>
          </w:tcPr>
          <w:p w14:paraId="48AB08DC">
            <w:pPr>
              <w:pStyle w:val="16"/>
              <w:rPr>
                <w:rFonts w:ascii="宋体" w:hAnsi="宋体"/>
                <w:b/>
              </w:rPr>
            </w:pPr>
          </w:p>
        </w:tc>
        <w:tc>
          <w:tcPr>
            <w:tcW w:w="748" w:type="pct"/>
          </w:tcPr>
          <w:p w14:paraId="06E26B87">
            <w:pPr>
              <w:pStyle w:val="16"/>
              <w:rPr>
                <w:rFonts w:ascii="宋体" w:hAnsi="宋体"/>
                <w:b/>
              </w:rPr>
            </w:pPr>
          </w:p>
        </w:tc>
        <w:tc>
          <w:tcPr>
            <w:tcW w:w="456" w:type="pct"/>
          </w:tcPr>
          <w:p w14:paraId="5FC4CA9A">
            <w:pPr>
              <w:pStyle w:val="16"/>
              <w:rPr>
                <w:rFonts w:ascii="宋体" w:hAnsi="宋体"/>
                <w:b/>
              </w:rPr>
            </w:pPr>
          </w:p>
        </w:tc>
        <w:tc>
          <w:tcPr>
            <w:tcW w:w="729" w:type="pct"/>
          </w:tcPr>
          <w:p w14:paraId="2B1123C2">
            <w:pPr>
              <w:pStyle w:val="16"/>
              <w:rPr>
                <w:rFonts w:ascii="宋体" w:hAnsi="宋体"/>
                <w:b/>
              </w:rPr>
            </w:pPr>
          </w:p>
        </w:tc>
        <w:tc>
          <w:tcPr>
            <w:tcW w:w="565" w:type="pct"/>
          </w:tcPr>
          <w:p w14:paraId="1BE8F291">
            <w:pPr>
              <w:pStyle w:val="16"/>
              <w:rPr>
                <w:rFonts w:ascii="宋体" w:hAnsi="宋体"/>
                <w:b/>
              </w:rPr>
            </w:pPr>
          </w:p>
        </w:tc>
        <w:tc>
          <w:tcPr>
            <w:tcW w:w="878" w:type="pct"/>
          </w:tcPr>
          <w:p w14:paraId="371BD7B1">
            <w:pPr>
              <w:pStyle w:val="16"/>
              <w:rPr>
                <w:rFonts w:ascii="宋体" w:hAnsi="宋体"/>
                <w:b/>
              </w:rPr>
            </w:pPr>
          </w:p>
        </w:tc>
      </w:tr>
      <w:tr w14:paraId="7E251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5" w:type="pct"/>
          </w:tcPr>
          <w:p w14:paraId="21B6F00D">
            <w:pPr>
              <w:pStyle w:val="16"/>
              <w:rPr>
                <w:rFonts w:ascii="宋体" w:hAnsi="宋体"/>
                <w:b/>
              </w:rPr>
            </w:pPr>
          </w:p>
        </w:tc>
        <w:tc>
          <w:tcPr>
            <w:tcW w:w="1150" w:type="pct"/>
          </w:tcPr>
          <w:p w14:paraId="7503E56B">
            <w:pPr>
              <w:pStyle w:val="16"/>
              <w:rPr>
                <w:rFonts w:ascii="宋体" w:hAnsi="宋体"/>
                <w:b/>
              </w:rPr>
            </w:pPr>
          </w:p>
        </w:tc>
        <w:tc>
          <w:tcPr>
            <w:tcW w:w="748" w:type="pct"/>
          </w:tcPr>
          <w:p w14:paraId="550687A7">
            <w:pPr>
              <w:pStyle w:val="16"/>
              <w:rPr>
                <w:rFonts w:ascii="宋体" w:hAnsi="宋体"/>
                <w:b/>
              </w:rPr>
            </w:pPr>
          </w:p>
        </w:tc>
        <w:tc>
          <w:tcPr>
            <w:tcW w:w="456" w:type="pct"/>
          </w:tcPr>
          <w:p w14:paraId="1615137A">
            <w:pPr>
              <w:pStyle w:val="16"/>
              <w:rPr>
                <w:rFonts w:ascii="宋体" w:hAnsi="宋体"/>
                <w:b/>
              </w:rPr>
            </w:pPr>
          </w:p>
        </w:tc>
        <w:tc>
          <w:tcPr>
            <w:tcW w:w="729" w:type="pct"/>
          </w:tcPr>
          <w:p w14:paraId="6AF7B7AE">
            <w:pPr>
              <w:pStyle w:val="16"/>
              <w:rPr>
                <w:rFonts w:ascii="宋体" w:hAnsi="宋体"/>
                <w:b/>
              </w:rPr>
            </w:pPr>
          </w:p>
        </w:tc>
        <w:tc>
          <w:tcPr>
            <w:tcW w:w="565" w:type="pct"/>
          </w:tcPr>
          <w:p w14:paraId="2B9F9586">
            <w:pPr>
              <w:pStyle w:val="16"/>
              <w:rPr>
                <w:rFonts w:ascii="宋体" w:hAnsi="宋体"/>
                <w:b/>
              </w:rPr>
            </w:pPr>
          </w:p>
        </w:tc>
        <w:tc>
          <w:tcPr>
            <w:tcW w:w="878" w:type="pct"/>
          </w:tcPr>
          <w:p w14:paraId="206C5BE8">
            <w:pPr>
              <w:pStyle w:val="16"/>
              <w:rPr>
                <w:rFonts w:ascii="宋体" w:hAnsi="宋体"/>
                <w:b/>
              </w:rPr>
            </w:pPr>
          </w:p>
        </w:tc>
      </w:tr>
    </w:tbl>
    <w:p w14:paraId="3E5A2870">
      <w:pPr>
        <w:spacing w:line="0" w:lineRule="atLeast"/>
        <w:rPr>
          <w:rFonts w:ascii="宋体" w:hAnsi="宋体"/>
          <w:sz w:val="24"/>
        </w:rPr>
      </w:pPr>
      <w:r>
        <w:rPr>
          <w:rFonts w:hint="eastAsia" w:ascii="宋体" w:hAnsi="宋体"/>
          <w:sz w:val="24"/>
        </w:rPr>
        <w:t>注：</w:t>
      </w:r>
      <w:r>
        <w:rPr>
          <w:rFonts w:hint="eastAsia" w:ascii="宋体" w:hAnsi="宋体" w:cs="宋体"/>
          <w:kern w:val="0"/>
          <w:sz w:val="24"/>
        </w:rPr>
        <w:t>提供近三年同类产品的制造销售业绩（用户名单、联系方式）</w:t>
      </w:r>
      <w:r>
        <w:rPr>
          <w:rFonts w:hint="eastAsia" w:ascii="宋体" w:hAnsi="宋体"/>
          <w:sz w:val="24"/>
        </w:rPr>
        <w:t>，并附合同复印件。</w:t>
      </w:r>
    </w:p>
    <w:p w14:paraId="7D822191">
      <w:pPr>
        <w:tabs>
          <w:tab w:val="left" w:pos="1578"/>
          <w:tab w:val="left" w:pos="10083"/>
        </w:tabs>
        <w:spacing w:line="500" w:lineRule="exact"/>
        <w:rPr>
          <w:rFonts w:ascii="宋体" w:hAnsi="宋体"/>
          <w:sz w:val="24"/>
        </w:rPr>
      </w:pPr>
    </w:p>
    <w:p w14:paraId="6C15D1F4">
      <w:pPr>
        <w:spacing w:line="660" w:lineRule="exact"/>
        <w:rPr>
          <w:rFonts w:ascii="宋体" w:hAnsi="宋体"/>
          <w:sz w:val="24"/>
        </w:rPr>
      </w:pPr>
      <w:r>
        <w:rPr>
          <w:rFonts w:hint="eastAsia" w:ascii="宋体" w:hAnsi="宋体"/>
          <w:sz w:val="24"/>
        </w:rPr>
        <w:t>投标人：（盖章）</w:t>
      </w:r>
    </w:p>
    <w:p w14:paraId="28AA97B4">
      <w:pPr>
        <w:spacing w:line="660" w:lineRule="exact"/>
        <w:rPr>
          <w:rFonts w:ascii="宋体" w:hAnsi="宋体"/>
          <w:sz w:val="24"/>
        </w:rPr>
      </w:pPr>
      <w:r>
        <w:rPr>
          <w:rFonts w:hint="eastAsia" w:ascii="宋体" w:hAnsi="宋体"/>
          <w:sz w:val="24"/>
        </w:rPr>
        <w:t>法定代表人（委托代理人）：（签字）</w:t>
      </w:r>
    </w:p>
    <w:p w14:paraId="70D5B069">
      <w:pPr>
        <w:spacing w:line="660" w:lineRule="exact"/>
        <w:rPr>
          <w:rFonts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12D4BCF0">
      <w:pPr>
        <w:rPr>
          <w:rFonts w:eastAsia="黑体"/>
          <w:b/>
          <w:bCs/>
          <w:color w:val="000000"/>
          <w:sz w:val="28"/>
        </w:rPr>
      </w:pPr>
    </w:p>
    <w:p w14:paraId="7638A0B8">
      <w:pPr>
        <w:rPr>
          <w:rFonts w:ascii="宋体" w:hAnsi="宋体" w:cs="宋体"/>
          <w:b/>
          <w:bCs/>
          <w:color w:val="000000"/>
          <w:sz w:val="28"/>
        </w:rPr>
      </w:pPr>
    </w:p>
    <w:p w14:paraId="5C5A79A2">
      <w:pPr>
        <w:rPr>
          <w:rFonts w:ascii="宋体" w:hAnsi="宋体" w:cs="宋体"/>
          <w:b/>
          <w:bCs/>
          <w:color w:val="000000"/>
          <w:sz w:val="28"/>
        </w:rPr>
        <w:sectPr>
          <w:pgSz w:w="11906" w:h="16838"/>
          <w:pgMar w:top="1588" w:right="1418" w:bottom="1134" w:left="1418" w:header="851" w:footer="992" w:gutter="0"/>
          <w:cols w:space="720" w:num="1"/>
          <w:titlePg/>
          <w:docGrid w:type="lines" w:linePitch="312" w:charSpace="0"/>
        </w:sectPr>
      </w:pPr>
    </w:p>
    <w:p w14:paraId="14B408F6">
      <w:pPr>
        <w:pStyle w:val="35"/>
      </w:pPr>
      <w:r>
        <w:rPr>
          <w:rFonts w:hint="eastAsia"/>
        </w:rPr>
        <w:t>附件</w:t>
      </w:r>
      <w:r>
        <w:t xml:space="preserve">5 </w:t>
      </w:r>
      <w:r>
        <w:rPr>
          <w:rFonts w:hint="eastAsia"/>
        </w:rPr>
        <w:t>开标一览表</w:t>
      </w:r>
    </w:p>
    <w:p w14:paraId="69F3C1FA">
      <w:pPr>
        <w:pStyle w:val="28"/>
        <w:ind w:firstLine="480"/>
      </w:pPr>
      <w:r>
        <w:rPr>
          <w:rFonts w:hint="eastAsia"/>
        </w:rPr>
        <w:t>《开标一览表》单独封存，以备唱标使用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1556"/>
        <w:gridCol w:w="869"/>
        <w:gridCol w:w="2327"/>
        <w:gridCol w:w="1127"/>
        <w:gridCol w:w="1274"/>
        <w:gridCol w:w="722"/>
        <w:gridCol w:w="718"/>
      </w:tblGrid>
      <w:tr w14:paraId="08037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373" w:type="pct"/>
            <w:vAlign w:val="center"/>
          </w:tcPr>
          <w:p w14:paraId="78A96FD9">
            <w:pPr>
              <w:pStyle w:val="31"/>
            </w:pPr>
            <w:r>
              <w:rPr>
                <w:rFonts w:hint="eastAsia" w:ascii="宋体" w:hAnsi="宋体" w:cs="宋体"/>
              </w:rPr>
              <w:t>序</w:t>
            </w:r>
            <w:r>
              <w:rPr>
                <w:rFonts w:hint="eastAsia"/>
              </w:rPr>
              <w:t>号</w:t>
            </w:r>
          </w:p>
        </w:tc>
        <w:tc>
          <w:tcPr>
            <w:tcW w:w="838" w:type="pct"/>
            <w:vAlign w:val="center"/>
          </w:tcPr>
          <w:p w14:paraId="06EC2928">
            <w:pPr>
              <w:pStyle w:val="31"/>
            </w:pPr>
            <w:r>
              <w:rPr>
                <w:rFonts w:hint="eastAsia"/>
              </w:rPr>
              <w:t>项目名称</w:t>
            </w:r>
          </w:p>
        </w:tc>
        <w:tc>
          <w:tcPr>
            <w:tcW w:w="468" w:type="pct"/>
            <w:vAlign w:val="center"/>
          </w:tcPr>
          <w:p w14:paraId="5071307E">
            <w:pPr>
              <w:pStyle w:val="31"/>
            </w:pPr>
            <w:r>
              <w:rPr>
                <w:rFonts w:hint="eastAsia"/>
              </w:rPr>
              <w:t>数量</w:t>
            </w:r>
          </w:p>
        </w:tc>
        <w:tc>
          <w:tcPr>
            <w:tcW w:w="1253" w:type="pct"/>
            <w:vAlign w:val="center"/>
          </w:tcPr>
          <w:p w14:paraId="60430CC1">
            <w:pPr>
              <w:pStyle w:val="31"/>
            </w:pPr>
            <w:r>
              <w:rPr>
                <w:rFonts w:hint="eastAsia"/>
              </w:rPr>
              <w:t>投标总价</w:t>
            </w:r>
            <w:r>
              <w:rPr>
                <w:rFonts w:hint="eastAsia" w:ascii="等线" w:hAnsi="等线" w:eastAsia="等线"/>
              </w:rPr>
              <w:t>（元）</w:t>
            </w:r>
          </w:p>
        </w:tc>
        <w:tc>
          <w:tcPr>
            <w:tcW w:w="607" w:type="pct"/>
            <w:vAlign w:val="center"/>
          </w:tcPr>
          <w:p w14:paraId="45262684">
            <w:pPr>
              <w:pStyle w:val="31"/>
            </w:pPr>
            <w:r>
              <w:rPr>
                <w:rFonts w:hint="eastAsia"/>
              </w:rPr>
              <w:t>质保期</w:t>
            </w:r>
          </w:p>
        </w:tc>
        <w:tc>
          <w:tcPr>
            <w:tcW w:w="686" w:type="pct"/>
            <w:vAlign w:val="center"/>
          </w:tcPr>
          <w:p w14:paraId="718D716D">
            <w:pPr>
              <w:pStyle w:val="31"/>
            </w:pPr>
            <w:r>
              <w:rPr>
                <w:rFonts w:hint="eastAsia"/>
              </w:rPr>
              <w:t>交货及安装</w:t>
            </w:r>
          </w:p>
          <w:p w14:paraId="5F7AFB66">
            <w:pPr>
              <w:pStyle w:val="31"/>
            </w:pPr>
            <w:r>
              <w:rPr>
                <w:rFonts w:hint="eastAsia"/>
              </w:rPr>
              <w:t>时间</w:t>
            </w:r>
          </w:p>
        </w:tc>
        <w:tc>
          <w:tcPr>
            <w:tcW w:w="389" w:type="pct"/>
            <w:vAlign w:val="center"/>
          </w:tcPr>
          <w:p w14:paraId="45CD69C2">
            <w:pPr>
              <w:pStyle w:val="31"/>
            </w:pPr>
            <w:r>
              <w:rPr>
                <w:rFonts w:hint="eastAsia" w:ascii="等线" w:hAnsi="等线" w:eastAsia="等线"/>
              </w:rPr>
              <w:t>付款方式及比例如何响应</w:t>
            </w:r>
          </w:p>
        </w:tc>
        <w:tc>
          <w:tcPr>
            <w:tcW w:w="387" w:type="pct"/>
            <w:vAlign w:val="center"/>
          </w:tcPr>
          <w:p w14:paraId="4D80D968">
            <w:pPr>
              <w:pStyle w:val="31"/>
              <w:rPr>
                <w:rFonts w:ascii="等线" w:hAnsi="等线" w:eastAsia="等线"/>
              </w:rPr>
            </w:pPr>
            <w:r>
              <w:rPr>
                <w:rFonts w:hint="eastAsia" w:ascii="等线" w:hAnsi="等线" w:eastAsia="等线"/>
              </w:rPr>
              <w:t>付款方式及比例是否偏离</w:t>
            </w:r>
          </w:p>
        </w:tc>
      </w:tr>
      <w:tr w14:paraId="5DB30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373" w:type="pct"/>
            <w:vAlign w:val="center"/>
          </w:tcPr>
          <w:p w14:paraId="795C590D">
            <w:pPr>
              <w:pStyle w:val="31"/>
            </w:pPr>
            <w:r>
              <w:rPr>
                <w:rFonts w:hint="eastAsia"/>
              </w:rPr>
              <w:t>1</w:t>
            </w:r>
          </w:p>
        </w:tc>
        <w:tc>
          <w:tcPr>
            <w:tcW w:w="838" w:type="pct"/>
            <w:vAlign w:val="center"/>
          </w:tcPr>
          <w:p w14:paraId="7AE74F2C">
            <w:pPr>
              <w:pStyle w:val="31"/>
              <w:rPr>
                <w:rFonts w:hint="eastAsia" w:eastAsia="宋体"/>
                <w:lang w:eastAsia="zh-CN"/>
              </w:rPr>
            </w:pPr>
            <w:r>
              <w:rPr>
                <w:rFonts w:hint="eastAsia"/>
                <w:lang w:eastAsia="zh-CN"/>
              </w:rPr>
              <w:t>ABAQ</w:t>
            </w:r>
            <w:r>
              <w:rPr>
                <w:rFonts w:hint="eastAsia"/>
                <w:lang w:val="en-US" w:eastAsia="zh-CN"/>
              </w:rPr>
              <w:t>US</w:t>
            </w:r>
            <w:r>
              <w:rPr>
                <w:rFonts w:hint="eastAsia"/>
                <w:lang w:eastAsia="zh-CN"/>
              </w:rPr>
              <w:t>软件采购项目</w:t>
            </w:r>
          </w:p>
        </w:tc>
        <w:tc>
          <w:tcPr>
            <w:tcW w:w="468" w:type="pct"/>
            <w:vAlign w:val="center"/>
          </w:tcPr>
          <w:p w14:paraId="3BEE49F1">
            <w:pPr>
              <w:pStyle w:val="31"/>
              <w:jc w:val="center"/>
            </w:pPr>
            <w:r>
              <w:rPr>
                <w:rFonts w:hint="eastAsia"/>
              </w:rPr>
              <w:t>1</w:t>
            </w:r>
          </w:p>
        </w:tc>
        <w:tc>
          <w:tcPr>
            <w:tcW w:w="1253" w:type="pct"/>
            <w:vAlign w:val="center"/>
          </w:tcPr>
          <w:p w14:paraId="4742E484">
            <w:pPr>
              <w:pStyle w:val="31"/>
              <w:rPr>
                <w:rFonts w:ascii="等线" w:hAnsi="等线" w:eastAsia="等线"/>
              </w:rPr>
            </w:pPr>
            <w:r>
              <w:rPr>
                <w:rFonts w:hint="eastAsia" w:ascii="等线" w:hAnsi="等线" w:eastAsia="等线"/>
              </w:rPr>
              <w:t>不含税价：</w:t>
            </w:r>
          </w:p>
          <w:p w14:paraId="14F0C152">
            <w:pPr>
              <w:pStyle w:val="31"/>
              <w:rPr>
                <w:rFonts w:ascii="等线" w:hAnsi="等线" w:eastAsia="等线"/>
              </w:rPr>
            </w:pPr>
            <w:r>
              <w:rPr>
                <w:rFonts w:hint="eastAsia" w:ascii="等线" w:hAnsi="等线" w:eastAsia="等线"/>
              </w:rPr>
              <w:t>含税价格：</w:t>
            </w:r>
          </w:p>
          <w:p w14:paraId="7060219A">
            <w:pPr>
              <w:pStyle w:val="31"/>
            </w:pPr>
            <w:r>
              <w:rPr>
                <w:rFonts w:hint="eastAsia" w:ascii="等线" w:hAnsi="等线" w:eastAsia="等线"/>
              </w:rPr>
              <w:t>税率：</w:t>
            </w:r>
          </w:p>
        </w:tc>
        <w:tc>
          <w:tcPr>
            <w:tcW w:w="607" w:type="pct"/>
            <w:vAlign w:val="center"/>
          </w:tcPr>
          <w:p w14:paraId="49D3A577">
            <w:pPr>
              <w:pStyle w:val="31"/>
            </w:pPr>
          </w:p>
        </w:tc>
        <w:tc>
          <w:tcPr>
            <w:tcW w:w="686" w:type="pct"/>
            <w:vAlign w:val="center"/>
          </w:tcPr>
          <w:p w14:paraId="69B2659A">
            <w:pPr>
              <w:pStyle w:val="31"/>
            </w:pPr>
          </w:p>
        </w:tc>
        <w:tc>
          <w:tcPr>
            <w:tcW w:w="389" w:type="pct"/>
            <w:vAlign w:val="center"/>
          </w:tcPr>
          <w:p w14:paraId="5B965DD4">
            <w:pPr>
              <w:pStyle w:val="31"/>
            </w:pPr>
          </w:p>
        </w:tc>
        <w:tc>
          <w:tcPr>
            <w:tcW w:w="387" w:type="pct"/>
            <w:vAlign w:val="center"/>
          </w:tcPr>
          <w:p w14:paraId="0D53509C">
            <w:pPr>
              <w:pStyle w:val="31"/>
            </w:pPr>
          </w:p>
        </w:tc>
      </w:tr>
    </w:tbl>
    <w:p w14:paraId="1B960ABD">
      <w:pPr>
        <w:spacing w:line="400" w:lineRule="exact"/>
        <w:rPr>
          <w:rFonts w:ascii="仿宋" w:hAnsi="仿宋" w:eastAsia="仿宋" w:cs="仿宋"/>
          <w:sz w:val="24"/>
          <w:szCs w:val="24"/>
        </w:rPr>
      </w:pPr>
      <w:r>
        <w:rPr>
          <w:rFonts w:hint="eastAsia" w:ascii="仿宋" w:hAnsi="仿宋" w:eastAsia="仿宋" w:cs="仿宋"/>
          <w:sz w:val="24"/>
          <w:szCs w:val="24"/>
        </w:rPr>
        <w:t>注：</w:t>
      </w:r>
    </w:p>
    <w:p w14:paraId="59C1526E">
      <w:pPr>
        <w:spacing w:line="520" w:lineRule="exact"/>
        <w:rPr>
          <w:rFonts w:ascii="仿宋" w:hAnsi="仿宋" w:eastAsia="仿宋" w:cs="仿宋"/>
          <w:sz w:val="24"/>
          <w:szCs w:val="24"/>
        </w:rPr>
      </w:pPr>
      <w:r>
        <w:rPr>
          <w:rFonts w:hint="eastAsia" w:ascii="仿宋" w:hAnsi="仿宋" w:eastAsia="仿宋" w:cs="仿宋"/>
          <w:sz w:val="24"/>
          <w:szCs w:val="24"/>
        </w:rPr>
        <w:t>1、此表中的报价必须与相应的报价明细表中的报价一致。</w:t>
      </w:r>
    </w:p>
    <w:p w14:paraId="50A9A820">
      <w:pPr>
        <w:spacing w:line="300" w:lineRule="auto"/>
        <w:rPr>
          <w:rFonts w:ascii="仿宋" w:hAnsi="仿宋" w:eastAsia="仿宋" w:cs="仿宋"/>
          <w:sz w:val="24"/>
          <w:szCs w:val="24"/>
        </w:rPr>
      </w:pPr>
      <w:r>
        <w:rPr>
          <w:rFonts w:hint="eastAsia" w:ascii="仿宋" w:hAnsi="仿宋" w:eastAsia="仿宋" w:cs="仿宋"/>
          <w:sz w:val="24"/>
          <w:szCs w:val="24"/>
        </w:rPr>
        <w:t>2、此表在投递标书时请单独密封两份，否则不予唱标。</w:t>
      </w:r>
    </w:p>
    <w:p w14:paraId="5DBF6D97">
      <w:pPr>
        <w:spacing w:line="300" w:lineRule="auto"/>
        <w:rPr>
          <w:rFonts w:ascii="仿宋" w:hAnsi="仿宋" w:eastAsia="仿宋" w:cs="仿宋"/>
          <w:sz w:val="24"/>
        </w:rPr>
      </w:pPr>
      <w:r>
        <w:rPr>
          <w:rFonts w:hint="eastAsia" w:ascii="仿宋" w:hAnsi="仿宋" w:eastAsia="仿宋" w:cs="仿宋"/>
          <w:sz w:val="24"/>
          <w:szCs w:val="24"/>
        </w:rPr>
        <w:t>3、需写明含税价、不含税价格、税率。</w:t>
      </w:r>
    </w:p>
    <w:p w14:paraId="118925B0">
      <w:pPr>
        <w:spacing w:line="660" w:lineRule="exact"/>
        <w:rPr>
          <w:rFonts w:ascii="仿宋" w:hAnsi="仿宋" w:eastAsia="仿宋" w:cs="仿宋"/>
          <w:sz w:val="24"/>
        </w:rPr>
      </w:pPr>
      <w:r>
        <w:rPr>
          <w:rFonts w:hint="eastAsia" w:ascii="仿宋" w:hAnsi="仿宋" w:eastAsia="仿宋" w:cs="仿宋"/>
          <w:sz w:val="24"/>
        </w:rPr>
        <w:t>投标人：（盖章）</w:t>
      </w:r>
    </w:p>
    <w:p w14:paraId="68665876">
      <w:pPr>
        <w:spacing w:line="660" w:lineRule="exact"/>
        <w:rPr>
          <w:rFonts w:ascii="仿宋" w:hAnsi="仿宋" w:eastAsia="仿宋" w:cs="仿宋"/>
          <w:sz w:val="24"/>
        </w:rPr>
      </w:pPr>
      <w:r>
        <w:rPr>
          <w:rFonts w:hint="eastAsia" w:ascii="仿宋" w:hAnsi="仿宋" w:eastAsia="仿宋" w:cs="仿宋"/>
          <w:sz w:val="24"/>
        </w:rPr>
        <w:t>法定代表人（委托代理人）：（签字）</w:t>
      </w:r>
    </w:p>
    <w:p w14:paraId="28B485C4">
      <w:pPr>
        <w:spacing w:line="660" w:lineRule="exact"/>
        <w:rPr>
          <w:rFonts w:ascii="仿宋" w:hAnsi="仿宋" w:eastAsia="仿宋" w:cs="仿宋"/>
          <w:sz w:val="24"/>
          <w:szCs w:val="24"/>
        </w:rPr>
      </w:pPr>
      <w:r>
        <w:rPr>
          <w:rFonts w:hint="eastAsia" w:ascii="仿宋" w:hAnsi="仿宋" w:eastAsia="仿宋" w:cs="仿宋"/>
          <w:sz w:val="24"/>
          <w:szCs w:val="24"/>
        </w:rPr>
        <w:t>日  期：</w:t>
      </w:r>
      <w:r>
        <w:rPr>
          <w:rFonts w:hint="eastAsia" w:ascii="仿宋" w:hAnsi="仿宋" w:eastAsia="仿宋" w:cs="仿宋"/>
          <w:kern w:val="0"/>
          <w:sz w:val="24"/>
        </w:rPr>
        <w:t xml:space="preserve">       </w:t>
      </w:r>
      <w:r>
        <w:rPr>
          <w:rFonts w:hint="eastAsia" w:ascii="仿宋" w:hAnsi="仿宋" w:eastAsia="仿宋" w:cs="仿宋"/>
          <w:sz w:val="24"/>
          <w:szCs w:val="24"/>
        </w:rPr>
        <w:t>年</w:t>
      </w:r>
      <w:r>
        <w:rPr>
          <w:rFonts w:hint="eastAsia" w:ascii="仿宋" w:hAnsi="仿宋" w:eastAsia="仿宋" w:cs="仿宋"/>
          <w:kern w:val="0"/>
          <w:sz w:val="24"/>
        </w:rPr>
        <w:t xml:space="preserve">    </w:t>
      </w:r>
      <w:r>
        <w:rPr>
          <w:rFonts w:hint="eastAsia" w:ascii="仿宋" w:hAnsi="仿宋" w:eastAsia="仿宋" w:cs="仿宋"/>
          <w:sz w:val="24"/>
          <w:szCs w:val="24"/>
        </w:rPr>
        <w:t>月</w:t>
      </w:r>
      <w:r>
        <w:rPr>
          <w:rFonts w:hint="eastAsia" w:ascii="仿宋" w:hAnsi="仿宋" w:eastAsia="仿宋" w:cs="仿宋"/>
          <w:kern w:val="0"/>
          <w:sz w:val="24"/>
        </w:rPr>
        <w:t xml:space="preserve">    </w:t>
      </w:r>
      <w:r>
        <w:rPr>
          <w:rFonts w:hint="eastAsia" w:ascii="仿宋" w:hAnsi="仿宋" w:eastAsia="仿宋" w:cs="仿宋"/>
          <w:sz w:val="24"/>
          <w:szCs w:val="24"/>
        </w:rPr>
        <w:t>日</w:t>
      </w:r>
    </w:p>
    <w:p w14:paraId="6A9BB86F">
      <w:pPr>
        <w:ind w:firstLine="480"/>
        <w:rPr>
          <w:rFonts w:ascii="宋体" w:hAnsi="宋体"/>
          <w:b/>
          <w:color w:val="000000"/>
          <w:sz w:val="24"/>
          <w:szCs w:val="24"/>
        </w:rPr>
        <w:sectPr>
          <w:pgSz w:w="11906" w:h="16838"/>
          <w:pgMar w:top="1588" w:right="1418" w:bottom="1134" w:left="1418" w:header="851" w:footer="992" w:gutter="0"/>
          <w:pgNumType w:fmt="numberInDash"/>
          <w:cols w:space="720" w:num="1"/>
          <w:titlePg/>
          <w:docGrid w:type="lines" w:linePitch="312" w:charSpace="0"/>
        </w:sectPr>
      </w:pPr>
    </w:p>
    <w:p w14:paraId="37EC3A4A">
      <w:pPr>
        <w:pStyle w:val="35"/>
      </w:pPr>
      <w:bookmarkStart w:id="15" w:name="_Toc639008"/>
      <w:bookmarkStart w:id="16" w:name="_Toc26556"/>
      <w:bookmarkStart w:id="17" w:name="_Toc353881017"/>
      <w:r>
        <w:rPr>
          <w:rFonts w:hint="eastAsia"/>
        </w:rPr>
        <w:t>附件</w:t>
      </w:r>
      <w:r>
        <w:t xml:space="preserve">6 </w:t>
      </w:r>
      <w:r>
        <w:rPr>
          <w:rFonts w:hint="eastAsia"/>
        </w:rPr>
        <w:t>投标报价明细表</w:t>
      </w:r>
      <w:bookmarkEnd w:id="15"/>
      <w:bookmarkEnd w:id="16"/>
      <w:bookmarkEnd w:id="17"/>
    </w:p>
    <w:p w14:paraId="192A6F5C">
      <w:pPr>
        <w:spacing w:line="600" w:lineRule="exact"/>
        <w:ind w:firstLine="141"/>
        <w:jc w:val="left"/>
        <w:rPr>
          <w:rFonts w:hint="eastAsia" w:ascii="宋体" w:hAnsi="宋体" w:eastAsiaTheme="minorEastAsia"/>
          <w:color w:val="000000"/>
          <w:sz w:val="24"/>
          <w:szCs w:val="24"/>
          <w:u w:val="single"/>
          <w:lang w:eastAsia="zh-CN"/>
        </w:rPr>
      </w:pPr>
      <w:r>
        <w:rPr>
          <w:rFonts w:hint="eastAsia"/>
        </w:rPr>
        <w:t>项目名称：</w:t>
      </w:r>
      <w:r>
        <w:rPr>
          <w:rFonts w:hint="eastAsia" w:ascii="宋体" w:hAnsi="宋体" w:eastAsia="宋体"/>
          <w:color w:val="000000"/>
          <w:sz w:val="24"/>
          <w:szCs w:val="24"/>
          <w:u w:val="single"/>
          <w:lang w:eastAsia="zh-CN"/>
        </w:rPr>
        <w:t>ABAQUS软件采购项目</w:t>
      </w:r>
    </w:p>
    <w:p w14:paraId="30E4A1BB">
      <w:pPr>
        <w:pStyle w:val="28"/>
        <w:ind w:firstLine="480"/>
      </w:pPr>
      <w:r>
        <w:rPr>
          <w:rFonts w:hint="eastAsia"/>
        </w:rPr>
        <w:t xml:space="preserve">    </w:t>
      </w:r>
    </w:p>
    <w:tbl>
      <w:tblPr>
        <w:tblStyle w:val="18"/>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 w:type="dxa"/>
          <w:bottom w:w="0" w:type="dxa"/>
          <w:right w:w="3" w:type="dxa"/>
        </w:tblCellMar>
      </w:tblPr>
      <w:tblGrid>
        <w:gridCol w:w="561"/>
        <w:gridCol w:w="1118"/>
        <w:gridCol w:w="903"/>
        <w:gridCol w:w="647"/>
        <w:gridCol w:w="647"/>
        <w:gridCol w:w="1276"/>
        <w:gridCol w:w="833"/>
        <w:gridCol w:w="953"/>
        <w:gridCol w:w="1105"/>
        <w:gridCol w:w="1042"/>
      </w:tblGrid>
      <w:tr w14:paraId="19BB3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776" w:hRule="atLeast"/>
          <w:jc w:val="center"/>
        </w:trPr>
        <w:tc>
          <w:tcPr>
            <w:tcW w:w="309" w:type="pct"/>
            <w:vAlign w:val="center"/>
          </w:tcPr>
          <w:p w14:paraId="2026EF4B">
            <w:pPr>
              <w:pStyle w:val="31"/>
            </w:pPr>
            <w:r>
              <w:rPr>
                <w:rFonts w:hint="eastAsia"/>
              </w:rPr>
              <w:t>序 号</w:t>
            </w:r>
          </w:p>
        </w:tc>
        <w:tc>
          <w:tcPr>
            <w:tcW w:w="615" w:type="pct"/>
            <w:vAlign w:val="center"/>
          </w:tcPr>
          <w:p w14:paraId="4A6035E9">
            <w:pPr>
              <w:pStyle w:val="31"/>
            </w:pPr>
            <w:r>
              <w:rPr>
                <w:rFonts w:hint="eastAsia"/>
              </w:rPr>
              <w:t>部件名称</w:t>
            </w:r>
          </w:p>
        </w:tc>
        <w:tc>
          <w:tcPr>
            <w:tcW w:w="497" w:type="pct"/>
            <w:vAlign w:val="center"/>
          </w:tcPr>
          <w:p w14:paraId="291B21DA">
            <w:pPr>
              <w:pStyle w:val="31"/>
            </w:pPr>
            <w:r>
              <w:rPr>
                <w:rFonts w:hint="eastAsia"/>
              </w:rPr>
              <w:t>规格型号</w:t>
            </w:r>
          </w:p>
        </w:tc>
        <w:tc>
          <w:tcPr>
            <w:tcW w:w="356" w:type="pct"/>
            <w:vAlign w:val="center"/>
          </w:tcPr>
          <w:p w14:paraId="3898385D">
            <w:pPr>
              <w:pStyle w:val="31"/>
            </w:pPr>
            <w:r>
              <w:rPr>
                <w:rFonts w:hint="eastAsia"/>
              </w:rPr>
              <w:t>单 位</w:t>
            </w:r>
          </w:p>
        </w:tc>
        <w:tc>
          <w:tcPr>
            <w:tcW w:w="356" w:type="pct"/>
            <w:vAlign w:val="center"/>
          </w:tcPr>
          <w:p w14:paraId="52FA232C">
            <w:pPr>
              <w:pStyle w:val="31"/>
            </w:pPr>
            <w:r>
              <w:rPr>
                <w:rFonts w:hint="eastAsia" w:ascii="宋体" w:hAnsi="宋体" w:cs="宋体"/>
              </w:rPr>
              <w:t>数</w:t>
            </w:r>
            <w:r>
              <w:rPr>
                <w:rFonts w:hint="eastAsia"/>
              </w:rPr>
              <w:t xml:space="preserve">  </w:t>
            </w:r>
            <w:r>
              <w:rPr>
                <w:rFonts w:hint="eastAsia" w:ascii="宋体" w:hAnsi="宋体" w:cs="宋体"/>
              </w:rPr>
              <w:t>量</w:t>
            </w:r>
          </w:p>
        </w:tc>
        <w:tc>
          <w:tcPr>
            <w:tcW w:w="702" w:type="pct"/>
            <w:vAlign w:val="center"/>
          </w:tcPr>
          <w:p w14:paraId="7B6B7C2A">
            <w:pPr>
              <w:pStyle w:val="31"/>
            </w:pPr>
            <w:r>
              <w:rPr>
                <w:rFonts w:hint="eastAsia"/>
              </w:rPr>
              <w:t>生产厂商名称</w:t>
            </w:r>
          </w:p>
        </w:tc>
        <w:tc>
          <w:tcPr>
            <w:tcW w:w="458" w:type="pct"/>
            <w:vAlign w:val="center"/>
          </w:tcPr>
          <w:p w14:paraId="13391A4E">
            <w:pPr>
              <w:pStyle w:val="31"/>
              <w:rPr>
                <w:rFonts w:hint="eastAsia"/>
              </w:rPr>
            </w:pPr>
            <w:r>
              <w:rPr>
                <w:rFonts w:hint="eastAsia"/>
              </w:rPr>
              <w:t>单价</w:t>
            </w:r>
          </w:p>
          <w:p w14:paraId="18F7EA8A">
            <w:pPr>
              <w:pStyle w:val="31"/>
              <w:rPr>
                <w:rFonts w:hint="eastAsia" w:eastAsia="宋体"/>
                <w:lang w:eastAsia="zh-CN"/>
              </w:rPr>
            </w:pPr>
            <w:r>
              <w:rPr>
                <w:rFonts w:hint="eastAsia"/>
                <w:lang w:eastAsia="zh-CN"/>
              </w:rPr>
              <w:t>（</w:t>
            </w:r>
            <w:r>
              <w:rPr>
                <w:rFonts w:hint="eastAsia"/>
                <w:lang w:val="en-US" w:eastAsia="zh-CN"/>
              </w:rPr>
              <w:t>元</w:t>
            </w:r>
            <w:r>
              <w:rPr>
                <w:rFonts w:hint="eastAsia"/>
                <w:lang w:eastAsia="zh-CN"/>
              </w:rPr>
              <w:t>）</w:t>
            </w:r>
          </w:p>
        </w:tc>
        <w:tc>
          <w:tcPr>
            <w:tcW w:w="524" w:type="pct"/>
            <w:vAlign w:val="center"/>
          </w:tcPr>
          <w:p w14:paraId="0BA5F8A8">
            <w:pPr>
              <w:pStyle w:val="31"/>
              <w:rPr>
                <w:rFonts w:hint="eastAsia"/>
              </w:rPr>
            </w:pPr>
            <w:r>
              <w:rPr>
                <w:rFonts w:hint="eastAsia"/>
              </w:rPr>
              <w:t>分项金额</w:t>
            </w:r>
          </w:p>
          <w:p w14:paraId="4F1DB9BE">
            <w:pPr>
              <w:pStyle w:val="31"/>
            </w:pPr>
            <w:r>
              <w:rPr>
                <w:rFonts w:hint="eastAsia"/>
                <w:lang w:val="en-US" w:eastAsia="zh-CN"/>
              </w:rPr>
              <w:t>(元</w:t>
            </w:r>
            <w:r>
              <w:rPr>
                <w:rFonts w:hint="eastAsia"/>
                <w:lang w:eastAsia="zh-CN"/>
              </w:rPr>
              <w:t>）</w:t>
            </w:r>
          </w:p>
        </w:tc>
        <w:tc>
          <w:tcPr>
            <w:tcW w:w="608" w:type="pct"/>
            <w:vAlign w:val="center"/>
          </w:tcPr>
          <w:p w14:paraId="3860EDF6">
            <w:pPr>
              <w:pStyle w:val="31"/>
            </w:pPr>
            <w:r>
              <w:rPr>
                <w:rFonts w:hint="eastAsia"/>
              </w:rPr>
              <w:t>交货日期</w:t>
            </w:r>
          </w:p>
        </w:tc>
        <w:tc>
          <w:tcPr>
            <w:tcW w:w="571" w:type="pct"/>
            <w:vAlign w:val="center"/>
          </w:tcPr>
          <w:p w14:paraId="5FCFC7D8">
            <w:pPr>
              <w:pStyle w:val="31"/>
            </w:pPr>
            <w:r>
              <w:rPr>
                <w:rFonts w:hint="eastAsia"/>
              </w:rPr>
              <w:t>交货地点</w:t>
            </w:r>
          </w:p>
        </w:tc>
      </w:tr>
      <w:tr w14:paraId="66269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309" w:type="pct"/>
            <w:vAlign w:val="center"/>
          </w:tcPr>
          <w:p w14:paraId="656704AB">
            <w:pPr>
              <w:pStyle w:val="31"/>
            </w:pPr>
          </w:p>
        </w:tc>
        <w:tc>
          <w:tcPr>
            <w:tcW w:w="615" w:type="pct"/>
            <w:vAlign w:val="center"/>
          </w:tcPr>
          <w:p w14:paraId="6FA2E4EE">
            <w:pPr>
              <w:pStyle w:val="31"/>
            </w:pPr>
          </w:p>
        </w:tc>
        <w:tc>
          <w:tcPr>
            <w:tcW w:w="497" w:type="pct"/>
            <w:vAlign w:val="center"/>
          </w:tcPr>
          <w:p w14:paraId="28E7F9B3">
            <w:pPr>
              <w:pStyle w:val="31"/>
            </w:pPr>
          </w:p>
        </w:tc>
        <w:tc>
          <w:tcPr>
            <w:tcW w:w="356" w:type="pct"/>
            <w:vAlign w:val="center"/>
          </w:tcPr>
          <w:p w14:paraId="57969DFF">
            <w:pPr>
              <w:pStyle w:val="31"/>
            </w:pPr>
          </w:p>
        </w:tc>
        <w:tc>
          <w:tcPr>
            <w:tcW w:w="356" w:type="pct"/>
            <w:vAlign w:val="center"/>
          </w:tcPr>
          <w:p w14:paraId="04E74FA0">
            <w:pPr>
              <w:pStyle w:val="31"/>
            </w:pPr>
          </w:p>
        </w:tc>
        <w:tc>
          <w:tcPr>
            <w:tcW w:w="702" w:type="pct"/>
            <w:vAlign w:val="center"/>
          </w:tcPr>
          <w:p w14:paraId="5F64AE4E">
            <w:pPr>
              <w:pStyle w:val="31"/>
            </w:pPr>
          </w:p>
        </w:tc>
        <w:tc>
          <w:tcPr>
            <w:tcW w:w="458" w:type="pct"/>
            <w:vAlign w:val="center"/>
          </w:tcPr>
          <w:p w14:paraId="22D5713F">
            <w:pPr>
              <w:pStyle w:val="31"/>
            </w:pPr>
          </w:p>
        </w:tc>
        <w:tc>
          <w:tcPr>
            <w:tcW w:w="524" w:type="pct"/>
            <w:vAlign w:val="center"/>
          </w:tcPr>
          <w:p w14:paraId="2E56DF58">
            <w:pPr>
              <w:pStyle w:val="31"/>
            </w:pPr>
          </w:p>
        </w:tc>
        <w:tc>
          <w:tcPr>
            <w:tcW w:w="608" w:type="pct"/>
            <w:vAlign w:val="center"/>
          </w:tcPr>
          <w:p w14:paraId="06B83E02">
            <w:pPr>
              <w:pStyle w:val="31"/>
            </w:pPr>
          </w:p>
        </w:tc>
        <w:tc>
          <w:tcPr>
            <w:tcW w:w="571" w:type="pct"/>
            <w:vAlign w:val="center"/>
          </w:tcPr>
          <w:p w14:paraId="75C44C3C">
            <w:pPr>
              <w:pStyle w:val="31"/>
            </w:pPr>
          </w:p>
        </w:tc>
      </w:tr>
      <w:tr w14:paraId="7E517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309" w:type="pct"/>
            <w:vAlign w:val="center"/>
          </w:tcPr>
          <w:p w14:paraId="613D081E">
            <w:pPr>
              <w:pStyle w:val="31"/>
            </w:pPr>
          </w:p>
        </w:tc>
        <w:tc>
          <w:tcPr>
            <w:tcW w:w="615" w:type="pct"/>
            <w:vAlign w:val="center"/>
          </w:tcPr>
          <w:p w14:paraId="36E1A209">
            <w:pPr>
              <w:pStyle w:val="31"/>
            </w:pPr>
          </w:p>
        </w:tc>
        <w:tc>
          <w:tcPr>
            <w:tcW w:w="497" w:type="pct"/>
            <w:vAlign w:val="center"/>
          </w:tcPr>
          <w:p w14:paraId="798EAE96">
            <w:pPr>
              <w:pStyle w:val="31"/>
            </w:pPr>
          </w:p>
        </w:tc>
        <w:tc>
          <w:tcPr>
            <w:tcW w:w="356" w:type="pct"/>
            <w:vAlign w:val="center"/>
          </w:tcPr>
          <w:p w14:paraId="395071BB">
            <w:pPr>
              <w:pStyle w:val="31"/>
            </w:pPr>
          </w:p>
        </w:tc>
        <w:tc>
          <w:tcPr>
            <w:tcW w:w="356" w:type="pct"/>
            <w:vAlign w:val="center"/>
          </w:tcPr>
          <w:p w14:paraId="20BDD134">
            <w:pPr>
              <w:pStyle w:val="31"/>
            </w:pPr>
          </w:p>
        </w:tc>
        <w:tc>
          <w:tcPr>
            <w:tcW w:w="702" w:type="pct"/>
            <w:vAlign w:val="center"/>
          </w:tcPr>
          <w:p w14:paraId="05719B85">
            <w:pPr>
              <w:pStyle w:val="31"/>
            </w:pPr>
          </w:p>
        </w:tc>
        <w:tc>
          <w:tcPr>
            <w:tcW w:w="458" w:type="pct"/>
            <w:vAlign w:val="center"/>
          </w:tcPr>
          <w:p w14:paraId="192661A4">
            <w:pPr>
              <w:pStyle w:val="31"/>
            </w:pPr>
          </w:p>
        </w:tc>
        <w:tc>
          <w:tcPr>
            <w:tcW w:w="524" w:type="pct"/>
            <w:vAlign w:val="center"/>
          </w:tcPr>
          <w:p w14:paraId="4456494C">
            <w:pPr>
              <w:pStyle w:val="31"/>
            </w:pPr>
          </w:p>
        </w:tc>
        <w:tc>
          <w:tcPr>
            <w:tcW w:w="608" w:type="pct"/>
            <w:vAlign w:val="center"/>
          </w:tcPr>
          <w:p w14:paraId="5524FE33">
            <w:pPr>
              <w:pStyle w:val="31"/>
            </w:pPr>
          </w:p>
        </w:tc>
        <w:tc>
          <w:tcPr>
            <w:tcW w:w="571" w:type="pct"/>
            <w:vAlign w:val="center"/>
          </w:tcPr>
          <w:p w14:paraId="772B3F96">
            <w:pPr>
              <w:pStyle w:val="31"/>
            </w:pPr>
          </w:p>
        </w:tc>
      </w:tr>
      <w:tr w14:paraId="26149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309" w:type="pct"/>
            <w:vAlign w:val="center"/>
          </w:tcPr>
          <w:p w14:paraId="120F9017">
            <w:pPr>
              <w:pStyle w:val="31"/>
            </w:pPr>
          </w:p>
        </w:tc>
        <w:tc>
          <w:tcPr>
            <w:tcW w:w="615" w:type="pct"/>
            <w:vAlign w:val="center"/>
          </w:tcPr>
          <w:p w14:paraId="1AF05330">
            <w:pPr>
              <w:pStyle w:val="31"/>
            </w:pPr>
          </w:p>
        </w:tc>
        <w:tc>
          <w:tcPr>
            <w:tcW w:w="497" w:type="pct"/>
            <w:vAlign w:val="center"/>
          </w:tcPr>
          <w:p w14:paraId="7CC2A5B3">
            <w:pPr>
              <w:pStyle w:val="31"/>
            </w:pPr>
          </w:p>
        </w:tc>
        <w:tc>
          <w:tcPr>
            <w:tcW w:w="356" w:type="pct"/>
            <w:vAlign w:val="center"/>
          </w:tcPr>
          <w:p w14:paraId="2DE2C010">
            <w:pPr>
              <w:pStyle w:val="31"/>
            </w:pPr>
          </w:p>
        </w:tc>
        <w:tc>
          <w:tcPr>
            <w:tcW w:w="356" w:type="pct"/>
            <w:vAlign w:val="center"/>
          </w:tcPr>
          <w:p w14:paraId="05F08F36">
            <w:pPr>
              <w:pStyle w:val="31"/>
            </w:pPr>
          </w:p>
        </w:tc>
        <w:tc>
          <w:tcPr>
            <w:tcW w:w="702" w:type="pct"/>
            <w:vAlign w:val="center"/>
          </w:tcPr>
          <w:p w14:paraId="2A1FF5D5">
            <w:pPr>
              <w:pStyle w:val="31"/>
            </w:pPr>
          </w:p>
        </w:tc>
        <w:tc>
          <w:tcPr>
            <w:tcW w:w="458" w:type="pct"/>
            <w:vAlign w:val="center"/>
          </w:tcPr>
          <w:p w14:paraId="33DD425A">
            <w:pPr>
              <w:pStyle w:val="31"/>
            </w:pPr>
          </w:p>
        </w:tc>
        <w:tc>
          <w:tcPr>
            <w:tcW w:w="524" w:type="pct"/>
            <w:vAlign w:val="center"/>
          </w:tcPr>
          <w:p w14:paraId="09EAFD61">
            <w:pPr>
              <w:pStyle w:val="31"/>
            </w:pPr>
          </w:p>
        </w:tc>
        <w:tc>
          <w:tcPr>
            <w:tcW w:w="608" w:type="pct"/>
            <w:vAlign w:val="center"/>
          </w:tcPr>
          <w:p w14:paraId="66C0E299">
            <w:pPr>
              <w:pStyle w:val="31"/>
            </w:pPr>
          </w:p>
        </w:tc>
        <w:tc>
          <w:tcPr>
            <w:tcW w:w="571" w:type="pct"/>
            <w:vAlign w:val="center"/>
          </w:tcPr>
          <w:p w14:paraId="44AD8596">
            <w:pPr>
              <w:pStyle w:val="31"/>
            </w:pPr>
          </w:p>
        </w:tc>
      </w:tr>
      <w:tr w14:paraId="40BFB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309" w:type="pct"/>
            <w:vAlign w:val="center"/>
          </w:tcPr>
          <w:p w14:paraId="76215441">
            <w:pPr>
              <w:pStyle w:val="31"/>
            </w:pPr>
          </w:p>
        </w:tc>
        <w:tc>
          <w:tcPr>
            <w:tcW w:w="615" w:type="pct"/>
            <w:vAlign w:val="center"/>
          </w:tcPr>
          <w:p w14:paraId="64520E93">
            <w:pPr>
              <w:pStyle w:val="31"/>
            </w:pPr>
          </w:p>
        </w:tc>
        <w:tc>
          <w:tcPr>
            <w:tcW w:w="497" w:type="pct"/>
            <w:vAlign w:val="center"/>
          </w:tcPr>
          <w:p w14:paraId="011F42E5">
            <w:pPr>
              <w:pStyle w:val="31"/>
            </w:pPr>
          </w:p>
        </w:tc>
        <w:tc>
          <w:tcPr>
            <w:tcW w:w="356" w:type="pct"/>
            <w:vAlign w:val="center"/>
          </w:tcPr>
          <w:p w14:paraId="262686C0">
            <w:pPr>
              <w:pStyle w:val="31"/>
            </w:pPr>
          </w:p>
        </w:tc>
        <w:tc>
          <w:tcPr>
            <w:tcW w:w="356" w:type="pct"/>
            <w:vAlign w:val="center"/>
          </w:tcPr>
          <w:p w14:paraId="51100750">
            <w:pPr>
              <w:pStyle w:val="31"/>
            </w:pPr>
          </w:p>
        </w:tc>
        <w:tc>
          <w:tcPr>
            <w:tcW w:w="702" w:type="pct"/>
            <w:vAlign w:val="center"/>
          </w:tcPr>
          <w:p w14:paraId="62407133">
            <w:pPr>
              <w:pStyle w:val="31"/>
            </w:pPr>
          </w:p>
        </w:tc>
        <w:tc>
          <w:tcPr>
            <w:tcW w:w="458" w:type="pct"/>
            <w:vAlign w:val="center"/>
          </w:tcPr>
          <w:p w14:paraId="65E46849">
            <w:pPr>
              <w:pStyle w:val="31"/>
            </w:pPr>
          </w:p>
        </w:tc>
        <w:tc>
          <w:tcPr>
            <w:tcW w:w="524" w:type="pct"/>
            <w:vAlign w:val="center"/>
          </w:tcPr>
          <w:p w14:paraId="16ED55E0">
            <w:pPr>
              <w:pStyle w:val="31"/>
            </w:pPr>
          </w:p>
        </w:tc>
        <w:tc>
          <w:tcPr>
            <w:tcW w:w="608" w:type="pct"/>
            <w:vAlign w:val="center"/>
          </w:tcPr>
          <w:p w14:paraId="311E667A">
            <w:pPr>
              <w:pStyle w:val="31"/>
            </w:pPr>
          </w:p>
        </w:tc>
        <w:tc>
          <w:tcPr>
            <w:tcW w:w="571" w:type="pct"/>
            <w:vAlign w:val="center"/>
          </w:tcPr>
          <w:p w14:paraId="310C8219">
            <w:pPr>
              <w:pStyle w:val="31"/>
            </w:pPr>
          </w:p>
        </w:tc>
      </w:tr>
      <w:tr w14:paraId="52025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309" w:type="pct"/>
            <w:vAlign w:val="center"/>
          </w:tcPr>
          <w:p w14:paraId="6985ABA5">
            <w:pPr>
              <w:pStyle w:val="31"/>
            </w:pPr>
          </w:p>
        </w:tc>
        <w:tc>
          <w:tcPr>
            <w:tcW w:w="615" w:type="pct"/>
            <w:vAlign w:val="center"/>
          </w:tcPr>
          <w:p w14:paraId="7FA0F908">
            <w:pPr>
              <w:pStyle w:val="31"/>
            </w:pPr>
          </w:p>
        </w:tc>
        <w:tc>
          <w:tcPr>
            <w:tcW w:w="497" w:type="pct"/>
            <w:vAlign w:val="center"/>
          </w:tcPr>
          <w:p w14:paraId="2249399F">
            <w:pPr>
              <w:pStyle w:val="31"/>
            </w:pPr>
          </w:p>
        </w:tc>
        <w:tc>
          <w:tcPr>
            <w:tcW w:w="356" w:type="pct"/>
            <w:vAlign w:val="center"/>
          </w:tcPr>
          <w:p w14:paraId="38DC90AF">
            <w:pPr>
              <w:pStyle w:val="31"/>
            </w:pPr>
          </w:p>
        </w:tc>
        <w:tc>
          <w:tcPr>
            <w:tcW w:w="356" w:type="pct"/>
            <w:vAlign w:val="center"/>
          </w:tcPr>
          <w:p w14:paraId="628DF233">
            <w:pPr>
              <w:pStyle w:val="31"/>
            </w:pPr>
          </w:p>
        </w:tc>
        <w:tc>
          <w:tcPr>
            <w:tcW w:w="702" w:type="pct"/>
            <w:vAlign w:val="center"/>
          </w:tcPr>
          <w:p w14:paraId="5F6BCB20">
            <w:pPr>
              <w:pStyle w:val="31"/>
            </w:pPr>
          </w:p>
        </w:tc>
        <w:tc>
          <w:tcPr>
            <w:tcW w:w="458" w:type="pct"/>
            <w:vAlign w:val="center"/>
          </w:tcPr>
          <w:p w14:paraId="55A2409E">
            <w:pPr>
              <w:pStyle w:val="31"/>
            </w:pPr>
          </w:p>
        </w:tc>
        <w:tc>
          <w:tcPr>
            <w:tcW w:w="524" w:type="pct"/>
            <w:vAlign w:val="center"/>
          </w:tcPr>
          <w:p w14:paraId="6864EBF0">
            <w:pPr>
              <w:pStyle w:val="31"/>
            </w:pPr>
          </w:p>
        </w:tc>
        <w:tc>
          <w:tcPr>
            <w:tcW w:w="608" w:type="pct"/>
            <w:vAlign w:val="center"/>
          </w:tcPr>
          <w:p w14:paraId="479D9FBA">
            <w:pPr>
              <w:pStyle w:val="31"/>
            </w:pPr>
          </w:p>
        </w:tc>
        <w:tc>
          <w:tcPr>
            <w:tcW w:w="571" w:type="pct"/>
            <w:vAlign w:val="center"/>
          </w:tcPr>
          <w:p w14:paraId="5DFFE34D">
            <w:pPr>
              <w:pStyle w:val="31"/>
            </w:pPr>
          </w:p>
        </w:tc>
      </w:tr>
      <w:tr w14:paraId="6EC42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309" w:type="pct"/>
            <w:vAlign w:val="center"/>
          </w:tcPr>
          <w:p w14:paraId="2CDA6CBB">
            <w:pPr>
              <w:pStyle w:val="31"/>
            </w:pPr>
          </w:p>
        </w:tc>
        <w:tc>
          <w:tcPr>
            <w:tcW w:w="615" w:type="pct"/>
            <w:vAlign w:val="center"/>
          </w:tcPr>
          <w:p w14:paraId="1AA6FE8A">
            <w:pPr>
              <w:pStyle w:val="31"/>
            </w:pPr>
          </w:p>
        </w:tc>
        <w:tc>
          <w:tcPr>
            <w:tcW w:w="497" w:type="pct"/>
            <w:vAlign w:val="center"/>
          </w:tcPr>
          <w:p w14:paraId="17ECFD9E">
            <w:pPr>
              <w:pStyle w:val="31"/>
            </w:pPr>
          </w:p>
        </w:tc>
        <w:tc>
          <w:tcPr>
            <w:tcW w:w="356" w:type="pct"/>
            <w:vAlign w:val="center"/>
          </w:tcPr>
          <w:p w14:paraId="3673C2D5">
            <w:pPr>
              <w:pStyle w:val="31"/>
            </w:pPr>
          </w:p>
        </w:tc>
        <w:tc>
          <w:tcPr>
            <w:tcW w:w="356" w:type="pct"/>
            <w:vAlign w:val="center"/>
          </w:tcPr>
          <w:p w14:paraId="1A8660DD">
            <w:pPr>
              <w:pStyle w:val="31"/>
            </w:pPr>
          </w:p>
        </w:tc>
        <w:tc>
          <w:tcPr>
            <w:tcW w:w="702" w:type="pct"/>
            <w:vAlign w:val="center"/>
          </w:tcPr>
          <w:p w14:paraId="6369482B">
            <w:pPr>
              <w:pStyle w:val="31"/>
            </w:pPr>
          </w:p>
        </w:tc>
        <w:tc>
          <w:tcPr>
            <w:tcW w:w="458" w:type="pct"/>
            <w:vAlign w:val="center"/>
          </w:tcPr>
          <w:p w14:paraId="6217937B">
            <w:pPr>
              <w:pStyle w:val="31"/>
            </w:pPr>
          </w:p>
        </w:tc>
        <w:tc>
          <w:tcPr>
            <w:tcW w:w="524" w:type="pct"/>
            <w:vAlign w:val="center"/>
          </w:tcPr>
          <w:p w14:paraId="39AE6E85">
            <w:pPr>
              <w:pStyle w:val="31"/>
            </w:pPr>
          </w:p>
        </w:tc>
        <w:tc>
          <w:tcPr>
            <w:tcW w:w="608" w:type="pct"/>
            <w:vAlign w:val="center"/>
          </w:tcPr>
          <w:p w14:paraId="716B4624">
            <w:pPr>
              <w:pStyle w:val="31"/>
            </w:pPr>
          </w:p>
        </w:tc>
        <w:tc>
          <w:tcPr>
            <w:tcW w:w="571" w:type="pct"/>
            <w:vAlign w:val="center"/>
          </w:tcPr>
          <w:p w14:paraId="089D267F">
            <w:pPr>
              <w:pStyle w:val="31"/>
            </w:pPr>
          </w:p>
        </w:tc>
      </w:tr>
      <w:tr w14:paraId="44CE8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309" w:type="pct"/>
            <w:vAlign w:val="center"/>
          </w:tcPr>
          <w:p w14:paraId="1A71391C">
            <w:pPr>
              <w:pStyle w:val="31"/>
            </w:pPr>
          </w:p>
        </w:tc>
        <w:tc>
          <w:tcPr>
            <w:tcW w:w="615" w:type="pct"/>
            <w:vAlign w:val="center"/>
          </w:tcPr>
          <w:p w14:paraId="74EE660D">
            <w:pPr>
              <w:pStyle w:val="31"/>
            </w:pPr>
          </w:p>
        </w:tc>
        <w:tc>
          <w:tcPr>
            <w:tcW w:w="497" w:type="pct"/>
            <w:vAlign w:val="center"/>
          </w:tcPr>
          <w:p w14:paraId="63C516E1">
            <w:pPr>
              <w:pStyle w:val="31"/>
            </w:pPr>
          </w:p>
        </w:tc>
        <w:tc>
          <w:tcPr>
            <w:tcW w:w="356" w:type="pct"/>
            <w:vAlign w:val="center"/>
          </w:tcPr>
          <w:p w14:paraId="0C138D10">
            <w:pPr>
              <w:pStyle w:val="31"/>
            </w:pPr>
          </w:p>
        </w:tc>
        <w:tc>
          <w:tcPr>
            <w:tcW w:w="356" w:type="pct"/>
            <w:vAlign w:val="center"/>
          </w:tcPr>
          <w:p w14:paraId="22D077DC">
            <w:pPr>
              <w:pStyle w:val="31"/>
            </w:pPr>
          </w:p>
        </w:tc>
        <w:tc>
          <w:tcPr>
            <w:tcW w:w="702" w:type="pct"/>
            <w:vAlign w:val="center"/>
          </w:tcPr>
          <w:p w14:paraId="4F39D126">
            <w:pPr>
              <w:pStyle w:val="31"/>
            </w:pPr>
          </w:p>
        </w:tc>
        <w:tc>
          <w:tcPr>
            <w:tcW w:w="458" w:type="pct"/>
            <w:vAlign w:val="center"/>
          </w:tcPr>
          <w:p w14:paraId="2310C302">
            <w:pPr>
              <w:pStyle w:val="31"/>
            </w:pPr>
          </w:p>
        </w:tc>
        <w:tc>
          <w:tcPr>
            <w:tcW w:w="524" w:type="pct"/>
            <w:vAlign w:val="center"/>
          </w:tcPr>
          <w:p w14:paraId="0929CBDF">
            <w:pPr>
              <w:pStyle w:val="31"/>
            </w:pPr>
          </w:p>
        </w:tc>
        <w:tc>
          <w:tcPr>
            <w:tcW w:w="608" w:type="pct"/>
            <w:vAlign w:val="center"/>
          </w:tcPr>
          <w:p w14:paraId="77FFF7BA">
            <w:pPr>
              <w:pStyle w:val="31"/>
            </w:pPr>
          </w:p>
        </w:tc>
        <w:tc>
          <w:tcPr>
            <w:tcW w:w="571" w:type="pct"/>
            <w:vAlign w:val="center"/>
          </w:tcPr>
          <w:p w14:paraId="31447738">
            <w:pPr>
              <w:pStyle w:val="31"/>
            </w:pPr>
          </w:p>
        </w:tc>
      </w:tr>
      <w:tr w14:paraId="00908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309" w:type="pct"/>
            <w:vAlign w:val="center"/>
          </w:tcPr>
          <w:p w14:paraId="466CE2FD">
            <w:pPr>
              <w:pStyle w:val="31"/>
            </w:pPr>
          </w:p>
        </w:tc>
        <w:tc>
          <w:tcPr>
            <w:tcW w:w="615" w:type="pct"/>
            <w:vAlign w:val="center"/>
          </w:tcPr>
          <w:p w14:paraId="2566CA3E">
            <w:pPr>
              <w:pStyle w:val="31"/>
            </w:pPr>
          </w:p>
        </w:tc>
        <w:tc>
          <w:tcPr>
            <w:tcW w:w="497" w:type="pct"/>
            <w:vAlign w:val="center"/>
          </w:tcPr>
          <w:p w14:paraId="73F4FA83">
            <w:pPr>
              <w:pStyle w:val="31"/>
            </w:pPr>
          </w:p>
        </w:tc>
        <w:tc>
          <w:tcPr>
            <w:tcW w:w="356" w:type="pct"/>
            <w:vAlign w:val="center"/>
          </w:tcPr>
          <w:p w14:paraId="6EB98BF2">
            <w:pPr>
              <w:pStyle w:val="31"/>
            </w:pPr>
          </w:p>
        </w:tc>
        <w:tc>
          <w:tcPr>
            <w:tcW w:w="356" w:type="pct"/>
            <w:vAlign w:val="center"/>
          </w:tcPr>
          <w:p w14:paraId="19B6C440">
            <w:pPr>
              <w:pStyle w:val="31"/>
            </w:pPr>
          </w:p>
        </w:tc>
        <w:tc>
          <w:tcPr>
            <w:tcW w:w="702" w:type="pct"/>
            <w:vAlign w:val="center"/>
          </w:tcPr>
          <w:p w14:paraId="4143581A">
            <w:pPr>
              <w:pStyle w:val="31"/>
            </w:pPr>
          </w:p>
        </w:tc>
        <w:tc>
          <w:tcPr>
            <w:tcW w:w="458" w:type="pct"/>
            <w:vAlign w:val="center"/>
          </w:tcPr>
          <w:p w14:paraId="38CC3A33">
            <w:pPr>
              <w:pStyle w:val="31"/>
            </w:pPr>
          </w:p>
        </w:tc>
        <w:tc>
          <w:tcPr>
            <w:tcW w:w="524" w:type="pct"/>
            <w:vAlign w:val="center"/>
          </w:tcPr>
          <w:p w14:paraId="1A6FC8BB">
            <w:pPr>
              <w:pStyle w:val="31"/>
            </w:pPr>
          </w:p>
        </w:tc>
        <w:tc>
          <w:tcPr>
            <w:tcW w:w="608" w:type="pct"/>
            <w:vAlign w:val="center"/>
          </w:tcPr>
          <w:p w14:paraId="5C7E3419">
            <w:pPr>
              <w:pStyle w:val="31"/>
            </w:pPr>
          </w:p>
        </w:tc>
        <w:tc>
          <w:tcPr>
            <w:tcW w:w="571" w:type="pct"/>
            <w:vAlign w:val="center"/>
          </w:tcPr>
          <w:p w14:paraId="56A2F14D">
            <w:pPr>
              <w:pStyle w:val="31"/>
            </w:pPr>
          </w:p>
        </w:tc>
      </w:tr>
      <w:tr w14:paraId="7CB6D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924" w:type="pct"/>
            <w:gridSpan w:val="2"/>
            <w:vAlign w:val="center"/>
          </w:tcPr>
          <w:p w14:paraId="26FA1162">
            <w:pPr>
              <w:pStyle w:val="31"/>
            </w:pPr>
            <w:r>
              <w:rPr>
                <w:rFonts w:hint="eastAsia"/>
              </w:rPr>
              <w:t>合计：</w:t>
            </w:r>
          </w:p>
        </w:tc>
        <w:tc>
          <w:tcPr>
            <w:tcW w:w="497" w:type="pct"/>
            <w:vAlign w:val="center"/>
          </w:tcPr>
          <w:p w14:paraId="7EBFA836">
            <w:pPr>
              <w:pStyle w:val="31"/>
            </w:pPr>
          </w:p>
        </w:tc>
        <w:tc>
          <w:tcPr>
            <w:tcW w:w="3577" w:type="pct"/>
            <w:gridSpan w:val="7"/>
            <w:vAlign w:val="center"/>
          </w:tcPr>
          <w:p w14:paraId="5748EBBA">
            <w:pPr>
              <w:pStyle w:val="31"/>
            </w:pPr>
          </w:p>
        </w:tc>
      </w:tr>
    </w:tbl>
    <w:p w14:paraId="12463E35">
      <w:pPr>
        <w:pStyle w:val="28"/>
        <w:ind w:firstLine="480"/>
      </w:pPr>
      <w:r>
        <w:rPr>
          <w:rFonts w:hint="eastAsia"/>
        </w:rPr>
        <w:t xml:space="preserve">                                                 </w:t>
      </w:r>
    </w:p>
    <w:p w14:paraId="25E84B4C">
      <w:pPr>
        <w:pStyle w:val="28"/>
        <w:ind w:firstLine="480"/>
      </w:pPr>
      <w:r>
        <w:rPr>
          <w:rFonts w:hint="eastAsia"/>
        </w:rPr>
        <w:t>注：</w:t>
      </w:r>
    </w:p>
    <w:p w14:paraId="5432ABAB">
      <w:pPr>
        <w:pStyle w:val="28"/>
        <w:ind w:firstLine="480"/>
        <w:rPr>
          <w:rFonts w:ascii="仿宋" w:hAnsi="仿宋" w:eastAsia="仿宋" w:cs="仿宋"/>
        </w:rPr>
      </w:pPr>
      <w:r>
        <w:rPr>
          <w:rFonts w:ascii="仿宋" w:hAnsi="仿宋"/>
        </w:rPr>
        <w:t>1</w:t>
      </w:r>
      <w:r>
        <w:rPr>
          <w:rFonts w:hint="eastAsia" w:eastAsia="仿宋"/>
          <w:lang w:val="zh-TW" w:eastAsia="zh-TW"/>
        </w:rPr>
        <w:t>、以上报价均应基于对应法规的最新版本计算价格，</w:t>
      </w:r>
      <w:r>
        <w:rPr>
          <w:rFonts w:hint="eastAsia" w:eastAsia="SimSong Bold"/>
          <w:lang w:val="zh-TW" w:eastAsia="zh-TW"/>
        </w:rPr>
        <w:t>提供含税价和不含税价格并标明税率。</w:t>
      </w:r>
    </w:p>
    <w:p w14:paraId="46537504">
      <w:pPr>
        <w:pStyle w:val="28"/>
        <w:ind w:firstLine="480"/>
        <w:rPr>
          <w:rFonts w:ascii="仿宋" w:hAnsi="仿宋" w:eastAsia="仿宋" w:cs="仿宋"/>
        </w:rPr>
      </w:pPr>
      <w:r>
        <w:rPr>
          <w:rFonts w:ascii="仿宋" w:hAnsi="仿宋"/>
        </w:rPr>
        <w:t>2</w:t>
      </w:r>
      <w:r>
        <w:rPr>
          <w:rFonts w:hint="eastAsia" w:eastAsia="仿宋"/>
          <w:lang w:val="zh-TW" w:eastAsia="zh-TW"/>
        </w:rPr>
        <w:t>、系统实施服务费应</w:t>
      </w:r>
      <w:r>
        <w:rPr>
          <w:rFonts w:hint="eastAsia" w:eastAsia="仿宋"/>
        </w:rPr>
        <w:t>列名项目服务总人天数（可以按项目阶段分开列明）及人天单价</w:t>
      </w:r>
      <w:r>
        <w:rPr>
          <w:rFonts w:hint="eastAsia" w:eastAsia="仿宋"/>
          <w:lang w:val="zh-TW" w:eastAsia="zh-TW"/>
        </w:rPr>
        <w:t>。</w:t>
      </w:r>
    </w:p>
    <w:p w14:paraId="38389D31">
      <w:pPr>
        <w:pStyle w:val="28"/>
        <w:ind w:firstLine="480"/>
        <w:rPr>
          <w:rFonts w:ascii="仿宋" w:hAnsi="仿宋" w:eastAsia="仿宋" w:cs="仿宋"/>
        </w:rPr>
      </w:pPr>
      <w:r>
        <w:rPr>
          <w:rFonts w:ascii="仿宋" w:hAnsi="仿宋"/>
        </w:rPr>
        <w:t>3</w:t>
      </w:r>
      <w:r>
        <w:rPr>
          <w:rFonts w:hint="eastAsia" w:eastAsia="仿宋"/>
          <w:lang w:val="zh-TW" w:eastAsia="zh-TW"/>
        </w:rPr>
        <w:t>、如上表中的有关费用投标人免费提供，请注明</w:t>
      </w:r>
      <w:r>
        <w:rPr>
          <w:rFonts w:ascii="仿宋" w:hAnsi="仿宋"/>
        </w:rPr>
        <w:t>“</w:t>
      </w:r>
      <w:r>
        <w:rPr>
          <w:rFonts w:hint="eastAsia" w:eastAsia="仿宋"/>
          <w:lang w:val="zh-TW" w:eastAsia="zh-TW"/>
        </w:rPr>
        <w:t>免费</w:t>
      </w:r>
      <w:r>
        <w:rPr>
          <w:rFonts w:ascii="仿宋" w:hAnsi="仿宋"/>
        </w:rPr>
        <w:t>”</w:t>
      </w:r>
      <w:r>
        <w:rPr>
          <w:rFonts w:hint="eastAsia" w:eastAsia="仿宋"/>
          <w:lang w:val="zh-TW" w:eastAsia="zh-TW"/>
        </w:rPr>
        <w:t>字样。</w:t>
      </w:r>
    </w:p>
    <w:p w14:paraId="27EDE3DD">
      <w:pPr>
        <w:pStyle w:val="28"/>
        <w:ind w:firstLine="480"/>
      </w:pPr>
    </w:p>
    <w:p w14:paraId="2444CDB8">
      <w:pPr>
        <w:pStyle w:val="28"/>
        <w:ind w:firstLine="480"/>
      </w:pPr>
      <w:r>
        <w:rPr>
          <w:rFonts w:hint="eastAsia"/>
        </w:rPr>
        <w:t>投标人：（盖章）</w:t>
      </w:r>
    </w:p>
    <w:p w14:paraId="61B07B60">
      <w:pPr>
        <w:pStyle w:val="28"/>
        <w:ind w:firstLine="480"/>
      </w:pPr>
      <w:r>
        <w:rPr>
          <w:rFonts w:hint="eastAsia"/>
        </w:rPr>
        <w:t>法定代表人（委托代理人）：（签字）</w:t>
      </w:r>
    </w:p>
    <w:p w14:paraId="5CCD821C">
      <w:pPr>
        <w:ind w:firstLine="420" w:firstLineChars="200"/>
        <w:rPr>
          <w:rFonts w:ascii="宋体" w:hAnsi="宋体" w:cs="宋体"/>
          <w:b/>
          <w:bCs/>
          <w:color w:val="000000"/>
          <w:sz w:val="28"/>
        </w:rPr>
        <w:sectPr>
          <w:pgSz w:w="11906" w:h="16838"/>
          <w:pgMar w:top="1588" w:right="1418" w:bottom="1134" w:left="1418" w:header="851" w:footer="992" w:gutter="0"/>
          <w:cols w:space="720" w:num="1"/>
          <w:titlePg/>
          <w:docGrid w:type="lines" w:linePitch="312" w:charSpace="0"/>
        </w:sectPr>
      </w:pPr>
      <w:r>
        <w:rPr>
          <w:rFonts w:hint="eastAsia"/>
        </w:rPr>
        <w:t>日  期：       年    月    日</w:t>
      </w:r>
    </w:p>
    <w:p w14:paraId="266FD712">
      <w:pPr>
        <w:pStyle w:val="35"/>
      </w:pPr>
      <w:r>
        <w:rPr>
          <w:rFonts w:hint="eastAsia"/>
        </w:rPr>
        <w:t>附件</w:t>
      </w:r>
      <w:r>
        <w:t xml:space="preserve">7 </w:t>
      </w:r>
      <w:r>
        <w:rPr>
          <w:rFonts w:hint="eastAsia"/>
        </w:rPr>
        <w:t>服务承诺函</w:t>
      </w:r>
    </w:p>
    <w:p w14:paraId="302E05C5">
      <w:pPr>
        <w:spacing w:line="240" w:lineRule="exact"/>
        <w:jc w:val="center"/>
        <w:rPr>
          <w:rFonts w:ascii="宋体" w:hAnsi="宋体"/>
          <w:b/>
          <w:bCs/>
          <w:sz w:val="36"/>
        </w:rPr>
      </w:pPr>
    </w:p>
    <w:p w14:paraId="06AF39C2">
      <w:pPr>
        <w:spacing w:line="600" w:lineRule="exact"/>
        <w:ind w:firstLine="141"/>
        <w:jc w:val="left"/>
        <w:rPr>
          <w:rFonts w:hint="eastAsia" w:ascii="宋体" w:hAnsi="宋体" w:eastAsiaTheme="minorEastAsia"/>
          <w:color w:val="000000"/>
          <w:sz w:val="24"/>
          <w:szCs w:val="24"/>
          <w:u w:val="single"/>
          <w:lang w:eastAsia="zh-CN"/>
        </w:rPr>
      </w:pPr>
      <w:r>
        <w:rPr>
          <w:rFonts w:hint="eastAsia" w:ascii="宋体" w:hAnsi="宋体"/>
          <w:sz w:val="24"/>
        </w:rPr>
        <w:t>项目名称：</w:t>
      </w:r>
      <w:r>
        <w:rPr>
          <w:rFonts w:hint="eastAsia" w:ascii="宋体" w:hAnsi="宋体" w:eastAsia="宋体"/>
          <w:color w:val="000000"/>
          <w:sz w:val="24"/>
          <w:szCs w:val="24"/>
          <w:u w:val="single"/>
          <w:lang w:eastAsia="zh-CN"/>
        </w:rPr>
        <w:t>ABAQUS软件采购项目</w:t>
      </w:r>
    </w:p>
    <w:p w14:paraId="2C6A1920">
      <w:pPr>
        <w:spacing w:line="360" w:lineRule="auto"/>
        <w:rPr>
          <w:rFonts w:ascii="宋体" w:hAnsi="宋体"/>
          <w:sz w:val="24"/>
        </w:rPr>
      </w:pPr>
      <w:r>
        <w:rPr>
          <w:rFonts w:hint="eastAsia" w:ascii="宋体" w:hAnsi="宋体"/>
          <w:sz w:val="24"/>
          <w:u w:val="single"/>
        </w:rPr>
        <w:t xml:space="preserve">               </w:t>
      </w:r>
    </w:p>
    <w:p w14:paraId="5CD66777">
      <w:pPr>
        <w:spacing w:line="360" w:lineRule="auto"/>
        <w:rPr>
          <w:rFonts w:ascii="宋体" w:hAnsi="宋体"/>
          <w:b/>
          <w:bCs/>
          <w:sz w:val="24"/>
        </w:rPr>
      </w:pPr>
      <w:r>
        <w:rPr>
          <w:rFonts w:hint="eastAsia" w:ascii="宋体" w:hAnsi="宋体"/>
          <w:b/>
          <w:bCs/>
          <w:sz w:val="24"/>
        </w:rPr>
        <w:t>中国重汽集团济南动力有限公司：</w:t>
      </w:r>
    </w:p>
    <w:p w14:paraId="780ACA9F">
      <w:pPr>
        <w:spacing w:line="360" w:lineRule="auto"/>
        <w:ind w:firstLine="480"/>
        <w:rPr>
          <w:rFonts w:ascii="宋体" w:hAnsi="宋体"/>
          <w:sz w:val="24"/>
        </w:rPr>
      </w:pPr>
      <w:r>
        <w:rPr>
          <w:rFonts w:hint="eastAsia" w:ascii="宋体" w:hAnsi="宋体"/>
          <w:sz w:val="24"/>
        </w:rPr>
        <w:t>我代表（投标单位名称）对中标合同的服务作如下承诺：</w:t>
      </w:r>
    </w:p>
    <w:p w14:paraId="2918AFFB">
      <w:pPr>
        <w:spacing w:line="360" w:lineRule="auto"/>
        <w:ind w:firstLine="480" w:firstLineChars="200"/>
        <w:rPr>
          <w:rFonts w:ascii="宋体" w:hAnsi="宋体"/>
          <w:sz w:val="24"/>
          <w:u w:val="single"/>
        </w:rPr>
      </w:pPr>
      <w:r>
        <w:rPr>
          <w:rFonts w:hint="eastAsia" w:ascii="宋体" w:hAnsi="宋体"/>
          <w:sz w:val="24"/>
          <w:u w:val="single"/>
        </w:rPr>
        <w:t xml:space="preserve">                                                                       </w:t>
      </w:r>
    </w:p>
    <w:p w14:paraId="5C43F2BD">
      <w:pPr>
        <w:spacing w:line="360" w:lineRule="auto"/>
        <w:ind w:firstLine="480" w:firstLineChars="200"/>
        <w:rPr>
          <w:rFonts w:ascii="宋体" w:hAnsi="宋体"/>
          <w:sz w:val="24"/>
          <w:u w:val="single"/>
        </w:rPr>
      </w:pPr>
      <w:r>
        <w:rPr>
          <w:rFonts w:hint="eastAsia" w:ascii="宋体" w:hAnsi="宋体"/>
          <w:sz w:val="24"/>
          <w:u w:val="single"/>
        </w:rPr>
        <w:t xml:space="preserve">                                                                       </w:t>
      </w:r>
    </w:p>
    <w:p w14:paraId="4ECA818E">
      <w:pPr>
        <w:spacing w:line="360" w:lineRule="auto"/>
        <w:ind w:firstLine="480" w:firstLineChars="200"/>
        <w:rPr>
          <w:rFonts w:ascii="宋体" w:hAnsi="宋体"/>
          <w:sz w:val="24"/>
          <w:u w:val="single"/>
        </w:rPr>
      </w:pPr>
      <w:r>
        <w:rPr>
          <w:rFonts w:hint="eastAsia" w:ascii="宋体" w:hAnsi="宋体"/>
          <w:sz w:val="24"/>
          <w:u w:val="single"/>
        </w:rPr>
        <w:t xml:space="preserve">                                                                       </w:t>
      </w:r>
    </w:p>
    <w:p w14:paraId="3218920F">
      <w:pPr>
        <w:spacing w:line="360" w:lineRule="auto"/>
        <w:ind w:firstLine="480" w:firstLineChars="200"/>
        <w:rPr>
          <w:rFonts w:ascii="宋体" w:hAnsi="宋体"/>
          <w:sz w:val="24"/>
          <w:u w:val="single"/>
        </w:rPr>
      </w:pPr>
      <w:r>
        <w:rPr>
          <w:rFonts w:hint="eastAsia" w:ascii="宋体" w:hAnsi="宋体"/>
          <w:sz w:val="24"/>
          <w:u w:val="single"/>
        </w:rPr>
        <w:t xml:space="preserve">                                                                       </w:t>
      </w:r>
    </w:p>
    <w:p w14:paraId="47A2ACEB">
      <w:pPr>
        <w:spacing w:line="360" w:lineRule="auto"/>
        <w:ind w:firstLine="480" w:firstLineChars="200"/>
        <w:rPr>
          <w:rFonts w:ascii="宋体" w:hAnsi="宋体"/>
          <w:sz w:val="24"/>
          <w:u w:val="single"/>
        </w:rPr>
      </w:pPr>
      <w:r>
        <w:rPr>
          <w:rFonts w:hint="eastAsia" w:ascii="宋体" w:hAnsi="宋体"/>
          <w:sz w:val="24"/>
          <w:u w:val="single"/>
        </w:rPr>
        <w:t xml:space="preserve">                                                                       </w:t>
      </w:r>
    </w:p>
    <w:p w14:paraId="7F0BFE58">
      <w:pPr>
        <w:spacing w:line="360" w:lineRule="auto"/>
        <w:ind w:firstLine="480" w:firstLineChars="200"/>
        <w:rPr>
          <w:rFonts w:ascii="宋体" w:hAnsi="宋体"/>
          <w:sz w:val="24"/>
          <w:u w:val="single"/>
        </w:rPr>
      </w:pPr>
      <w:r>
        <w:rPr>
          <w:rFonts w:hint="eastAsia" w:ascii="宋体" w:hAnsi="宋体"/>
          <w:sz w:val="24"/>
          <w:u w:val="single"/>
        </w:rPr>
        <w:t xml:space="preserve">                                                                       </w:t>
      </w:r>
    </w:p>
    <w:p w14:paraId="46888462">
      <w:pPr>
        <w:spacing w:line="360" w:lineRule="auto"/>
        <w:ind w:firstLine="480" w:firstLineChars="200"/>
        <w:rPr>
          <w:rFonts w:ascii="宋体" w:hAnsi="宋体"/>
          <w:sz w:val="24"/>
          <w:u w:val="single"/>
        </w:rPr>
      </w:pPr>
      <w:r>
        <w:rPr>
          <w:rFonts w:hint="eastAsia" w:ascii="宋体" w:hAnsi="宋体"/>
          <w:sz w:val="24"/>
          <w:u w:val="single"/>
        </w:rPr>
        <w:t xml:space="preserve">                                                                       </w:t>
      </w:r>
    </w:p>
    <w:p w14:paraId="28526550">
      <w:pPr>
        <w:spacing w:line="360" w:lineRule="auto"/>
        <w:ind w:firstLine="480" w:firstLineChars="200"/>
        <w:rPr>
          <w:rFonts w:ascii="宋体" w:hAnsi="宋体"/>
          <w:sz w:val="24"/>
          <w:u w:val="single"/>
        </w:rPr>
      </w:pPr>
      <w:r>
        <w:rPr>
          <w:rFonts w:hint="eastAsia" w:ascii="宋体" w:hAnsi="宋体"/>
          <w:sz w:val="24"/>
          <w:u w:val="single"/>
        </w:rPr>
        <w:t xml:space="preserve">                                                                       </w:t>
      </w:r>
    </w:p>
    <w:p w14:paraId="5F91F716">
      <w:pPr>
        <w:spacing w:line="360" w:lineRule="auto"/>
        <w:ind w:firstLine="480" w:firstLineChars="200"/>
        <w:rPr>
          <w:rFonts w:ascii="宋体" w:hAnsi="宋体"/>
          <w:sz w:val="24"/>
          <w:u w:val="single"/>
        </w:rPr>
      </w:pPr>
      <w:r>
        <w:rPr>
          <w:rFonts w:hint="eastAsia" w:ascii="宋体" w:hAnsi="宋体"/>
          <w:sz w:val="24"/>
          <w:u w:val="single"/>
        </w:rPr>
        <w:t xml:space="preserve">                                                                       </w:t>
      </w:r>
    </w:p>
    <w:p w14:paraId="5931D0D1">
      <w:pPr>
        <w:spacing w:line="360" w:lineRule="auto"/>
        <w:ind w:firstLine="480" w:firstLineChars="200"/>
        <w:rPr>
          <w:rFonts w:ascii="宋体" w:hAnsi="宋体"/>
          <w:sz w:val="24"/>
          <w:u w:val="single"/>
        </w:rPr>
      </w:pPr>
      <w:r>
        <w:rPr>
          <w:rFonts w:hint="eastAsia" w:ascii="宋体" w:hAnsi="宋体"/>
          <w:sz w:val="24"/>
          <w:u w:val="single"/>
        </w:rPr>
        <w:t xml:space="preserve">                                                                       </w:t>
      </w:r>
    </w:p>
    <w:p w14:paraId="46FB9460">
      <w:pPr>
        <w:spacing w:line="360" w:lineRule="auto"/>
        <w:ind w:firstLine="480" w:firstLineChars="200"/>
        <w:rPr>
          <w:rFonts w:ascii="宋体" w:hAnsi="宋体"/>
          <w:sz w:val="24"/>
          <w:u w:val="single"/>
        </w:rPr>
      </w:pPr>
      <w:r>
        <w:rPr>
          <w:rFonts w:hint="eastAsia" w:ascii="宋体" w:hAnsi="宋体"/>
          <w:sz w:val="24"/>
          <w:u w:val="single"/>
        </w:rPr>
        <w:t xml:space="preserve">                                                                       </w:t>
      </w:r>
    </w:p>
    <w:p w14:paraId="42C041CF">
      <w:pPr>
        <w:spacing w:line="360" w:lineRule="auto"/>
        <w:ind w:firstLine="480" w:firstLineChars="200"/>
        <w:rPr>
          <w:rFonts w:ascii="宋体" w:hAnsi="宋体"/>
          <w:sz w:val="24"/>
          <w:u w:val="single"/>
        </w:rPr>
      </w:pPr>
      <w:r>
        <w:rPr>
          <w:rFonts w:hint="eastAsia" w:ascii="宋体" w:hAnsi="宋体"/>
          <w:sz w:val="24"/>
          <w:u w:val="single"/>
        </w:rPr>
        <w:t xml:space="preserve">                                                                       </w:t>
      </w:r>
    </w:p>
    <w:p w14:paraId="70AD3379">
      <w:pPr>
        <w:spacing w:line="360" w:lineRule="auto"/>
        <w:ind w:firstLine="480" w:firstLineChars="200"/>
        <w:rPr>
          <w:rFonts w:ascii="宋体" w:hAnsi="宋体"/>
          <w:sz w:val="24"/>
          <w:u w:val="single"/>
        </w:rPr>
      </w:pPr>
      <w:r>
        <w:rPr>
          <w:rFonts w:hint="eastAsia" w:ascii="宋体" w:hAnsi="宋体"/>
          <w:sz w:val="24"/>
          <w:u w:val="single"/>
        </w:rPr>
        <w:t xml:space="preserve">                                                                       </w:t>
      </w:r>
    </w:p>
    <w:p w14:paraId="10D5FD93">
      <w:pPr>
        <w:spacing w:line="360" w:lineRule="auto"/>
        <w:ind w:firstLine="480" w:firstLineChars="200"/>
        <w:rPr>
          <w:rFonts w:ascii="宋体" w:hAnsi="宋体"/>
          <w:sz w:val="24"/>
          <w:u w:val="single"/>
        </w:rPr>
      </w:pPr>
      <w:r>
        <w:rPr>
          <w:rFonts w:hint="eastAsia" w:ascii="宋体" w:hAnsi="宋体"/>
          <w:sz w:val="24"/>
          <w:u w:val="single"/>
        </w:rPr>
        <w:t xml:space="preserve">                                                                       </w:t>
      </w:r>
    </w:p>
    <w:p w14:paraId="2CE500A4">
      <w:pPr>
        <w:spacing w:line="360" w:lineRule="auto"/>
        <w:ind w:firstLine="480" w:firstLineChars="200"/>
        <w:rPr>
          <w:rFonts w:ascii="宋体" w:hAnsi="宋体"/>
          <w:sz w:val="24"/>
          <w:u w:val="single"/>
        </w:rPr>
      </w:pPr>
      <w:r>
        <w:rPr>
          <w:rFonts w:hint="eastAsia" w:ascii="宋体" w:hAnsi="宋体"/>
          <w:sz w:val="24"/>
          <w:u w:val="single"/>
        </w:rPr>
        <w:t xml:space="preserve">                                                                       </w:t>
      </w:r>
    </w:p>
    <w:p w14:paraId="70CC6A1F">
      <w:pPr>
        <w:spacing w:line="360" w:lineRule="auto"/>
        <w:ind w:firstLine="480" w:firstLineChars="200"/>
        <w:rPr>
          <w:rFonts w:ascii="宋体" w:hAnsi="宋体"/>
          <w:sz w:val="24"/>
          <w:u w:val="single"/>
        </w:rPr>
      </w:pPr>
      <w:r>
        <w:rPr>
          <w:rFonts w:hint="eastAsia" w:ascii="宋体" w:hAnsi="宋体"/>
          <w:sz w:val="24"/>
          <w:u w:val="single"/>
        </w:rPr>
        <w:t xml:space="preserve">                                                                       </w:t>
      </w:r>
    </w:p>
    <w:p w14:paraId="4E8E4C92">
      <w:pPr>
        <w:spacing w:line="360" w:lineRule="auto"/>
        <w:ind w:firstLine="480" w:firstLineChars="200"/>
        <w:rPr>
          <w:rFonts w:ascii="宋体" w:hAnsi="宋体"/>
          <w:sz w:val="24"/>
          <w:u w:val="single"/>
        </w:rPr>
      </w:pPr>
      <w:r>
        <w:rPr>
          <w:rFonts w:hint="eastAsia" w:ascii="宋体" w:hAnsi="宋体"/>
          <w:sz w:val="24"/>
          <w:u w:val="single"/>
        </w:rPr>
        <w:t xml:space="preserve">                                                                       </w:t>
      </w:r>
    </w:p>
    <w:p w14:paraId="7DB3BDE1">
      <w:pPr>
        <w:spacing w:line="360" w:lineRule="auto"/>
        <w:ind w:firstLine="480" w:firstLineChars="200"/>
        <w:rPr>
          <w:rFonts w:ascii="宋体" w:hAnsi="宋体"/>
          <w:sz w:val="24"/>
          <w:u w:val="single"/>
        </w:rPr>
      </w:pPr>
    </w:p>
    <w:p w14:paraId="0DEDD954">
      <w:pPr>
        <w:pStyle w:val="28"/>
        <w:ind w:firstLine="480"/>
      </w:pPr>
      <w:r>
        <w:rPr>
          <w:rFonts w:hint="eastAsia"/>
        </w:rPr>
        <w:t>投标人：（盖章）</w:t>
      </w:r>
    </w:p>
    <w:p w14:paraId="261C9ABA">
      <w:pPr>
        <w:pStyle w:val="28"/>
        <w:ind w:firstLine="480"/>
      </w:pPr>
      <w:r>
        <w:rPr>
          <w:rFonts w:hint="eastAsia"/>
        </w:rPr>
        <w:t>法定代表人（委托代理人）：（签字）</w:t>
      </w:r>
    </w:p>
    <w:p w14:paraId="27601BD0">
      <w:pPr>
        <w:pStyle w:val="28"/>
        <w:ind w:firstLine="480"/>
      </w:pPr>
      <w:r>
        <w:rPr>
          <w:rFonts w:hint="eastAsia"/>
        </w:rPr>
        <w:t>日  期：       年    月    日</w:t>
      </w:r>
    </w:p>
    <w:p w14:paraId="5543B561">
      <w:pPr>
        <w:rPr>
          <w:rFonts w:ascii="宋体" w:hAnsi="宋体" w:cs="宋体"/>
          <w:b/>
          <w:bCs/>
          <w:color w:val="000000"/>
          <w:sz w:val="28"/>
        </w:rPr>
      </w:pPr>
      <w:bookmarkStart w:id="18" w:name="_Toc9193"/>
      <w:bookmarkStart w:id="19" w:name="_Toc639013"/>
      <w:bookmarkStart w:id="20" w:name="_Toc353881022"/>
    </w:p>
    <w:p w14:paraId="60E78437">
      <w:pPr>
        <w:rPr>
          <w:rFonts w:ascii="宋体" w:hAnsi="宋体" w:cs="宋体"/>
          <w:b/>
          <w:bCs/>
          <w:color w:val="000000"/>
          <w:sz w:val="28"/>
        </w:rPr>
        <w:sectPr>
          <w:pgSz w:w="11906" w:h="16838"/>
          <w:pgMar w:top="1588" w:right="1418" w:bottom="1134" w:left="1418" w:header="851" w:footer="992" w:gutter="0"/>
          <w:cols w:space="720" w:num="1"/>
          <w:titlePg/>
          <w:docGrid w:type="lines" w:linePitch="312" w:charSpace="0"/>
        </w:sectPr>
      </w:pPr>
    </w:p>
    <w:bookmarkEnd w:id="18"/>
    <w:bookmarkEnd w:id="19"/>
    <w:bookmarkEnd w:id="20"/>
    <w:p w14:paraId="582F5E13">
      <w:pPr>
        <w:pStyle w:val="35"/>
      </w:pPr>
      <w:r>
        <w:rPr>
          <w:rFonts w:hint="eastAsia"/>
        </w:rPr>
        <w:t>附件8 商务条款偏离表</w:t>
      </w:r>
    </w:p>
    <w:p w14:paraId="0721F011"/>
    <w:tbl>
      <w:tblPr>
        <w:tblStyle w:val="18"/>
        <w:tblW w:w="4998"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93"/>
        <w:gridCol w:w="3242"/>
        <w:gridCol w:w="2663"/>
        <w:gridCol w:w="1684"/>
      </w:tblGrid>
      <w:tr w14:paraId="27C001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2" w:type="pct"/>
            <w:tcBorders>
              <w:top w:val="single" w:color="auto" w:sz="4" w:space="0"/>
              <w:left w:val="single" w:color="auto" w:sz="4" w:space="0"/>
              <w:bottom w:val="single" w:color="auto" w:sz="4" w:space="0"/>
              <w:right w:val="single" w:color="auto" w:sz="4" w:space="0"/>
            </w:tcBorders>
            <w:vAlign w:val="center"/>
          </w:tcPr>
          <w:p w14:paraId="6E5F9FB7">
            <w:pPr>
              <w:pStyle w:val="31"/>
            </w:pPr>
            <w:r>
              <w:rPr>
                <w:rFonts w:hint="eastAsia"/>
              </w:rPr>
              <w:t>项目</w:t>
            </w:r>
          </w:p>
        </w:tc>
        <w:tc>
          <w:tcPr>
            <w:tcW w:w="1746" w:type="pct"/>
            <w:tcBorders>
              <w:top w:val="single" w:color="auto" w:sz="4" w:space="0"/>
              <w:left w:val="single" w:color="auto" w:sz="4" w:space="0"/>
              <w:bottom w:val="single" w:color="auto" w:sz="4" w:space="0"/>
              <w:right w:val="single" w:color="auto" w:sz="4" w:space="0"/>
            </w:tcBorders>
            <w:vAlign w:val="center"/>
          </w:tcPr>
          <w:p w14:paraId="1252718A">
            <w:pPr>
              <w:pStyle w:val="31"/>
            </w:pPr>
            <w:r>
              <w:rPr>
                <w:rFonts w:hint="eastAsia"/>
              </w:rPr>
              <w:t>招标文件要求</w:t>
            </w:r>
          </w:p>
        </w:tc>
        <w:tc>
          <w:tcPr>
            <w:tcW w:w="1434" w:type="pct"/>
            <w:tcBorders>
              <w:top w:val="single" w:color="auto" w:sz="4" w:space="0"/>
              <w:left w:val="single" w:color="auto" w:sz="4" w:space="0"/>
              <w:bottom w:val="single" w:color="auto" w:sz="4" w:space="0"/>
              <w:right w:val="single" w:color="auto" w:sz="4" w:space="0"/>
            </w:tcBorders>
            <w:vAlign w:val="center"/>
          </w:tcPr>
          <w:p w14:paraId="4E27A7B6">
            <w:pPr>
              <w:pStyle w:val="31"/>
            </w:pPr>
            <w:r>
              <w:rPr>
                <w:rFonts w:hint="eastAsia"/>
              </w:rPr>
              <w:t>响应规格</w:t>
            </w:r>
          </w:p>
        </w:tc>
        <w:tc>
          <w:tcPr>
            <w:tcW w:w="907" w:type="pct"/>
            <w:tcBorders>
              <w:top w:val="single" w:color="auto" w:sz="4" w:space="0"/>
              <w:left w:val="single" w:color="auto" w:sz="4" w:space="0"/>
              <w:bottom w:val="single" w:color="auto" w:sz="4" w:space="0"/>
              <w:right w:val="single" w:color="auto" w:sz="4" w:space="0"/>
            </w:tcBorders>
            <w:vAlign w:val="center"/>
          </w:tcPr>
          <w:p w14:paraId="12AC0CAC">
            <w:pPr>
              <w:pStyle w:val="31"/>
            </w:pPr>
            <w:r>
              <w:rPr>
                <w:rFonts w:hint="eastAsia"/>
              </w:rPr>
              <w:t>是否偏离</w:t>
            </w:r>
          </w:p>
          <w:p w14:paraId="19A30C6E">
            <w:pPr>
              <w:pStyle w:val="31"/>
            </w:pPr>
            <w:r>
              <w:rPr>
                <w:rFonts w:hint="eastAsia"/>
              </w:rPr>
              <w:t>（提供说明）</w:t>
            </w:r>
          </w:p>
        </w:tc>
      </w:tr>
      <w:tr w14:paraId="738A48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2" w:type="pct"/>
            <w:tcBorders>
              <w:top w:val="single" w:color="auto" w:sz="4" w:space="0"/>
              <w:left w:val="single" w:color="auto" w:sz="4" w:space="0"/>
              <w:bottom w:val="single" w:color="auto" w:sz="4" w:space="0"/>
              <w:right w:val="single" w:color="auto" w:sz="4" w:space="0"/>
            </w:tcBorders>
            <w:vAlign w:val="center"/>
          </w:tcPr>
          <w:p w14:paraId="43077DDE">
            <w:pPr>
              <w:pStyle w:val="31"/>
            </w:pPr>
            <w:r>
              <w:rPr>
                <w:rFonts w:hint="eastAsia"/>
              </w:rPr>
              <w:t>质保期</w:t>
            </w:r>
          </w:p>
        </w:tc>
        <w:tc>
          <w:tcPr>
            <w:tcW w:w="1746" w:type="pct"/>
            <w:tcBorders>
              <w:top w:val="single" w:color="auto" w:sz="4" w:space="0"/>
              <w:left w:val="single" w:color="auto" w:sz="4" w:space="0"/>
              <w:bottom w:val="single" w:color="auto" w:sz="4" w:space="0"/>
              <w:right w:val="single" w:color="auto" w:sz="4" w:space="0"/>
            </w:tcBorders>
            <w:vAlign w:val="center"/>
          </w:tcPr>
          <w:p w14:paraId="635FF397">
            <w:pPr>
              <w:pStyle w:val="31"/>
            </w:pPr>
            <w:r>
              <w:rPr>
                <w:rFonts w:hint="eastAsia"/>
              </w:rPr>
              <w:t>1</w:t>
            </w:r>
            <w:r>
              <w:t>2</w:t>
            </w:r>
            <w:r>
              <w:rPr>
                <w:rFonts w:hint="eastAsia"/>
              </w:rPr>
              <w:t>个月</w:t>
            </w:r>
          </w:p>
        </w:tc>
        <w:tc>
          <w:tcPr>
            <w:tcW w:w="1434" w:type="pct"/>
            <w:tcBorders>
              <w:top w:val="single" w:color="auto" w:sz="4" w:space="0"/>
              <w:left w:val="single" w:color="auto" w:sz="4" w:space="0"/>
              <w:bottom w:val="single" w:color="auto" w:sz="4" w:space="0"/>
              <w:right w:val="single" w:color="auto" w:sz="4" w:space="0"/>
            </w:tcBorders>
            <w:vAlign w:val="center"/>
          </w:tcPr>
          <w:p w14:paraId="77AAA70F">
            <w:pPr>
              <w:pStyle w:val="31"/>
            </w:pPr>
          </w:p>
        </w:tc>
        <w:tc>
          <w:tcPr>
            <w:tcW w:w="907" w:type="pct"/>
            <w:tcBorders>
              <w:top w:val="single" w:color="auto" w:sz="4" w:space="0"/>
              <w:left w:val="single" w:color="auto" w:sz="4" w:space="0"/>
              <w:bottom w:val="single" w:color="auto" w:sz="4" w:space="0"/>
              <w:right w:val="single" w:color="auto" w:sz="4" w:space="0"/>
            </w:tcBorders>
            <w:vAlign w:val="center"/>
          </w:tcPr>
          <w:p w14:paraId="39C07F96">
            <w:pPr>
              <w:pStyle w:val="31"/>
            </w:pPr>
          </w:p>
        </w:tc>
      </w:tr>
      <w:tr w14:paraId="774E7C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2" w:type="pct"/>
            <w:tcBorders>
              <w:top w:val="single" w:color="auto" w:sz="4" w:space="0"/>
              <w:left w:val="single" w:color="auto" w:sz="4" w:space="0"/>
              <w:bottom w:val="single" w:color="auto" w:sz="4" w:space="0"/>
              <w:right w:val="single" w:color="auto" w:sz="4" w:space="0"/>
            </w:tcBorders>
            <w:vAlign w:val="center"/>
          </w:tcPr>
          <w:p w14:paraId="3B634487">
            <w:pPr>
              <w:pStyle w:val="31"/>
            </w:pPr>
            <w:r>
              <w:rPr>
                <w:rFonts w:hint="eastAsia"/>
              </w:rPr>
              <w:t>交货时间及地点</w:t>
            </w:r>
          </w:p>
        </w:tc>
        <w:tc>
          <w:tcPr>
            <w:tcW w:w="1746" w:type="pct"/>
            <w:tcBorders>
              <w:top w:val="single" w:color="auto" w:sz="4" w:space="0"/>
              <w:left w:val="single" w:color="auto" w:sz="4" w:space="0"/>
              <w:bottom w:val="single" w:color="auto" w:sz="4" w:space="0"/>
              <w:right w:val="single" w:color="auto" w:sz="4" w:space="0"/>
            </w:tcBorders>
            <w:vAlign w:val="center"/>
          </w:tcPr>
          <w:p w14:paraId="0A4990BE">
            <w:pPr>
              <w:pStyle w:val="31"/>
            </w:pPr>
            <w:r>
              <w:rPr>
                <w:rFonts w:hint="eastAsia"/>
              </w:rPr>
              <w:t>交货时间：自合同签定生效之日起，</w:t>
            </w:r>
            <w:r>
              <w:rPr>
                <w:color w:val="FF0000"/>
              </w:rPr>
              <w:t>30</w:t>
            </w:r>
            <w:r>
              <w:rPr>
                <w:rFonts w:hint="eastAsia"/>
                <w:color w:val="FF0000"/>
              </w:rPr>
              <w:t>个日历日之内交付正式版软件</w:t>
            </w:r>
            <w:r>
              <w:rPr>
                <w:rFonts w:hint="eastAsia"/>
                <w:color w:val="FF0000"/>
                <w:lang w:val="en-US" w:eastAsia="zh-CN"/>
              </w:rPr>
              <w:t>并完成</w:t>
            </w:r>
            <w:r>
              <w:rPr>
                <w:rFonts w:hint="eastAsia"/>
                <w:color w:val="FF0000"/>
              </w:rPr>
              <w:t>安装</w:t>
            </w:r>
            <w:r>
              <w:rPr>
                <w:rFonts w:hint="eastAsia"/>
                <w:color w:val="FF0000"/>
                <w:lang w:eastAsia="zh-CN"/>
              </w:rPr>
              <w:t>，</w:t>
            </w:r>
            <w:r>
              <w:rPr>
                <w:rFonts w:hint="eastAsia"/>
                <w:color w:val="FF0000"/>
                <w:lang w:val="en-US" w:eastAsia="zh-CN"/>
              </w:rPr>
              <w:t>60</w:t>
            </w:r>
            <w:r>
              <w:rPr>
                <w:rFonts w:hint="eastAsia"/>
                <w:color w:val="FF0000"/>
              </w:rPr>
              <w:t>个日历日之内培训完毕</w:t>
            </w:r>
            <w:r>
              <w:rPr>
                <w:rFonts w:hint="eastAsia"/>
              </w:rPr>
              <w:t>。</w:t>
            </w:r>
          </w:p>
          <w:p w14:paraId="15981ED1">
            <w:pPr>
              <w:pStyle w:val="31"/>
            </w:pPr>
            <w:r>
              <w:rPr>
                <w:rFonts w:hint="eastAsia"/>
              </w:rPr>
              <w:t>地点：济南市高新区华奥路</w:t>
            </w:r>
            <w:r>
              <w:t>777号中国重汽</w:t>
            </w:r>
            <w:r>
              <w:rPr>
                <w:rFonts w:hint="eastAsia"/>
              </w:rPr>
              <w:t>未来</w:t>
            </w:r>
            <w:r>
              <w:t>科技大厦</w:t>
            </w:r>
            <w:r>
              <w:rPr>
                <w:rFonts w:hint="eastAsia"/>
              </w:rPr>
              <w:t>。</w:t>
            </w:r>
          </w:p>
        </w:tc>
        <w:tc>
          <w:tcPr>
            <w:tcW w:w="1434" w:type="pct"/>
            <w:tcBorders>
              <w:top w:val="single" w:color="auto" w:sz="4" w:space="0"/>
              <w:left w:val="single" w:color="auto" w:sz="4" w:space="0"/>
              <w:bottom w:val="single" w:color="auto" w:sz="4" w:space="0"/>
              <w:right w:val="single" w:color="auto" w:sz="4" w:space="0"/>
            </w:tcBorders>
            <w:vAlign w:val="center"/>
          </w:tcPr>
          <w:p w14:paraId="72CFA72E">
            <w:pPr>
              <w:pStyle w:val="31"/>
            </w:pPr>
          </w:p>
        </w:tc>
        <w:tc>
          <w:tcPr>
            <w:tcW w:w="907" w:type="pct"/>
            <w:tcBorders>
              <w:top w:val="single" w:color="auto" w:sz="4" w:space="0"/>
              <w:left w:val="single" w:color="auto" w:sz="4" w:space="0"/>
              <w:bottom w:val="single" w:color="auto" w:sz="4" w:space="0"/>
              <w:right w:val="single" w:color="auto" w:sz="4" w:space="0"/>
            </w:tcBorders>
            <w:vAlign w:val="center"/>
          </w:tcPr>
          <w:p w14:paraId="16817654">
            <w:pPr>
              <w:pStyle w:val="31"/>
            </w:pPr>
          </w:p>
        </w:tc>
      </w:tr>
      <w:tr w14:paraId="328FD3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2" w:type="pct"/>
            <w:tcBorders>
              <w:top w:val="single" w:color="auto" w:sz="4" w:space="0"/>
              <w:left w:val="single" w:color="auto" w:sz="4" w:space="0"/>
              <w:bottom w:val="single" w:color="auto" w:sz="4" w:space="0"/>
              <w:right w:val="single" w:color="auto" w:sz="4" w:space="0"/>
            </w:tcBorders>
            <w:vAlign w:val="center"/>
          </w:tcPr>
          <w:p w14:paraId="48B688AD">
            <w:pPr>
              <w:pStyle w:val="31"/>
            </w:pPr>
            <w:r>
              <w:rPr>
                <w:rFonts w:hint="eastAsia"/>
              </w:rPr>
              <w:t>付款条件</w:t>
            </w:r>
          </w:p>
        </w:tc>
        <w:tc>
          <w:tcPr>
            <w:tcW w:w="1746" w:type="pct"/>
            <w:tcBorders>
              <w:top w:val="single" w:color="auto" w:sz="4" w:space="0"/>
              <w:left w:val="single" w:color="auto" w:sz="4" w:space="0"/>
              <w:bottom w:val="single" w:color="auto" w:sz="4" w:space="0"/>
              <w:right w:val="single" w:color="auto" w:sz="4" w:space="0"/>
            </w:tcBorders>
          </w:tcPr>
          <w:p w14:paraId="36837356">
            <w:pPr>
              <w:pStyle w:val="31"/>
            </w:pPr>
            <w:r>
              <w:rPr>
                <w:rFonts w:hint="eastAsia"/>
                <w:color w:val="FF0000"/>
              </w:rPr>
              <w:t>付款方式为半年期商业汇票（包括银行承兑汇票和商业承兑汇票）</w:t>
            </w:r>
            <w:r>
              <w:rPr>
                <w:rFonts w:hint="eastAsia"/>
              </w:rPr>
              <w:t>。买卖双方共同签署终验收报告，并移交、核对全部供货范围内物品</w:t>
            </w:r>
          </w:p>
        </w:tc>
        <w:tc>
          <w:tcPr>
            <w:tcW w:w="1434" w:type="pct"/>
            <w:tcBorders>
              <w:top w:val="single" w:color="auto" w:sz="4" w:space="0"/>
              <w:left w:val="single" w:color="auto" w:sz="4" w:space="0"/>
              <w:bottom w:val="single" w:color="auto" w:sz="4" w:space="0"/>
              <w:right w:val="single" w:color="auto" w:sz="4" w:space="0"/>
            </w:tcBorders>
          </w:tcPr>
          <w:p w14:paraId="53F7374D">
            <w:pPr>
              <w:pStyle w:val="31"/>
            </w:pPr>
          </w:p>
        </w:tc>
        <w:tc>
          <w:tcPr>
            <w:tcW w:w="907" w:type="pct"/>
            <w:tcBorders>
              <w:top w:val="single" w:color="auto" w:sz="4" w:space="0"/>
              <w:left w:val="single" w:color="auto" w:sz="4" w:space="0"/>
              <w:bottom w:val="single" w:color="auto" w:sz="4" w:space="0"/>
              <w:right w:val="single" w:color="auto" w:sz="4" w:space="0"/>
            </w:tcBorders>
            <w:vAlign w:val="center"/>
          </w:tcPr>
          <w:p w14:paraId="00E1AF14">
            <w:pPr>
              <w:pStyle w:val="31"/>
            </w:pPr>
          </w:p>
        </w:tc>
      </w:tr>
      <w:tr w14:paraId="656E27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2" w:type="pct"/>
            <w:tcBorders>
              <w:top w:val="single" w:color="auto" w:sz="4" w:space="0"/>
              <w:left w:val="single" w:color="auto" w:sz="4" w:space="0"/>
              <w:bottom w:val="single" w:color="auto" w:sz="4" w:space="0"/>
              <w:right w:val="single" w:color="auto" w:sz="4" w:space="0"/>
            </w:tcBorders>
            <w:vAlign w:val="center"/>
          </w:tcPr>
          <w:p w14:paraId="33A77E3E">
            <w:pPr>
              <w:pStyle w:val="31"/>
            </w:pPr>
            <w:r>
              <w:rPr>
                <w:rFonts w:hint="eastAsia"/>
              </w:rPr>
              <w:t>售后技术服务要求</w:t>
            </w:r>
          </w:p>
        </w:tc>
        <w:tc>
          <w:tcPr>
            <w:tcW w:w="1746" w:type="pct"/>
            <w:tcBorders>
              <w:top w:val="single" w:color="auto" w:sz="4" w:space="0"/>
              <w:left w:val="single" w:color="auto" w:sz="4" w:space="0"/>
              <w:bottom w:val="single" w:color="auto" w:sz="4" w:space="0"/>
              <w:right w:val="single" w:color="auto" w:sz="4" w:space="0"/>
            </w:tcBorders>
            <w:vAlign w:val="center"/>
          </w:tcPr>
          <w:p w14:paraId="4AC5E2ED">
            <w:pPr>
              <w:pStyle w:val="31"/>
            </w:pPr>
            <w:r>
              <w:rPr>
                <w:rFonts w:hint="eastAsia"/>
              </w:rPr>
              <w:t>1</w:t>
            </w:r>
            <w:r>
              <w:rPr>
                <w:rFonts w:hint="eastAsia"/>
                <w:lang w:eastAsia="zh-CN"/>
              </w:rPr>
              <w:t>、</w:t>
            </w:r>
            <w:r>
              <w:rPr>
                <w:rFonts w:hint="eastAsia"/>
              </w:rPr>
              <w:t>卖方提供的软件涉及的所有售后服务均由卖方负责。如果发生问题并且收到通知，卖方应当在</w:t>
            </w:r>
            <w:r>
              <w:t>2小时内予以答复。</w:t>
            </w:r>
          </w:p>
          <w:p w14:paraId="1E3ECA7E">
            <w:pPr>
              <w:pStyle w:val="31"/>
            </w:pPr>
            <w:r>
              <w:t xml:space="preserve">2、如发现所提供的软件存在问题，需要卖方解决或配合解决时：在质保期之内，应在接到通知后 </w:t>
            </w:r>
            <w:r>
              <w:rPr>
                <w:rFonts w:hint="eastAsia"/>
              </w:rPr>
              <w:t>48</w:t>
            </w:r>
            <w:r>
              <w:t>小时内派有关人员到达现场；在质保期之外，应在接到通知后  168 小时内派有关人员到达现场。</w:t>
            </w:r>
          </w:p>
          <w:p w14:paraId="57435E5C">
            <w:pPr>
              <w:pStyle w:val="31"/>
            </w:pPr>
            <w:r>
              <w:t>3、卖方派往买方使用现场的人员，应具有较高的业务素质；现场解决问题时，不得无故拖延或推迟，应为买方提供最佳的服务。</w:t>
            </w:r>
          </w:p>
        </w:tc>
        <w:tc>
          <w:tcPr>
            <w:tcW w:w="1434" w:type="pct"/>
            <w:tcBorders>
              <w:top w:val="single" w:color="auto" w:sz="4" w:space="0"/>
              <w:left w:val="single" w:color="auto" w:sz="4" w:space="0"/>
              <w:bottom w:val="single" w:color="auto" w:sz="4" w:space="0"/>
              <w:right w:val="single" w:color="auto" w:sz="4" w:space="0"/>
            </w:tcBorders>
            <w:vAlign w:val="center"/>
          </w:tcPr>
          <w:p w14:paraId="54F1AAF0">
            <w:pPr>
              <w:pStyle w:val="31"/>
            </w:pPr>
          </w:p>
        </w:tc>
        <w:tc>
          <w:tcPr>
            <w:tcW w:w="907" w:type="pct"/>
            <w:tcBorders>
              <w:top w:val="single" w:color="auto" w:sz="4" w:space="0"/>
              <w:left w:val="single" w:color="auto" w:sz="4" w:space="0"/>
              <w:bottom w:val="single" w:color="auto" w:sz="4" w:space="0"/>
              <w:right w:val="single" w:color="auto" w:sz="4" w:space="0"/>
            </w:tcBorders>
            <w:vAlign w:val="center"/>
          </w:tcPr>
          <w:p w14:paraId="6210474A">
            <w:pPr>
              <w:pStyle w:val="31"/>
            </w:pPr>
          </w:p>
          <w:p w14:paraId="38B6E72F">
            <w:pPr>
              <w:pStyle w:val="31"/>
            </w:pPr>
          </w:p>
          <w:p w14:paraId="6D15D2ED">
            <w:pPr>
              <w:pStyle w:val="31"/>
            </w:pPr>
          </w:p>
          <w:p w14:paraId="3001B1A0">
            <w:pPr>
              <w:pStyle w:val="31"/>
            </w:pPr>
          </w:p>
          <w:p w14:paraId="3EA59E7C">
            <w:pPr>
              <w:pStyle w:val="31"/>
            </w:pPr>
          </w:p>
          <w:p w14:paraId="3C9DCBDF">
            <w:pPr>
              <w:pStyle w:val="31"/>
            </w:pPr>
          </w:p>
          <w:p w14:paraId="704E8618">
            <w:pPr>
              <w:pStyle w:val="31"/>
            </w:pPr>
          </w:p>
          <w:p w14:paraId="760DBBE3">
            <w:pPr>
              <w:pStyle w:val="31"/>
            </w:pPr>
          </w:p>
          <w:p w14:paraId="5474F24F">
            <w:pPr>
              <w:pStyle w:val="31"/>
            </w:pPr>
          </w:p>
          <w:p w14:paraId="44A78BA0">
            <w:pPr>
              <w:pStyle w:val="31"/>
            </w:pPr>
          </w:p>
          <w:p w14:paraId="6D6DBD04">
            <w:pPr>
              <w:pStyle w:val="31"/>
            </w:pPr>
          </w:p>
          <w:p w14:paraId="7A3004AD">
            <w:pPr>
              <w:pStyle w:val="31"/>
            </w:pPr>
          </w:p>
          <w:p w14:paraId="47E8E957">
            <w:pPr>
              <w:pStyle w:val="31"/>
            </w:pPr>
          </w:p>
          <w:p w14:paraId="4D6398C7">
            <w:pPr>
              <w:pStyle w:val="31"/>
            </w:pPr>
          </w:p>
          <w:p w14:paraId="0A93F32E">
            <w:pPr>
              <w:pStyle w:val="31"/>
            </w:pPr>
          </w:p>
          <w:p w14:paraId="280BD7C6">
            <w:pPr>
              <w:pStyle w:val="31"/>
            </w:pPr>
          </w:p>
          <w:p w14:paraId="5582AA50">
            <w:pPr>
              <w:pStyle w:val="31"/>
            </w:pPr>
          </w:p>
        </w:tc>
      </w:tr>
      <w:tr w14:paraId="1E4749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2" w:type="pct"/>
            <w:tcBorders>
              <w:top w:val="single" w:color="auto" w:sz="4" w:space="0"/>
              <w:left w:val="single" w:color="auto" w:sz="4" w:space="0"/>
              <w:bottom w:val="single" w:color="auto" w:sz="4" w:space="0"/>
              <w:right w:val="single" w:color="auto" w:sz="4" w:space="0"/>
            </w:tcBorders>
            <w:vAlign w:val="center"/>
          </w:tcPr>
          <w:p w14:paraId="3DF35F4D">
            <w:pPr>
              <w:pStyle w:val="31"/>
            </w:pPr>
            <w:r>
              <w:rPr>
                <w:rFonts w:hint="eastAsia"/>
              </w:rPr>
              <w:t>备品备件及耗材等要求</w:t>
            </w:r>
          </w:p>
        </w:tc>
        <w:tc>
          <w:tcPr>
            <w:tcW w:w="1746" w:type="pct"/>
            <w:tcBorders>
              <w:top w:val="single" w:color="auto" w:sz="4" w:space="0"/>
              <w:left w:val="single" w:color="auto" w:sz="4" w:space="0"/>
              <w:bottom w:val="single" w:color="auto" w:sz="4" w:space="0"/>
              <w:right w:val="single" w:color="auto" w:sz="4" w:space="0"/>
            </w:tcBorders>
            <w:vAlign w:val="center"/>
          </w:tcPr>
          <w:p w14:paraId="51477AF6">
            <w:pPr>
              <w:pStyle w:val="31"/>
            </w:pPr>
            <w:r>
              <w:rPr>
                <w:rFonts w:hint="eastAsia"/>
              </w:rPr>
              <w:t>无</w:t>
            </w:r>
          </w:p>
        </w:tc>
        <w:tc>
          <w:tcPr>
            <w:tcW w:w="1434" w:type="pct"/>
            <w:tcBorders>
              <w:top w:val="single" w:color="auto" w:sz="4" w:space="0"/>
              <w:left w:val="single" w:color="auto" w:sz="4" w:space="0"/>
              <w:bottom w:val="single" w:color="auto" w:sz="4" w:space="0"/>
              <w:right w:val="single" w:color="auto" w:sz="4" w:space="0"/>
            </w:tcBorders>
            <w:vAlign w:val="center"/>
          </w:tcPr>
          <w:p w14:paraId="47F6E681">
            <w:pPr>
              <w:pStyle w:val="31"/>
            </w:pPr>
            <w:r>
              <w:rPr>
                <w:rFonts w:hint="eastAsia"/>
              </w:rPr>
              <w:t>无</w:t>
            </w:r>
          </w:p>
        </w:tc>
        <w:tc>
          <w:tcPr>
            <w:tcW w:w="907" w:type="pct"/>
            <w:tcBorders>
              <w:top w:val="single" w:color="auto" w:sz="4" w:space="0"/>
              <w:left w:val="single" w:color="auto" w:sz="4" w:space="0"/>
              <w:bottom w:val="single" w:color="auto" w:sz="4" w:space="0"/>
              <w:right w:val="single" w:color="auto" w:sz="4" w:space="0"/>
            </w:tcBorders>
            <w:vAlign w:val="center"/>
          </w:tcPr>
          <w:p w14:paraId="59CC97B9">
            <w:pPr>
              <w:pStyle w:val="31"/>
            </w:pPr>
            <w:r>
              <w:rPr>
                <w:rFonts w:hint="eastAsia"/>
              </w:rPr>
              <w:t>无</w:t>
            </w:r>
          </w:p>
        </w:tc>
      </w:tr>
    </w:tbl>
    <w:p w14:paraId="30DABBBD">
      <w:pPr>
        <w:pStyle w:val="28"/>
        <w:ind w:firstLine="480"/>
      </w:pPr>
      <w:r>
        <w:rPr>
          <w:rFonts w:hint="eastAsia"/>
        </w:rPr>
        <w:t>投标人名称：                   授权代表签字：            日期：</w:t>
      </w:r>
    </w:p>
    <w:p w14:paraId="596729EC">
      <w:pPr>
        <w:pStyle w:val="28"/>
        <w:ind w:firstLine="480"/>
      </w:pPr>
      <w:r>
        <w:rPr>
          <w:rFonts w:hint="eastAsia"/>
        </w:rPr>
        <w:t>注：为避免歧义，无偏离也应要提报该表，并注明“无”字。如无该表则即使在其它部分已反映，将也被视为“无偏离”。</w:t>
      </w:r>
    </w:p>
    <w:p w14:paraId="4310B2FD">
      <w:pPr>
        <w:pStyle w:val="28"/>
        <w:ind w:firstLine="480"/>
      </w:pPr>
    </w:p>
    <w:p w14:paraId="46009205">
      <w:pPr>
        <w:pStyle w:val="28"/>
        <w:ind w:firstLine="480"/>
      </w:pPr>
    </w:p>
    <w:p w14:paraId="7DE08D8B">
      <w:pPr>
        <w:pStyle w:val="28"/>
        <w:ind w:firstLine="480"/>
      </w:pPr>
    </w:p>
    <w:p w14:paraId="7A066249">
      <w:pPr>
        <w:pStyle w:val="28"/>
        <w:ind w:firstLine="480"/>
      </w:pPr>
    </w:p>
    <w:p w14:paraId="45B0A171">
      <w:pPr>
        <w:pStyle w:val="28"/>
        <w:ind w:firstLine="480"/>
      </w:pPr>
    </w:p>
    <w:p w14:paraId="2166D098">
      <w:pPr>
        <w:pStyle w:val="28"/>
        <w:ind w:firstLine="480"/>
      </w:pPr>
    </w:p>
    <w:p w14:paraId="37FBF2F7">
      <w:pPr>
        <w:pStyle w:val="35"/>
      </w:pPr>
      <w:r>
        <w:rPr>
          <w:rFonts w:hint="eastAsia"/>
        </w:rPr>
        <w:t>附件</w:t>
      </w:r>
      <w:bookmarkStart w:id="21" w:name="_Toc92678174"/>
      <w:bookmarkStart w:id="22" w:name="_Toc353881023"/>
      <w:bookmarkStart w:id="23" w:name="_Toc212369556"/>
      <w:bookmarkStart w:id="24" w:name="_Toc15535"/>
      <w:bookmarkStart w:id="25" w:name="_Toc639014"/>
      <w:r>
        <w:t xml:space="preserve">9 </w:t>
      </w:r>
      <w:r>
        <w:rPr>
          <w:rFonts w:hint="eastAsia"/>
        </w:rPr>
        <w:t>投标文件封面及封口</w:t>
      </w:r>
      <w:bookmarkEnd w:id="21"/>
      <w:r>
        <w:rPr>
          <w:rFonts w:hint="eastAsia"/>
        </w:rPr>
        <w:t>格式</w:t>
      </w:r>
      <w:bookmarkEnd w:id="22"/>
      <w:bookmarkEnd w:id="23"/>
      <w:bookmarkEnd w:id="24"/>
      <w:bookmarkEnd w:id="25"/>
    </w:p>
    <w:p w14:paraId="41B2B3A4">
      <w:pPr>
        <w:pStyle w:val="28"/>
        <w:ind w:firstLine="480"/>
      </w:pPr>
      <w:r>
        <w:rPr>
          <w:rFonts w:hint="eastAsia"/>
        </w:rPr>
        <w:t>封面格式：</w:t>
      </w:r>
    </w:p>
    <w:tbl>
      <w:tblPr>
        <w:tblStyle w:val="18"/>
        <w:tblW w:w="91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4"/>
      </w:tblGrid>
      <w:tr w14:paraId="29B21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4" w:type="dxa"/>
          </w:tcPr>
          <w:p w14:paraId="7AB4CA14">
            <w:pPr>
              <w:pStyle w:val="31"/>
            </w:pPr>
          </w:p>
          <w:p w14:paraId="40ACD0A3">
            <w:pPr>
              <w:pStyle w:val="31"/>
            </w:pPr>
            <w:r>
              <w:rPr>
                <w:rFonts w:hint="eastAsia"/>
              </w:rPr>
              <w:t>技术/资质/商务文件</w:t>
            </w:r>
          </w:p>
          <w:p w14:paraId="1CB0B61E">
            <w:pPr>
              <w:pStyle w:val="31"/>
            </w:pPr>
          </w:p>
          <w:p w14:paraId="088FAC90">
            <w:pPr>
              <w:pStyle w:val="31"/>
            </w:pPr>
            <w:r>
              <w:rPr>
                <w:rFonts w:hint="eastAsia"/>
              </w:rPr>
              <w:t>（</w:t>
            </w:r>
            <w:r>
              <w:rPr>
                <w:rFonts w:hint="eastAsia" w:ascii="等线" w:hAnsi="等线" w:eastAsia="等线"/>
              </w:rPr>
              <w:t>1</w:t>
            </w:r>
            <w:r>
              <w:rPr>
                <w:rFonts w:hint="eastAsia"/>
              </w:rPr>
              <w:t>正本/</w:t>
            </w:r>
            <w:r>
              <w:rPr>
                <w:rFonts w:ascii="等线" w:hAnsi="等线" w:eastAsia="等线"/>
                <w:u w:val="single"/>
              </w:rPr>
              <w:t>5</w:t>
            </w:r>
            <w:r>
              <w:rPr>
                <w:rFonts w:hint="eastAsia"/>
              </w:rPr>
              <w:t>副本）</w:t>
            </w:r>
          </w:p>
          <w:p w14:paraId="0FCC3D4F">
            <w:pPr>
              <w:pStyle w:val="31"/>
            </w:pPr>
          </w:p>
          <w:p w14:paraId="169FE469">
            <w:pPr>
              <w:pStyle w:val="31"/>
            </w:pPr>
          </w:p>
          <w:p w14:paraId="14838C96">
            <w:pPr>
              <w:pStyle w:val="31"/>
            </w:pPr>
            <w:r>
              <w:rPr>
                <w:rFonts w:hint="eastAsia"/>
              </w:rPr>
              <w:t>项目名称：</w:t>
            </w:r>
            <w:r>
              <w:t xml:space="preserve"> </w:t>
            </w:r>
          </w:p>
          <w:p w14:paraId="6C2BF49C">
            <w:pPr>
              <w:pStyle w:val="31"/>
            </w:pPr>
            <w:r>
              <w:rPr>
                <w:rFonts w:hint="eastAsia"/>
              </w:rPr>
              <w:t>投标人名称（公章）：</w:t>
            </w:r>
          </w:p>
          <w:p w14:paraId="6E190323">
            <w:pPr>
              <w:pStyle w:val="31"/>
            </w:pPr>
            <w:r>
              <w:rPr>
                <w:rFonts w:hint="eastAsia"/>
              </w:rPr>
              <w:t>地址：</w:t>
            </w:r>
          </w:p>
          <w:p w14:paraId="5AECA87F">
            <w:pPr>
              <w:pStyle w:val="31"/>
            </w:pPr>
            <w:r>
              <w:rPr>
                <w:rFonts w:hint="eastAsia"/>
              </w:rPr>
              <w:t>授权代表电话：</w:t>
            </w:r>
          </w:p>
          <w:p w14:paraId="0D636C26">
            <w:pPr>
              <w:pStyle w:val="31"/>
            </w:pPr>
            <w:r>
              <w:rPr>
                <w:rFonts w:hint="eastAsia"/>
              </w:rPr>
              <w:t>传真：</w:t>
            </w:r>
          </w:p>
          <w:p w14:paraId="753FFF59">
            <w:pPr>
              <w:pStyle w:val="31"/>
            </w:pPr>
          </w:p>
          <w:p w14:paraId="41C5C639">
            <w:pPr>
              <w:pStyle w:val="31"/>
            </w:pPr>
          </w:p>
        </w:tc>
      </w:tr>
    </w:tbl>
    <w:p w14:paraId="048F9AD4">
      <w:pPr>
        <w:pStyle w:val="28"/>
        <w:ind w:firstLine="480"/>
      </w:pPr>
      <w:r>
        <w:rPr>
          <w:rFonts w:hint="eastAsia"/>
        </w:rPr>
        <w:t>投标人：（盖章）</w:t>
      </w:r>
    </w:p>
    <w:p w14:paraId="240F4EDE">
      <w:pPr>
        <w:pStyle w:val="28"/>
        <w:ind w:firstLine="480"/>
      </w:pPr>
      <w:r>
        <w:rPr>
          <w:rFonts w:hint="eastAsia"/>
        </w:rPr>
        <w:t>法定代表人（委托代理人）：（签字）</w:t>
      </w:r>
    </w:p>
    <w:p w14:paraId="4C9AAE86">
      <w:pPr>
        <w:pStyle w:val="28"/>
        <w:ind w:firstLine="480"/>
      </w:pPr>
      <w:r>
        <w:rPr>
          <w:rFonts w:hint="eastAsia"/>
        </w:rPr>
        <w:t>日  期：       年    月    日</w:t>
      </w:r>
    </w:p>
    <w:p w14:paraId="30CD83D4">
      <w:pPr>
        <w:pStyle w:val="28"/>
        <w:ind w:firstLine="480"/>
      </w:pPr>
      <w:r>
        <w:br w:type="page"/>
      </w:r>
    </w:p>
    <w:p w14:paraId="010FA5DA">
      <w:pPr>
        <w:pStyle w:val="35"/>
      </w:pPr>
      <w:r>
        <w:rPr>
          <w:rFonts w:hint="eastAsia"/>
        </w:rPr>
        <w:t>附件</w:t>
      </w:r>
      <w:r>
        <w:t xml:space="preserve">10 </w:t>
      </w:r>
      <w:r>
        <w:rPr>
          <w:rFonts w:hint="eastAsia"/>
        </w:rPr>
        <w:t>软件模块组成及功能</w:t>
      </w:r>
    </w:p>
    <w:p w14:paraId="6843C25A">
      <w:pPr>
        <w:jc w:val="center"/>
        <w:rPr>
          <w:rFonts w:ascii="宋体" w:hAnsi="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软件模块组成及功能</w:t>
      </w:r>
    </w:p>
    <w:p w14:paraId="442FF5F7">
      <w:pPr>
        <w:jc w:val="center"/>
        <w:rPr>
          <w:rFonts w:ascii="宋体" w:hAnsi="宋体" w:cs="宋体"/>
          <w:b/>
          <w:bCs/>
          <w:color w:val="000000" w:themeColor="text1"/>
          <w:sz w:val="28"/>
          <w:szCs w:val="28"/>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投标人对投标软件的模块组成、模块功能的详细描述应至少包括以下内容：</w:t>
      </w:r>
    </w:p>
    <w:p w14:paraId="1B4A2ECF">
      <w:pPr>
        <w:spacing w:line="360" w:lineRule="auto"/>
        <w:ind w:left="570"/>
        <w:rPr>
          <w:rFonts w:ascii="宋体" w:hAnsi="宋体"/>
          <w:color w:val="000000" w:themeColor="text1"/>
          <w:sz w:val="24"/>
          <w:szCs w:val="24"/>
          <w14:textFill>
            <w14:solidFill>
              <w14:schemeClr w14:val="tx1"/>
            </w14:solidFill>
          </w14:textFill>
        </w:rPr>
      </w:pPr>
      <w:r>
        <w:rPr>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.软件</w:t>
      </w:r>
      <w:r>
        <w:rPr>
          <w:rFonts w:hint="eastAsia" w:ascii="宋体" w:hAnsi="宋体"/>
          <w:color w:val="000000" w:themeColor="text1"/>
          <w:sz w:val="24"/>
          <w:szCs w:val="24"/>
          <w14:textFill>
            <w14:solidFill>
              <w14:schemeClr w14:val="tx1"/>
            </w14:solidFill>
          </w14:textFill>
        </w:rPr>
        <w:t>主要模块的组成及功能的描述。</w:t>
      </w:r>
    </w:p>
    <w:p w14:paraId="1267E52B">
      <w:pPr>
        <w:spacing w:line="360" w:lineRule="auto"/>
        <w:ind w:left="570"/>
        <w:rPr>
          <w:rFonts w:ascii="宋体" w:hAnsi="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招标文件技术规范书要求提报、说明的内容</w:t>
      </w:r>
      <w:r>
        <w:rPr>
          <w:rFonts w:hint="eastAsia" w:ascii="宋体" w:hAnsi="宋体"/>
          <w:color w:val="000000" w:themeColor="text1"/>
          <w:sz w:val="24"/>
          <w14:textFill>
            <w14:solidFill>
              <w14:schemeClr w14:val="tx1"/>
            </w14:solidFill>
          </w14:textFill>
        </w:rPr>
        <w:t>。</w:t>
      </w:r>
    </w:p>
    <w:p w14:paraId="7832546D">
      <w:pPr>
        <w:spacing w:line="360" w:lineRule="auto"/>
        <w:ind w:left="57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注：</w:t>
      </w:r>
    </w:p>
    <w:p w14:paraId="63A66F7E">
      <w:pPr>
        <w:spacing w:line="360" w:lineRule="auto"/>
        <w:ind w:left="990"/>
        <w:rPr>
          <w:rFonts w:ascii="宋体" w:hAnsi="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rFonts w:hint="eastAsia" w:ascii="宋体" w:hAnsi="宋体"/>
          <w:color w:val="000000" w:themeColor="text1"/>
          <w:sz w:val="24"/>
          <w14:textFill>
            <w14:solidFill>
              <w14:schemeClr w14:val="tx1"/>
            </w14:solidFill>
          </w14:textFill>
        </w:rPr>
        <w:t>、投标人应根据上述内容、要求自行编制。</w:t>
      </w:r>
    </w:p>
    <w:p w14:paraId="5C846D3E">
      <w:pPr>
        <w:spacing w:line="360" w:lineRule="auto"/>
        <w:ind w:left="990"/>
        <w:rPr>
          <w:rFonts w:ascii="宋体" w:hAnsi="宋体"/>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、投软件</w:t>
      </w:r>
      <w:r>
        <w:rPr>
          <w:rFonts w:hint="eastAsia" w:ascii="宋体" w:hAnsi="宋体"/>
          <w:color w:val="000000" w:themeColor="text1"/>
          <w:sz w:val="24"/>
          <w:szCs w:val="24"/>
          <w14:textFill>
            <w14:solidFill>
              <w14:schemeClr w14:val="tx1"/>
            </w14:solidFill>
          </w14:textFill>
        </w:rPr>
        <w:t>模块组成及功能的描述及</w:t>
      </w:r>
      <w:r>
        <w:rPr>
          <w:rFonts w:hint="eastAsia" w:ascii="宋体" w:hAnsi="宋体"/>
          <w:color w:val="000000" w:themeColor="text1"/>
          <w:sz w:val="24"/>
          <w14:textFill>
            <w14:solidFill>
              <w14:schemeClr w14:val="tx1"/>
            </w14:solidFill>
          </w14:textFill>
        </w:rPr>
        <w:t>本标书技术规范书要求抄报的内容如在“附件格式</w:t>
      </w:r>
      <w:r>
        <w:rPr>
          <w:color w:val="000000" w:themeColor="text1"/>
          <w:sz w:val="24"/>
          <w14:textFill>
            <w14:solidFill>
              <w14:schemeClr w14:val="tx1"/>
            </w14:solidFill>
          </w14:textFill>
        </w:rPr>
        <w:t>3</w:t>
      </w:r>
      <w:r>
        <w:rPr>
          <w:rFonts w:hint="eastAsia" w:ascii="宋体" w:hAnsi="宋体"/>
          <w:color w:val="000000" w:themeColor="text1"/>
          <w:sz w:val="24"/>
          <w14:textFill>
            <w14:solidFill>
              <w14:schemeClr w14:val="tx1"/>
            </w14:solidFill>
          </w14:textFill>
        </w:rPr>
        <w:t>”中完全说明，则可不必填写本附件。</w:t>
      </w:r>
    </w:p>
    <w:p w14:paraId="306719D4">
      <w:pPr>
        <w:spacing w:line="360" w:lineRule="auto"/>
        <w:ind w:left="990"/>
        <w:rPr>
          <w:rFonts w:ascii="宋体" w:hAnsi="宋体"/>
          <w:color w:val="000000" w:themeColor="text1"/>
          <w:sz w:val="24"/>
          <w:szCs w:val="24"/>
          <w14:textFill>
            <w14:solidFill>
              <w14:schemeClr w14:val="tx1"/>
            </w14:solidFill>
          </w14:textFill>
        </w:rPr>
      </w:pPr>
    </w:p>
    <w:p w14:paraId="2A9184D2">
      <w:pPr>
        <w:widowControl/>
        <w:jc w:val="left"/>
        <w:rPr>
          <w:rFonts w:ascii="黑体" w:hAnsi="黑体" w:eastAsia="宋体"/>
          <w:color w:val="000000"/>
          <w:sz w:val="24"/>
          <w:szCs w:val="28"/>
        </w:rPr>
      </w:pPr>
      <w:r>
        <w:rPr>
          <w:rFonts w:ascii="黑体" w:hAnsi="黑体"/>
          <w:szCs w:val="28"/>
        </w:rPr>
        <w:br w:type="page"/>
      </w:r>
    </w:p>
    <w:p w14:paraId="64CD6A75">
      <w:pPr>
        <w:pStyle w:val="35"/>
      </w:pPr>
      <w:r>
        <w:rPr>
          <w:rFonts w:hint="eastAsia"/>
        </w:rPr>
        <w:t>附件</w:t>
      </w:r>
      <w:r>
        <w:t xml:space="preserve">11 </w:t>
      </w:r>
      <w:r>
        <w:rPr>
          <w:rFonts w:hint="eastAsia"/>
        </w:rPr>
        <w:t>免费增值服务</w:t>
      </w:r>
    </w:p>
    <w:p w14:paraId="780032AF">
      <w:pPr>
        <w:jc w:val="center"/>
        <w:rPr>
          <w:rFonts w:eastAsia="黑体"/>
          <w:b/>
          <w:bCs/>
          <w:sz w:val="28"/>
        </w:rPr>
      </w:pPr>
      <w:r>
        <w:rPr>
          <w:rFonts w:hint="eastAsia" w:eastAsia="黑体"/>
          <w:b/>
          <w:bCs/>
          <w:sz w:val="28"/>
        </w:rPr>
        <w:t>免费增值服务</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2E024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9286" w:type="dxa"/>
          </w:tcPr>
          <w:p w14:paraId="6FA15DB2">
            <w:pPr>
              <w:rPr>
                <w:rFonts w:ascii="宋体" w:hAnsi="宋体"/>
                <w:szCs w:val="21"/>
              </w:rPr>
            </w:pPr>
            <w:r>
              <w:rPr>
                <w:rFonts w:hint="eastAsia" w:ascii="宋体" w:hAnsi="宋体"/>
                <w:szCs w:val="21"/>
              </w:rPr>
              <w:t>格式自拟</w:t>
            </w:r>
          </w:p>
        </w:tc>
      </w:tr>
    </w:tbl>
    <w:p w14:paraId="5CFFF839">
      <w:pPr>
        <w:rPr>
          <w:rFonts w:ascii="宋体" w:hAnsi="宋体"/>
          <w:szCs w:val="21"/>
        </w:rPr>
      </w:pPr>
    </w:p>
    <w:p w14:paraId="4E2967F0">
      <w:pPr>
        <w:ind w:firstLine="480"/>
        <w:rPr>
          <w:rFonts w:ascii="宋体" w:hAnsi="宋体"/>
          <w:szCs w:val="21"/>
        </w:rPr>
      </w:pPr>
      <w:r>
        <w:rPr>
          <w:rFonts w:hint="eastAsia" w:ascii="宋体" w:hAnsi="宋体"/>
          <w:szCs w:val="21"/>
        </w:rPr>
        <w:t>投标人名称：                   授权代表签字：                  日期：</w:t>
      </w:r>
    </w:p>
    <w:p w14:paraId="3B6B78E6">
      <w:pPr>
        <w:pStyle w:val="9"/>
        <w:spacing w:line="360" w:lineRule="auto"/>
        <w:jc w:val="center"/>
        <w:rPr>
          <w:rFonts w:hAnsi="宋体" w:cs="宋体"/>
          <w:b/>
          <w:bCs/>
          <w:color w:val="000000"/>
          <w:sz w:val="36"/>
          <w:szCs w:val="36"/>
        </w:rPr>
      </w:pPr>
    </w:p>
    <w:p w14:paraId="27C32CD1">
      <w:pPr>
        <w:pStyle w:val="9"/>
        <w:spacing w:line="360" w:lineRule="auto"/>
        <w:jc w:val="center"/>
        <w:rPr>
          <w:rFonts w:hAnsi="宋体" w:cs="宋体"/>
          <w:b/>
          <w:bCs/>
          <w:color w:val="000000"/>
          <w:sz w:val="36"/>
          <w:szCs w:val="36"/>
        </w:rPr>
      </w:pPr>
    </w:p>
    <w:p w14:paraId="2EB3AD63">
      <w:pPr>
        <w:pStyle w:val="9"/>
        <w:spacing w:line="360" w:lineRule="auto"/>
        <w:jc w:val="center"/>
        <w:rPr>
          <w:rFonts w:hAnsi="宋体" w:cs="宋体"/>
          <w:b/>
          <w:bCs/>
          <w:color w:val="000000"/>
          <w:sz w:val="36"/>
          <w:szCs w:val="36"/>
        </w:rPr>
      </w:pPr>
    </w:p>
    <w:p w14:paraId="139BCD6A">
      <w:pPr>
        <w:pStyle w:val="9"/>
        <w:spacing w:line="360" w:lineRule="auto"/>
        <w:jc w:val="center"/>
        <w:rPr>
          <w:rFonts w:hAnsi="宋体" w:cs="宋体"/>
          <w:b/>
          <w:bCs/>
          <w:color w:val="000000"/>
          <w:sz w:val="36"/>
          <w:szCs w:val="36"/>
        </w:rPr>
      </w:pPr>
    </w:p>
    <w:p w14:paraId="50483404">
      <w:pPr>
        <w:pStyle w:val="9"/>
        <w:spacing w:line="360" w:lineRule="auto"/>
        <w:jc w:val="center"/>
        <w:rPr>
          <w:rFonts w:hAnsi="宋体" w:cs="宋体"/>
          <w:b/>
          <w:bCs/>
          <w:color w:val="000000"/>
          <w:sz w:val="36"/>
          <w:szCs w:val="36"/>
        </w:rPr>
      </w:pPr>
    </w:p>
    <w:p w14:paraId="74ADE360">
      <w:pPr>
        <w:pStyle w:val="9"/>
        <w:spacing w:line="360" w:lineRule="auto"/>
        <w:jc w:val="center"/>
        <w:rPr>
          <w:rFonts w:hAnsi="宋体" w:cs="宋体"/>
          <w:b/>
          <w:bCs/>
          <w:color w:val="000000"/>
          <w:sz w:val="36"/>
          <w:szCs w:val="36"/>
        </w:rPr>
      </w:pPr>
    </w:p>
    <w:p w14:paraId="58D19165">
      <w:pPr>
        <w:pStyle w:val="9"/>
        <w:spacing w:line="360" w:lineRule="auto"/>
        <w:jc w:val="center"/>
        <w:rPr>
          <w:rFonts w:hAnsi="宋体" w:cs="宋体"/>
          <w:b/>
          <w:bCs/>
          <w:color w:val="000000"/>
          <w:sz w:val="36"/>
          <w:szCs w:val="36"/>
        </w:rPr>
      </w:pPr>
    </w:p>
    <w:p w14:paraId="4A2E11BE">
      <w:pPr>
        <w:pStyle w:val="9"/>
        <w:spacing w:line="360" w:lineRule="auto"/>
        <w:jc w:val="center"/>
        <w:rPr>
          <w:rFonts w:hAnsi="宋体" w:cs="宋体"/>
          <w:b/>
          <w:bCs/>
          <w:color w:val="000000"/>
          <w:sz w:val="36"/>
          <w:szCs w:val="36"/>
        </w:rPr>
      </w:pPr>
    </w:p>
    <w:p w14:paraId="0CA9A3F8">
      <w:pPr>
        <w:pStyle w:val="9"/>
        <w:spacing w:line="360" w:lineRule="auto"/>
        <w:jc w:val="center"/>
        <w:rPr>
          <w:rFonts w:hAnsi="宋体" w:cs="宋体"/>
          <w:b/>
          <w:bCs/>
          <w:color w:val="000000"/>
          <w:sz w:val="36"/>
          <w:szCs w:val="36"/>
        </w:rPr>
      </w:pPr>
    </w:p>
    <w:p w14:paraId="62046F4B">
      <w:pPr>
        <w:pStyle w:val="9"/>
        <w:spacing w:line="360" w:lineRule="auto"/>
        <w:jc w:val="center"/>
        <w:rPr>
          <w:rFonts w:hAnsi="宋体" w:cs="宋体"/>
          <w:b/>
          <w:bCs/>
          <w:color w:val="000000"/>
          <w:sz w:val="36"/>
          <w:szCs w:val="36"/>
        </w:rPr>
      </w:pPr>
    </w:p>
    <w:p w14:paraId="116B9C8E">
      <w:pPr>
        <w:pStyle w:val="9"/>
        <w:spacing w:line="360" w:lineRule="auto"/>
        <w:jc w:val="center"/>
        <w:rPr>
          <w:rFonts w:hAnsi="宋体" w:cs="宋体"/>
          <w:b/>
          <w:bCs/>
          <w:color w:val="000000"/>
          <w:sz w:val="36"/>
          <w:szCs w:val="36"/>
        </w:rPr>
      </w:pPr>
    </w:p>
    <w:p w14:paraId="6F1A96DB">
      <w:pPr>
        <w:pStyle w:val="9"/>
        <w:spacing w:line="360" w:lineRule="auto"/>
        <w:jc w:val="center"/>
        <w:rPr>
          <w:rFonts w:hAnsi="宋体" w:cs="宋体"/>
          <w:b/>
          <w:bCs/>
          <w:color w:val="000000"/>
          <w:sz w:val="36"/>
          <w:szCs w:val="36"/>
        </w:rPr>
      </w:pPr>
    </w:p>
    <w:p w14:paraId="1E184507">
      <w:pPr>
        <w:pStyle w:val="9"/>
        <w:spacing w:line="360" w:lineRule="auto"/>
        <w:jc w:val="center"/>
        <w:rPr>
          <w:rFonts w:hAnsi="宋体" w:cs="宋体"/>
          <w:b/>
          <w:bCs/>
          <w:color w:val="000000"/>
          <w:sz w:val="36"/>
          <w:szCs w:val="36"/>
        </w:rPr>
      </w:pPr>
    </w:p>
    <w:p w14:paraId="23BA61A2">
      <w:pPr>
        <w:pStyle w:val="9"/>
        <w:spacing w:line="360" w:lineRule="auto"/>
        <w:jc w:val="center"/>
        <w:rPr>
          <w:rFonts w:hAnsi="宋体" w:cs="宋体"/>
          <w:b/>
          <w:bCs/>
          <w:color w:val="000000"/>
          <w:sz w:val="36"/>
          <w:szCs w:val="36"/>
        </w:rPr>
      </w:pPr>
    </w:p>
    <w:p w14:paraId="11E982B1">
      <w:pPr>
        <w:pStyle w:val="9"/>
        <w:spacing w:line="360" w:lineRule="auto"/>
        <w:jc w:val="center"/>
        <w:rPr>
          <w:rFonts w:hAnsi="宋体" w:cs="宋体"/>
          <w:b/>
          <w:bCs/>
          <w:color w:val="000000"/>
          <w:sz w:val="36"/>
          <w:szCs w:val="36"/>
        </w:rPr>
      </w:pPr>
    </w:p>
    <w:p w14:paraId="13848188">
      <w:pPr>
        <w:pStyle w:val="9"/>
        <w:spacing w:line="360" w:lineRule="auto"/>
        <w:jc w:val="center"/>
        <w:rPr>
          <w:rFonts w:hAnsi="宋体" w:cs="宋体"/>
          <w:b/>
          <w:bCs/>
          <w:color w:val="000000"/>
          <w:sz w:val="36"/>
          <w:szCs w:val="36"/>
        </w:rPr>
      </w:pPr>
    </w:p>
    <w:p w14:paraId="297C2623">
      <w:pPr>
        <w:pStyle w:val="9"/>
        <w:spacing w:line="360" w:lineRule="auto"/>
        <w:jc w:val="center"/>
        <w:rPr>
          <w:rFonts w:hAnsi="宋体" w:cs="宋体"/>
          <w:b/>
          <w:bCs/>
          <w:color w:val="000000"/>
          <w:sz w:val="36"/>
          <w:szCs w:val="36"/>
        </w:rPr>
      </w:pPr>
    </w:p>
    <w:p w14:paraId="1D5FFAB6">
      <w:pPr>
        <w:pStyle w:val="35"/>
        <w:ind w:firstLine="0" w:firstLineChars="0"/>
      </w:pPr>
      <w:r>
        <w:rPr>
          <w:rFonts w:hint="eastAsia" w:cs="宋体"/>
        </w:rPr>
        <w:t>附件12</w:t>
      </w:r>
      <w:r>
        <w:rPr>
          <w:rFonts w:cs="宋体"/>
        </w:rPr>
        <w:t xml:space="preserve"> </w:t>
      </w:r>
      <w:r>
        <w:rPr>
          <w:rFonts w:hint="eastAsia" w:ascii="宋体" w:hAnsi="Courier New"/>
        </w:rPr>
        <w:t>中国重汽e采通“SRM非生产供应商注册手册</w:t>
      </w:r>
    </w:p>
    <w:p w14:paraId="4CD5EF0C">
      <w:pPr>
        <w:pStyle w:val="35"/>
        <w:ind w:firstLine="0" w:firstLineChars="0"/>
        <w:outlineLvl w:val="9"/>
        <w:rPr>
          <w:rFonts w:ascii="宋体" w:hAnsi="Courier New"/>
        </w:rPr>
      </w:pPr>
    </w:p>
    <w:p w14:paraId="52F387F8">
      <w:pPr>
        <w:pStyle w:val="35"/>
        <w:ind w:firstLine="0" w:firstLineChars="0"/>
        <w:outlineLvl w:val="3"/>
        <w:rPr>
          <w:rFonts w:ascii="宋体" w:hAnsi="Courier New"/>
        </w:rPr>
      </w:pPr>
      <w:r>
        <w:rPr>
          <w:rFonts w:hint="eastAsia" w:ascii="宋体" w:hAnsi="Courier New"/>
        </w:rPr>
        <w:t>1</w:t>
      </w:r>
      <w:r>
        <w:rPr>
          <w:rFonts w:hint="eastAsia" w:ascii="宋体" w:hAnsi="Courier New"/>
          <w:lang w:val="en-US" w:eastAsia="zh-CN"/>
        </w:rPr>
        <w:t>.</w:t>
      </w:r>
      <w:r>
        <w:rPr>
          <w:rFonts w:hint="eastAsia" w:ascii="宋体" w:hAnsi="Courier New"/>
        </w:rPr>
        <w:t>注册操作步骤</w:t>
      </w:r>
    </w:p>
    <w:p w14:paraId="2A2DD814">
      <w:r>
        <w:rPr>
          <w:rFonts w:ascii="宋体" w:hAnsi="宋体" w:eastAsia="宋体" w:cs="宋体"/>
          <w:color w:val="000000"/>
        </w:rPr>
        <w:t>浏览器中输入地址</w:t>
      </w:r>
      <w:r>
        <w:rPr>
          <w:rFonts w:ascii="Calibri" w:hAnsi="Calibri" w:eastAsia="Calibri" w:cs="Calibri"/>
          <w:color w:val="000000"/>
        </w:rPr>
        <w:t>;</w:t>
      </w:r>
    </w:p>
    <w:p w14:paraId="69B7DC53">
      <w:r>
        <w:fldChar w:fldCharType="begin"/>
      </w:r>
      <w:r>
        <w:instrText xml:space="preserve"> HYPERLINK "http://ecaitong.sinotruk.com:8012/" \l "/login" \t "dlt" </w:instrText>
      </w:r>
      <w:r>
        <w:fldChar w:fldCharType="separate"/>
      </w:r>
      <w:r>
        <w:rPr>
          <w:rStyle w:val="21"/>
        </w:rPr>
        <w:t>http</w:t>
      </w:r>
      <w:r>
        <w:rPr>
          <w:rStyle w:val="21"/>
          <w:rFonts w:hint="eastAsia"/>
        </w:rPr>
        <w:t>s</w:t>
      </w:r>
      <w:r>
        <w:rPr>
          <w:rStyle w:val="21"/>
        </w:rPr>
        <w:t>://ecaitong.sinotruk.com:8012/#/login</w:t>
      </w:r>
      <w:r>
        <w:rPr>
          <w:rStyle w:val="21"/>
        </w:rPr>
        <w:fldChar w:fldCharType="end"/>
      </w:r>
    </w:p>
    <w:p w14:paraId="63E4CD75">
      <w:r>
        <w:rPr>
          <w:rFonts w:ascii="Calibri" w:hAnsi="Calibri" w:eastAsia="Calibri" w:cs="Calibri"/>
          <w:color w:val="000000"/>
        </w:rPr>
        <w:t>1</w:t>
      </w:r>
      <w:r>
        <w:rPr>
          <w:rFonts w:hint="eastAsia" w:ascii="Calibri" w:hAnsi="Calibri" w:eastAsia="宋体" w:cs="Calibri"/>
          <w:color w:val="000000"/>
        </w:rPr>
        <w:t>）</w:t>
      </w:r>
      <w:r>
        <w:rPr>
          <w:rFonts w:ascii="宋体" w:hAnsi="宋体" w:eastAsia="宋体" w:cs="宋体"/>
          <w:color w:val="000000"/>
        </w:rPr>
        <w:t>点击立即注册</w:t>
      </w:r>
    </w:p>
    <w:p w14:paraId="74BFF1C2">
      <w:pPr>
        <w:snapToGrid w:val="0"/>
        <w:spacing w:line="312" w:lineRule="auto"/>
      </w:pPr>
      <w:r>
        <w:drawing>
          <wp:inline distT="0" distB="0" distL="0" distR="0">
            <wp:extent cx="5760085" cy="2933065"/>
            <wp:effectExtent l="0" t="0" r="5715" b="63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258E4291">
      <w:r>
        <w:rPr>
          <w:rFonts w:ascii="Calibri" w:hAnsi="Calibri" w:eastAsia="Calibri" w:cs="Calibri"/>
          <w:color w:val="000000"/>
        </w:rPr>
        <w:t>2</w:t>
      </w:r>
      <w:r>
        <w:rPr>
          <w:rFonts w:hint="eastAsia" w:ascii="Calibri" w:hAnsi="Calibri" w:eastAsia="宋体" w:cs="Calibri"/>
          <w:color w:val="000000"/>
        </w:rPr>
        <w:t>）</w:t>
      </w:r>
      <w:r>
        <w:rPr>
          <w:rFonts w:ascii="宋体" w:hAnsi="宋体" w:eastAsia="宋体" w:cs="宋体"/>
          <w:color w:val="000000"/>
        </w:rPr>
        <w:t>填写手机号码（没有注册过的）</w:t>
      </w:r>
    </w:p>
    <w:p w14:paraId="4F12AC05">
      <w:pPr>
        <w:snapToGrid w:val="0"/>
        <w:spacing w:line="312" w:lineRule="auto"/>
      </w:pPr>
      <w:r>
        <w:drawing>
          <wp:inline distT="0" distB="0" distL="0" distR="0">
            <wp:extent cx="5760085" cy="2766695"/>
            <wp:effectExtent l="0" t="0" r="5715" b="1905"/>
            <wp:docPr id="1" name="picture" descr="descript"/>
            <wp:cNvGraphicFramePr/>
            <a:graphic xmlns:a="http://schemas.openxmlformats.org/drawingml/2006/main">
              <a:graphicData uri="http://schemas.openxmlformats.org/drawingml/2006/picture">
                <pic:pic xmlns:pic="http://schemas.openxmlformats.org/drawingml/2006/picture">
                  <pic:nvPicPr>
                    <pic:cNvPr id="1"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4C9C02E9">
      <w:r>
        <w:rPr>
          <w:rFonts w:ascii="Calibri" w:hAnsi="Calibri" w:eastAsia="Calibri" w:cs="Calibri"/>
          <w:color w:val="000000"/>
        </w:rPr>
        <w:t>3</w:t>
      </w:r>
      <w:r>
        <w:rPr>
          <w:rFonts w:hint="eastAsia" w:ascii="Calibri" w:hAnsi="Calibri" w:eastAsia="宋体" w:cs="Calibri"/>
          <w:color w:val="000000"/>
        </w:rPr>
        <w:t>）</w:t>
      </w:r>
      <w:r>
        <w:rPr>
          <w:rFonts w:ascii="Calibri" w:hAnsi="Calibri" w:eastAsia="Calibri" w:cs="Calibri"/>
          <w:color w:val="000000"/>
        </w:rPr>
        <w:t xml:space="preserve"> </w:t>
      </w:r>
      <w:r>
        <w:rPr>
          <w:rFonts w:ascii="宋体" w:hAnsi="宋体" w:eastAsia="宋体" w:cs="宋体"/>
          <w:color w:val="000000"/>
        </w:rPr>
        <w:t>注册成功登录这个手机号码的账号进入系统，点击供应商注册</w:t>
      </w:r>
    </w:p>
    <w:p w14:paraId="408960F8">
      <w:pPr>
        <w:snapToGrid w:val="0"/>
        <w:spacing w:line="312" w:lineRule="auto"/>
      </w:pPr>
      <w:r>
        <w:drawing>
          <wp:inline distT="0" distB="0" distL="0" distR="0">
            <wp:extent cx="5760085" cy="2869565"/>
            <wp:effectExtent l="0" t="0" r="5715" b="635"/>
            <wp:docPr id="10" name="picture" descr="descript"/>
            <wp:cNvGraphicFramePr/>
            <a:graphic xmlns:a="http://schemas.openxmlformats.org/drawingml/2006/main">
              <a:graphicData uri="http://schemas.openxmlformats.org/drawingml/2006/picture">
                <pic:pic xmlns:pic="http://schemas.openxmlformats.org/drawingml/2006/picture">
                  <pic:nvPicPr>
                    <pic:cNvPr id="10"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4167F36A">
      <w:r>
        <w:rPr>
          <w:rFonts w:ascii="Calibri" w:hAnsi="Calibri" w:eastAsia="Calibri" w:cs="Calibri"/>
          <w:color w:val="000000"/>
        </w:rPr>
        <w:t>4</w:t>
      </w:r>
      <w:r>
        <w:rPr>
          <w:rFonts w:hint="eastAsia" w:ascii="Calibri" w:hAnsi="Calibri" w:eastAsia="宋体" w:cs="Calibri"/>
          <w:color w:val="000000"/>
        </w:rPr>
        <w:t>）</w:t>
      </w:r>
      <w:r>
        <w:rPr>
          <w:rFonts w:ascii="宋体" w:hAnsi="宋体" w:eastAsia="宋体" w:cs="宋体"/>
          <w:color w:val="000000"/>
        </w:rPr>
        <w:t>点击新增</w:t>
      </w:r>
    </w:p>
    <w:p w14:paraId="7647546E">
      <w:pPr>
        <w:snapToGrid w:val="0"/>
        <w:spacing w:line="312" w:lineRule="auto"/>
      </w:pPr>
      <w:r>
        <w:drawing>
          <wp:inline distT="0" distB="0" distL="0" distR="0">
            <wp:extent cx="5760085" cy="2853055"/>
            <wp:effectExtent l="0" t="0" r="5715" b="4445"/>
            <wp:docPr id="13" name="picture" descr="descript"/>
            <wp:cNvGraphicFramePr/>
            <a:graphic xmlns:a="http://schemas.openxmlformats.org/drawingml/2006/main">
              <a:graphicData uri="http://schemas.openxmlformats.org/drawingml/2006/picture">
                <pic:pic xmlns:pic="http://schemas.openxmlformats.org/drawingml/2006/picture">
                  <pic:nvPicPr>
                    <pic:cNvPr id="13"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5F2DC85B">
      <w:pPr>
        <w:numPr>
          <w:ilvl w:val="0"/>
          <w:numId w:val="28"/>
        </w:numPr>
        <w:rPr>
          <w:rFonts w:ascii="宋体" w:hAnsi="宋体" w:eastAsia="宋体" w:cs="宋体"/>
          <w:color w:val="000000"/>
        </w:rPr>
      </w:pPr>
      <w:r>
        <w:rPr>
          <w:rFonts w:ascii="宋体" w:hAnsi="宋体" w:eastAsia="宋体" w:cs="宋体"/>
          <w:color w:val="000000"/>
        </w:rPr>
        <w:t>按要求填写所有信息，最后提交审批</w:t>
      </w:r>
      <w:bookmarkStart w:id="40" w:name="_GoBack"/>
      <w:bookmarkEnd w:id="40"/>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w:t>
      </w:r>
      <w:r>
        <w:rPr>
          <w:rFonts w:hint="eastAsia" w:ascii="宋体" w:hAnsi="Courier New" w:eastAsia="宋体" w:cs="Times New Roman"/>
          <w:b/>
          <w:bCs/>
          <w:kern w:val="2"/>
          <w:sz w:val="21"/>
          <w:lang w:val="en-US" w:eastAsia="zh-CN" w:bidi="ar-SA"/>
        </w:rPr>
        <w:t>“项目名称”和“采购形式编号”见第一部分的“项目介绍”；</w:t>
      </w:r>
    </w:p>
    <w:p w14:paraId="68EA43FC">
      <w:pPr>
        <w:pStyle w:val="9"/>
        <w:bidi w:val="0"/>
        <w:rPr>
          <w:rFonts w:ascii="宋体" w:hAnsi="宋体" w:eastAsia="宋体" w:cs="宋体"/>
          <w:color w:val="000000"/>
        </w:rPr>
      </w:pPr>
      <w:r>
        <w:rPr>
          <w:rFonts w:hint="eastAsia"/>
          <w:b/>
          <w:bCs/>
        </w:rPr>
        <w:t>2.配套能力“</w:t>
      </w:r>
      <w:r>
        <w:rPr>
          <w:rFonts w:hint="eastAsia"/>
          <w:b/>
          <w:bCs/>
          <w:lang w:val="en-US" w:eastAsia="zh-CN"/>
        </w:rPr>
        <w:t>意向合作单位</w:t>
      </w:r>
      <w:r>
        <w:rPr>
          <w:rFonts w:hint="eastAsia"/>
          <w:b/>
          <w:bCs/>
        </w:rPr>
        <w:t>”填“直管单位</w:t>
      </w:r>
      <w:r>
        <w:rPr>
          <w:rFonts w:hint="eastAsia"/>
          <w:b/>
          <w:bCs/>
          <w:lang w:eastAsia="zh-CN"/>
        </w:rPr>
        <w:t>”；</w:t>
      </w:r>
      <w:r>
        <w:rPr>
          <w:rFonts w:hint="eastAsia"/>
          <w:b/>
          <w:bCs/>
        </w:rPr>
        <w:t>“供货类别”</w:t>
      </w:r>
      <w:r>
        <w:rPr>
          <w:rFonts w:hint="eastAsia"/>
          <w:b/>
          <w:bCs/>
          <w:lang w:val="en-US" w:eastAsia="zh-CN"/>
        </w:rPr>
        <w:t>填“</w:t>
      </w:r>
      <w:r>
        <w:rPr>
          <w:rFonts w:hint="eastAsia"/>
          <w:b/>
          <w:bCs/>
        </w:rPr>
        <w:t>非生产招</w:t>
      </w:r>
      <w:r>
        <w:rPr>
          <w:rFonts w:hint="eastAsia"/>
          <w:b/>
          <w:bCs/>
          <w:highlight w:val="none"/>
        </w:rPr>
        <w:t>标 / 信息化 / 软件</w:t>
      </w:r>
      <w:r>
        <w:rPr>
          <w:rFonts w:hint="eastAsia"/>
          <w:b/>
          <w:bCs/>
        </w:rPr>
        <w:t>”</w:t>
      </w:r>
      <w:r>
        <w:rPr>
          <w:rFonts w:hint="eastAsia"/>
          <w:b/>
          <w:bCs/>
          <w:lang w:eastAsia="zh-CN"/>
        </w:rPr>
        <w:t>。</w:t>
      </w:r>
    </w:p>
    <w:p w14:paraId="2379A850">
      <w:pPr>
        <w:widowControl/>
        <w:spacing w:line="480" w:lineRule="exact"/>
      </w:pPr>
      <w:r>
        <w:drawing>
          <wp:inline distT="0" distB="0" distL="0" distR="0">
            <wp:extent cx="5760085" cy="2809875"/>
            <wp:effectExtent l="0" t="0" r="5715" b="9525"/>
            <wp:docPr id="14" name="picture" descr="descript"/>
            <wp:cNvGraphicFramePr/>
            <a:graphic xmlns:a="http://schemas.openxmlformats.org/drawingml/2006/main">
              <a:graphicData uri="http://schemas.openxmlformats.org/drawingml/2006/picture">
                <pic:pic xmlns:pic="http://schemas.openxmlformats.org/drawingml/2006/picture">
                  <pic:nvPicPr>
                    <pic:cNvPr id="14"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2DBF5F05">
      <w:pPr>
        <w:widowControl/>
        <w:spacing w:line="480" w:lineRule="exact"/>
        <w:ind w:firstLine="560"/>
        <w:rPr>
          <w:rFonts w:ascii="仿宋" w:hAnsi="仿宋" w:eastAsia="仿宋" w:cs="仿宋"/>
          <w:sz w:val="28"/>
          <w:szCs w:val="28"/>
          <w:lang w:bidi="ar"/>
        </w:rPr>
      </w:pPr>
      <w:r>
        <w:rPr>
          <w:rFonts w:hint="eastAsia" w:ascii="仿宋" w:hAnsi="仿宋" w:eastAsia="仿宋" w:cs="仿宋"/>
          <w:sz w:val="28"/>
          <w:szCs w:val="28"/>
          <w:lang w:bidi="ar"/>
        </w:rPr>
        <w:t>系统网址：</w:t>
      </w:r>
      <w:r>
        <w:fldChar w:fldCharType="begin"/>
      </w:r>
      <w:r>
        <w:instrText xml:space="preserve"> HYPERLINK "http://ecaitong.sinotruk.com:8012/" </w:instrText>
      </w:r>
      <w:r>
        <w:fldChar w:fldCharType="separate"/>
      </w:r>
      <w:r>
        <w:rPr>
          <w:rFonts w:ascii="仿宋" w:hAnsi="仿宋" w:eastAsia="仿宋" w:cs="仿宋"/>
          <w:sz w:val="28"/>
          <w:szCs w:val="28"/>
          <w:lang w:bidi="ar"/>
        </w:rPr>
        <w:t>http://ecaitong.sinotruk.com:8012/</w:t>
      </w:r>
      <w:r>
        <w:rPr>
          <w:rFonts w:ascii="仿宋" w:hAnsi="仿宋" w:eastAsia="仿宋" w:cs="仿宋"/>
          <w:sz w:val="28"/>
          <w:szCs w:val="28"/>
          <w:lang w:bidi="ar"/>
        </w:rPr>
        <w:fldChar w:fldCharType="end"/>
      </w:r>
    </w:p>
    <w:p w14:paraId="1D9501BA">
      <w:pPr>
        <w:widowControl/>
        <w:spacing w:line="480" w:lineRule="exact"/>
        <w:ind w:firstLine="560"/>
        <w:rPr>
          <w:rFonts w:ascii="仿宋" w:hAnsi="仿宋" w:eastAsia="仿宋" w:cs="仿宋"/>
          <w:sz w:val="28"/>
          <w:szCs w:val="28"/>
          <w:lang w:bidi="ar"/>
        </w:rPr>
      </w:pPr>
      <w:r>
        <w:rPr>
          <w:rFonts w:hint="eastAsia" w:ascii="仿宋" w:hAnsi="仿宋" w:eastAsia="仿宋" w:cs="仿宋"/>
          <w:sz w:val="28"/>
          <w:szCs w:val="28"/>
          <w:lang w:bidi="ar"/>
        </w:rPr>
        <w:t>用 户 名：g</w:t>
      </w:r>
      <w:r>
        <w:rPr>
          <w:rFonts w:ascii="仿宋" w:hAnsi="仿宋" w:eastAsia="仿宋" w:cs="仿宋"/>
          <w:sz w:val="28"/>
          <w:szCs w:val="28"/>
          <w:lang w:bidi="ar"/>
        </w:rPr>
        <w:t>ys+</w:t>
      </w:r>
      <w:r>
        <w:rPr>
          <w:rFonts w:hint="eastAsia" w:ascii="仿宋" w:hAnsi="仿宋" w:eastAsia="仿宋" w:cs="仿宋"/>
          <w:sz w:val="28"/>
          <w:szCs w:val="28"/>
          <w:lang w:bidi="ar"/>
        </w:rPr>
        <w:t>供应商代码</w:t>
      </w:r>
    </w:p>
    <w:p w14:paraId="3ABBDFE0">
      <w:pPr>
        <w:widowControl/>
        <w:spacing w:line="480" w:lineRule="exact"/>
        <w:ind w:firstLine="560"/>
        <w:rPr>
          <w:rFonts w:ascii="仿宋" w:hAnsi="仿宋" w:eastAsia="仿宋" w:cs="仿宋"/>
          <w:sz w:val="28"/>
          <w:szCs w:val="28"/>
          <w:lang w:bidi="ar"/>
        </w:rPr>
      </w:pPr>
      <w:r>
        <w:rPr>
          <w:rFonts w:hint="eastAsia" w:ascii="仿宋" w:hAnsi="仿宋" w:eastAsia="仿宋" w:cs="仿宋"/>
          <w:sz w:val="28"/>
          <w:szCs w:val="28"/>
          <w:lang w:bidi="ar"/>
        </w:rPr>
        <w:t>初始密码：scm</w:t>
      </w:r>
      <w:r>
        <w:rPr>
          <w:rFonts w:ascii="仿宋" w:hAnsi="仿宋" w:eastAsia="仿宋" w:cs="仿宋"/>
          <w:sz w:val="28"/>
          <w:szCs w:val="28"/>
          <w:lang w:bidi="ar"/>
        </w:rPr>
        <w:t>@202</w:t>
      </w:r>
      <w:r>
        <w:rPr>
          <w:rFonts w:hint="eastAsia" w:ascii="仿宋" w:hAnsi="仿宋" w:eastAsia="仿宋" w:cs="仿宋"/>
          <w:sz w:val="28"/>
          <w:szCs w:val="28"/>
          <w:lang w:bidi="ar"/>
        </w:rPr>
        <w:t>2</w:t>
      </w:r>
    </w:p>
    <w:p w14:paraId="7E52DFFB">
      <w:pPr>
        <w:pStyle w:val="5"/>
      </w:pPr>
      <w:bookmarkStart w:id="26" w:name="_Toc77693130"/>
      <w:bookmarkEnd w:id="26"/>
      <w:bookmarkStart w:id="27" w:name="_Toc111214275"/>
      <w:bookmarkEnd w:id="27"/>
      <w:bookmarkStart w:id="28" w:name="_Toc77336609"/>
      <w:bookmarkEnd w:id="28"/>
      <w:bookmarkStart w:id="29" w:name="_Toc77754138"/>
      <w:bookmarkEnd w:id="29"/>
      <w:bookmarkStart w:id="30" w:name="_Toc77754747"/>
      <w:bookmarkEnd w:id="30"/>
      <w:bookmarkStart w:id="31" w:name="_Toc77952823"/>
      <w:bookmarkEnd w:id="31"/>
      <w:bookmarkStart w:id="32" w:name="_Toc522005584"/>
      <w:bookmarkEnd w:id="32"/>
      <w:bookmarkStart w:id="33" w:name="_Toc77337624"/>
      <w:bookmarkEnd w:id="33"/>
      <w:bookmarkStart w:id="34" w:name="_Toc77336402"/>
      <w:bookmarkEnd w:id="34"/>
      <w:bookmarkStart w:id="35" w:name="_Toc77336328"/>
      <w:bookmarkEnd w:id="35"/>
      <w:bookmarkStart w:id="36" w:name="_Toc77752841"/>
      <w:bookmarkEnd w:id="36"/>
      <w:bookmarkStart w:id="37" w:name="_Toc77337714"/>
      <w:bookmarkEnd w:id="37"/>
      <w:bookmarkStart w:id="38" w:name="_Toc521919763"/>
      <w:bookmarkEnd w:id="38"/>
      <w:r>
        <w:rPr>
          <w:rFonts w:hint="eastAsia"/>
        </w:rPr>
        <w:t>2.供应商应标</w:t>
      </w:r>
    </w:p>
    <w:p w14:paraId="69F4A70F">
      <w:r>
        <w:rPr>
          <w:rFonts w:hint="eastAsia"/>
        </w:rPr>
        <w:t>路径：招投标中心-非生产类招投标-供应商应标</w:t>
      </w:r>
    </w:p>
    <w:p w14:paraId="601AEEE9">
      <w:r>
        <w:rPr>
          <w:rFonts w:hint="eastAsia"/>
        </w:rPr>
        <w:t>点击应标，上传文件之后点击提交。</w:t>
      </w:r>
    </w:p>
    <w:p w14:paraId="12B2B4B2">
      <w:r>
        <w:drawing>
          <wp:inline distT="0" distB="0" distL="114300" distR="114300">
            <wp:extent cx="5269865" cy="2077720"/>
            <wp:effectExtent l="0" t="0" r="635"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stretch>
                      <a:fillRect/>
                    </a:stretch>
                  </pic:blipFill>
                  <pic:spPr>
                    <a:xfrm>
                      <a:off x="0" y="0"/>
                      <a:ext cx="5269865" cy="2077720"/>
                    </a:xfrm>
                    <a:prstGeom prst="rect">
                      <a:avLst/>
                    </a:prstGeom>
                    <a:noFill/>
                    <a:ln>
                      <a:noFill/>
                    </a:ln>
                  </pic:spPr>
                </pic:pic>
              </a:graphicData>
            </a:graphic>
          </wp:inline>
        </w:drawing>
      </w:r>
    </w:p>
    <w:p w14:paraId="1992E38E">
      <w:pPr>
        <w:rPr>
          <w:color w:val="FF0000"/>
          <w:sz w:val="24"/>
          <w:szCs w:val="24"/>
        </w:rPr>
      </w:pPr>
      <w:r>
        <w:rPr>
          <w:rFonts w:hint="eastAsia"/>
          <w:color w:val="FF0000"/>
          <w:sz w:val="24"/>
          <w:szCs w:val="24"/>
        </w:rPr>
        <w:t>注意：此处如果出现“请到供应商基本信息界面，编辑补充提供财务数据再参与招投标！”提示，则说明供应商基本信息缺失财务数据，重汽财务部门和采购中心要求必须提供财务数据才可以参与招标，补充信息请到供应商中心——供应商基本信息——编辑，进入信息填写界面，选择《是否上市公司？》《是否提供？一般是提供》，此处如果选择“否”系统则允许不提供财务数据的情况下参与应标，但是必须要先和采购中心联系。按要求填写财务数据，全部信息补充完整之后提交，提交成功后才可以参与招标。截图路径如下</w:t>
      </w:r>
    </w:p>
    <w:p w14:paraId="1841F3D7">
      <w:r>
        <w:drawing>
          <wp:inline distT="0" distB="0" distL="114300" distR="114300">
            <wp:extent cx="4180840" cy="1755775"/>
            <wp:effectExtent l="0" t="0" r="10160" b="952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17"/>
                    <a:stretch>
                      <a:fillRect/>
                    </a:stretch>
                  </pic:blipFill>
                  <pic:spPr>
                    <a:xfrm>
                      <a:off x="0" y="0"/>
                      <a:ext cx="4180840" cy="1755775"/>
                    </a:xfrm>
                    <a:prstGeom prst="rect">
                      <a:avLst/>
                    </a:prstGeom>
                    <a:noFill/>
                    <a:ln>
                      <a:noFill/>
                    </a:ln>
                  </pic:spPr>
                </pic:pic>
              </a:graphicData>
            </a:graphic>
          </wp:inline>
        </w:drawing>
      </w:r>
    </w:p>
    <w:p w14:paraId="1E0C56BC">
      <w:r>
        <w:drawing>
          <wp:inline distT="0" distB="0" distL="114300" distR="114300">
            <wp:extent cx="4187825" cy="1825625"/>
            <wp:effectExtent l="0" t="0" r="3175" b="3175"/>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18"/>
                    <a:stretch>
                      <a:fillRect/>
                    </a:stretch>
                  </pic:blipFill>
                  <pic:spPr>
                    <a:xfrm>
                      <a:off x="0" y="0"/>
                      <a:ext cx="4187825" cy="1825625"/>
                    </a:xfrm>
                    <a:prstGeom prst="rect">
                      <a:avLst/>
                    </a:prstGeom>
                    <a:noFill/>
                    <a:ln>
                      <a:noFill/>
                    </a:ln>
                  </pic:spPr>
                </pic:pic>
              </a:graphicData>
            </a:graphic>
          </wp:inline>
        </w:drawing>
      </w:r>
    </w:p>
    <w:p w14:paraId="3B9A148C">
      <w:pPr>
        <w:pStyle w:val="5"/>
      </w:pPr>
      <w:r>
        <w:rPr>
          <w:rFonts w:hint="eastAsia"/>
        </w:rPr>
        <w:t>3.供应商投标</w:t>
      </w:r>
    </w:p>
    <w:p w14:paraId="129B518E">
      <w:r>
        <w:t>路径：招投标中心-非生产类招投标-</w:t>
      </w:r>
      <w:r>
        <w:rPr>
          <w:rFonts w:hint="eastAsia"/>
        </w:rPr>
        <w:t>供应商投标</w:t>
      </w:r>
    </w:p>
    <w:p w14:paraId="1E8A519A">
      <w:r>
        <w:drawing>
          <wp:inline distT="0" distB="0" distL="114300" distR="114300">
            <wp:extent cx="5724525" cy="1704975"/>
            <wp:effectExtent l="0" t="0" r="3175" b="952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9"/>
                    <a:srcRect r="453" b="19514"/>
                    <a:stretch>
                      <a:fillRect/>
                    </a:stretch>
                  </pic:blipFill>
                  <pic:spPr>
                    <a:xfrm>
                      <a:off x="0" y="0"/>
                      <a:ext cx="5724525" cy="1704975"/>
                    </a:xfrm>
                    <a:prstGeom prst="rect">
                      <a:avLst/>
                    </a:prstGeom>
                    <a:noFill/>
                    <a:ln>
                      <a:noFill/>
                    </a:ln>
                  </pic:spPr>
                </pic:pic>
              </a:graphicData>
            </a:graphic>
          </wp:inline>
        </w:drawing>
      </w:r>
    </w:p>
    <w:p w14:paraId="49C68FD7">
      <w:r>
        <w:rPr>
          <w:rFonts w:hint="eastAsia"/>
        </w:rPr>
        <w:t>点击投标按钮，进入详情页，输入投标报价并上传相应的附件。</w:t>
      </w:r>
    </w:p>
    <w:p w14:paraId="1A636EB2">
      <w:pPr>
        <w:rPr>
          <w:b/>
          <w:bCs/>
        </w:rPr>
      </w:pPr>
      <w:r>
        <w:rPr>
          <w:rFonts w:hint="eastAsia"/>
          <w:b/>
          <w:bCs/>
        </w:rPr>
        <w:t>请注意，投标报价单位为万元含税</w:t>
      </w:r>
    </w:p>
    <w:p w14:paraId="5AAD5A59">
      <w:r>
        <w:drawing>
          <wp:inline distT="0" distB="0" distL="114300" distR="114300">
            <wp:extent cx="5530215" cy="2689225"/>
            <wp:effectExtent l="0" t="0" r="6985" b="317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20"/>
                    <a:stretch>
                      <a:fillRect/>
                    </a:stretch>
                  </pic:blipFill>
                  <pic:spPr>
                    <a:xfrm>
                      <a:off x="0" y="0"/>
                      <a:ext cx="5530215" cy="2689225"/>
                    </a:xfrm>
                    <a:prstGeom prst="rect">
                      <a:avLst/>
                    </a:prstGeom>
                    <a:noFill/>
                    <a:ln>
                      <a:noFill/>
                    </a:ln>
                  </pic:spPr>
                </pic:pic>
              </a:graphicData>
            </a:graphic>
          </wp:inline>
        </w:drawing>
      </w:r>
    </w:p>
    <w:p w14:paraId="3B27C8A0">
      <w:pPr>
        <w:pStyle w:val="5"/>
      </w:pPr>
      <w:bookmarkStart w:id="39" w:name="_Hlk128316797"/>
      <w:r>
        <w:rPr>
          <w:rFonts w:hint="eastAsia"/>
        </w:rPr>
        <w:t>4.供应商技术标澄清函</w:t>
      </w:r>
    </w:p>
    <w:p w14:paraId="50AA5EDC">
      <w:r>
        <w:t>路径：招投标中心-非生产类招投标-</w:t>
      </w:r>
      <w:r>
        <w:rPr>
          <w:rFonts w:hint="eastAsia"/>
        </w:rPr>
        <w:t>供应商技术标澄清函</w:t>
      </w:r>
    </w:p>
    <w:p w14:paraId="1A175EE7">
      <w:r>
        <w:rPr>
          <w:rFonts w:hint="eastAsia"/>
        </w:rPr>
        <w:t>点击编辑按钮进入系统，技术标澄清函。</w:t>
      </w:r>
    </w:p>
    <w:p w14:paraId="2FEE93FC">
      <w:r>
        <w:rPr>
          <w:rFonts w:hint="eastAsia"/>
        </w:rPr>
        <w:t>开标之后所有投标的供应商都可编辑提交，技术标入围之后 都不可编辑</w:t>
      </w:r>
    </w:p>
    <w:p w14:paraId="782B24D4">
      <w:r>
        <w:drawing>
          <wp:inline distT="0" distB="0" distL="0" distR="0">
            <wp:extent cx="5442585" cy="2522855"/>
            <wp:effectExtent l="0" t="0" r="5715" b="4445"/>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21"/>
                    <a:stretch>
                      <a:fillRect/>
                    </a:stretch>
                  </pic:blipFill>
                  <pic:spPr>
                    <a:xfrm>
                      <a:off x="0" y="0"/>
                      <a:ext cx="5442585" cy="2522855"/>
                    </a:xfrm>
                    <a:prstGeom prst="rect">
                      <a:avLst/>
                    </a:prstGeom>
                  </pic:spPr>
                </pic:pic>
              </a:graphicData>
            </a:graphic>
          </wp:inline>
        </w:drawing>
      </w:r>
    </w:p>
    <w:p w14:paraId="74677273"/>
    <w:bookmarkEnd w:id="39"/>
    <w:p w14:paraId="68FD65E6">
      <w:pPr>
        <w:pStyle w:val="5"/>
      </w:pPr>
      <w:r>
        <w:rPr>
          <w:rFonts w:hint="eastAsia"/>
        </w:rPr>
        <w:t>5.供应商报价</w:t>
      </w:r>
    </w:p>
    <w:p w14:paraId="2FFAC581">
      <w:r>
        <w:t>路径：招投标中心-非生产类招投标-</w:t>
      </w:r>
      <w:r>
        <w:rPr>
          <w:rFonts w:hint="eastAsia"/>
        </w:rPr>
        <w:t>供应商报价</w:t>
      </w:r>
    </w:p>
    <w:p w14:paraId="5572B2B4">
      <w:r>
        <w:rPr>
          <w:rFonts w:hint="eastAsia"/>
        </w:rPr>
        <w:t>点击报价按钮进入报价详情界面，请在此轮报价起止时间内报价并输入澄清函，否则无法报价。</w:t>
      </w:r>
    </w:p>
    <w:p w14:paraId="79DF5C18">
      <w:pPr>
        <w:rPr>
          <w:b/>
          <w:bCs/>
        </w:rPr>
      </w:pPr>
      <w:r>
        <w:rPr>
          <w:rFonts w:hint="eastAsia"/>
          <w:b/>
          <w:bCs/>
        </w:rPr>
        <w:t>请注意，报价单位为万元含税</w:t>
      </w:r>
    </w:p>
    <w:p w14:paraId="3A68669C">
      <w:pPr>
        <w:rPr>
          <w:b/>
          <w:bCs/>
        </w:rPr>
      </w:pPr>
    </w:p>
    <w:p w14:paraId="551F1E65">
      <w:pPr>
        <w:rPr>
          <w:b/>
          <w:bCs/>
        </w:rPr>
      </w:pPr>
      <w:r>
        <w:drawing>
          <wp:inline distT="0" distB="0" distL="0" distR="0">
            <wp:extent cx="5569585" cy="2839720"/>
            <wp:effectExtent l="0" t="0" r="5715" b="5080"/>
            <wp:docPr id="1001516908" name="图片 1"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6908" name="图片 1" descr="图形用户界面, 文本&#10;&#10;描述已自动生成"/>
                    <pic:cNvPicPr>
                      <a:picLocks noChangeAspect="1"/>
                    </pic:cNvPicPr>
                  </pic:nvPicPr>
                  <pic:blipFill>
                    <a:blip r:embed="rId22"/>
                    <a:stretch>
                      <a:fillRect/>
                    </a:stretch>
                  </pic:blipFill>
                  <pic:spPr>
                    <a:xfrm>
                      <a:off x="0" y="0"/>
                      <a:ext cx="5569585" cy="2839720"/>
                    </a:xfrm>
                    <a:prstGeom prst="rect">
                      <a:avLst/>
                    </a:prstGeom>
                  </pic:spPr>
                </pic:pic>
              </a:graphicData>
            </a:graphic>
          </wp:inline>
        </w:drawing>
      </w:r>
    </w:p>
    <w:p w14:paraId="4244D89E">
      <w:pPr>
        <w:pStyle w:val="5"/>
      </w:pPr>
      <w:r>
        <w:rPr>
          <w:rFonts w:hint="eastAsia"/>
        </w:rPr>
        <w:t>6.供应商澄清报价</w:t>
      </w:r>
    </w:p>
    <w:p w14:paraId="5C22D9EA">
      <w:r>
        <w:t>路径：招投标中心-非生产类招投标-</w:t>
      </w:r>
      <w:r>
        <w:rPr>
          <w:rFonts w:hint="eastAsia"/>
        </w:rPr>
        <w:t>供应商澄清报价</w:t>
      </w:r>
    </w:p>
    <w:p w14:paraId="0329B9CA"/>
    <w:p w14:paraId="66BD6F40">
      <w:r>
        <w:rPr>
          <w:rFonts w:hint="eastAsia"/>
        </w:rPr>
        <w:t>招标发起人接收建议价的同时会给供应商发送澄清报价，供应商在此界面进行澄清报价，点击编辑按钮进入澄清报价详细界面，输入价格并上传澄清函，之后点击提交。</w:t>
      </w:r>
    </w:p>
    <w:p w14:paraId="1DDE8946">
      <w:r>
        <w:drawing>
          <wp:inline distT="0" distB="0" distL="0" distR="0">
            <wp:extent cx="5759450" cy="2671445"/>
            <wp:effectExtent l="0" t="0" r="6350" b="8255"/>
            <wp:docPr id="36" name="图片 3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形用户界面, 文本, 应用程序, 电子邮件&#10;&#10;描述已自动生成"/>
                    <pic:cNvPicPr>
                      <a:picLocks noChangeAspect="1"/>
                    </pic:cNvPicPr>
                  </pic:nvPicPr>
                  <pic:blipFill>
                    <a:blip r:embed="rId23"/>
                    <a:stretch>
                      <a:fillRect/>
                    </a:stretch>
                  </pic:blipFill>
                  <pic:spPr>
                    <a:xfrm>
                      <a:off x="0" y="0"/>
                      <a:ext cx="5759450" cy="2671445"/>
                    </a:xfrm>
                    <a:prstGeom prst="rect">
                      <a:avLst/>
                    </a:prstGeom>
                  </pic:spPr>
                </pic:pic>
              </a:graphicData>
            </a:graphic>
          </wp:inline>
        </w:drawing>
      </w:r>
    </w:p>
    <w:p w14:paraId="15346138">
      <w:pPr>
        <w:pStyle w:val="5"/>
      </w:pPr>
      <w:r>
        <w:rPr>
          <w:rFonts w:hint="eastAsia"/>
        </w:rPr>
        <w:t>7.供应商查看中标通知</w:t>
      </w:r>
    </w:p>
    <w:p w14:paraId="1E0237F0">
      <w:r>
        <w:t>路径：招投标中心-非生产类招投标-</w:t>
      </w:r>
      <w:r>
        <w:rPr>
          <w:rFonts w:hint="eastAsia"/>
        </w:rPr>
        <w:t>中标项目</w:t>
      </w:r>
    </w:p>
    <w:p w14:paraId="5C85323C">
      <w:r>
        <w:rPr>
          <w:rFonts w:hint="eastAsia"/>
        </w:rPr>
        <w:t>点击查看进入查看中标项目详情</w:t>
      </w:r>
    </w:p>
    <w:p w14:paraId="2ADC577F">
      <w:r>
        <w:drawing>
          <wp:inline distT="0" distB="0" distL="0" distR="0">
            <wp:extent cx="5716905" cy="1765300"/>
            <wp:effectExtent l="0" t="0" r="10795" b="0"/>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24"/>
                    <a:srcRect r="739" b="25389"/>
                    <a:stretch>
                      <a:fillRect/>
                    </a:stretch>
                  </pic:blipFill>
                  <pic:spPr>
                    <a:xfrm>
                      <a:off x="0" y="0"/>
                      <a:ext cx="5716905" cy="1765300"/>
                    </a:xfrm>
                    <a:prstGeom prst="rect">
                      <a:avLst/>
                    </a:prstGeom>
                  </pic:spPr>
                </pic:pic>
              </a:graphicData>
            </a:graphic>
          </wp:inline>
        </w:drawing>
      </w:r>
    </w:p>
    <w:p w14:paraId="034DA054">
      <w:r>
        <w:drawing>
          <wp:inline distT="0" distB="0" distL="0" distR="0">
            <wp:extent cx="5759450" cy="2494915"/>
            <wp:effectExtent l="0" t="0" r="6350" b="6985"/>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25"/>
                    <a:stretch>
                      <a:fillRect/>
                    </a:stretch>
                  </pic:blipFill>
                  <pic:spPr>
                    <a:xfrm>
                      <a:off x="0" y="0"/>
                      <a:ext cx="5759450" cy="2494915"/>
                    </a:xfrm>
                    <a:prstGeom prst="rect">
                      <a:avLst/>
                    </a:prstGeom>
                  </pic:spPr>
                </pic:pic>
              </a:graphicData>
            </a:graphic>
          </wp:inline>
        </w:drawing>
      </w:r>
    </w:p>
    <w:p w14:paraId="7920E674">
      <w:r>
        <w:rPr>
          <w:rFonts w:hint="eastAsia"/>
        </w:rPr>
        <w:t>点击查看按钮查看中标通知，点击发送按钮给项目负责人发送回执，发送回执之后回执发送状态变为已发送。</w:t>
      </w:r>
    </w:p>
    <w:p w14:paraId="454AA2FF">
      <w:pPr>
        <w:pStyle w:val="5"/>
      </w:pPr>
      <w:r>
        <w:rPr>
          <w:rFonts w:hint="eastAsia"/>
        </w:rPr>
        <w:t>8.评标纪律</w:t>
      </w:r>
    </w:p>
    <w:p w14:paraId="5BA87BEB">
      <w:r>
        <w:t>路径：招投标中心-非生产类招投标-</w:t>
      </w:r>
      <w:r>
        <w:rPr>
          <w:rFonts w:hint="eastAsia"/>
        </w:rPr>
        <w:t>供应商投标</w:t>
      </w:r>
    </w:p>
    <w:p w14:paraId="5A629559">
      <w:r>
        <w:rPr>
          <w:rFonts w:hint="eastAsia"/>
        </w:rPr>
        <w:t>供应商投标时会弹窗展示评标纪律，要求供应商勾选我已阅知并保证遵守评标记录之后点击确定按钮进入投标界面。</w:t>
      </w:r>
    </w:p>
    <w:p w14:paraId="63A45DA1">
      <w:pPr>
        <w:jc w:val="center"/>
        <w:rPr>
          <w:rFonts w:ascii="黑体" w:hAnsi="黑体" w:eastAsia="宋体"/>
          <w:color w:val="000000"/>
          <w:sz w:val="24"/>
          <w:szCs w:val="28"/>
        </w:rPr>
      </w:pPr>
      <w:r>
        <w:drawing>
          <wp:inline distT="0" distB="0" distL="0" distR="0">
            <wp:extent cx="4977765" cy="4653915"/>
            <wp:effectExtent l="0" t="0" r="9525" b="9525"/>
            <wp:docPr id="18"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图形用户界面, 文本, 应用程序&#10;&#10;描述已自动生成"/>
                    <pic:cNvPicPr>
                      <a:picLocks noChangeAspect="1"/>
                    </pic:cNvPicPr>
                  </pic:nvPicPr>
                  <pic:blipFill>
                    <a:blip r:embed="rId26"/>
                    <a:stretch>
                      <a:fillRect/>
                    </a:stretch>
                  </pic:blipFill>
                  <pic:spPr>
                    <a:xfrm>
                      <a:off x="0" y="0"/>
                      <a:ext cx="4977765" cy="4653915"/>
                    </a:xfrm>
                    <a:prstGeom prst="rect">
                      <a:avLst/>
                    </a:prstGeom>
                  </pic:spPr>
                </pic:pic>
              </a:graphicData>
            </a:graphic>
          </wp:inline>
        </w:drawing>
      </w:r>
    </w:p>
    <w:sectPr>
      <w:headerReference r:id="rId8" w:type="default"/>
      <w:footerReference r:id="rId9" w:type="default"/>
      <w:pgSz w:w="11906" w:h="16838"/>
      <w:pgMar w:top="1588" w:right="1418" w:bottom="1134"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SimSong Bold">
    <w:altName w:val="Times New Roman"/>
    <w:panose1 w:val="00000000000000000000"/>
    <w:charset w:val="00"/>
    <w:family w:val="roman"/>
    <w:pitch w:val="default"/>
    <w:sig w:usb0="00000000" w:usb1="00000000" w:usb2="00000000" w:usb3="00000000" w:csb0="00000000"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14:paraId="1C29A2BE">
        <w:pPr>
          <w:pStyle w:val="13"/>
          <w:jc w:val="center"/>
        </w:pPr>
        <w:r>
          <w:fldChar w:fldCharType="begin"/>
        </w:r>
        <w:r>
          <w:instrText xml:space="preserve">PAGE   \* MERGEFORMAT</w:instrText>
        </w:r>
        <w:r>
          <w:fldChar w:fldCharType="separate"/>
        </w:r>
        <w:r>
          <w:rPr>
            <w:lang w:val="zh-CN"/>
          </w:rPr>
          <w:t>7</w:t>
        </w:r>
        <w:r>
          <w:fldChar w:fldCharType="end"/>
        </w:r>
      </w:p>
    </w:sdtContent>
  </w:sdt>
  <w:p w14:paraId="779753DF">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5E1A9">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82446088"/>
    </w:sdtPr>
    <w:sdtContent>
      <w:p w14:paraId="06613E26">
        <w:pPr>
          <w:pStyle w:val="13"/>
          <w:jc w:val="center"/>
        </w:pPr>
        <w:r>
          <w:fldChar w:fldCharType="begin"/>
        </w:r>
        <w:r>
          <w:instrText xml:space="preserve">PAGE   \* MERGEFORMAT</w:instrText>
        </w:r>
        <w:r>
          <w:fldChar w:fldCharType="separate"/>
        </w:r>
        <w:r>
          <w:rPr>
            <w:lang w:val="zh-CN"/>
          </w:rPr>
          <w:t>12</w:t>
        </w:r>
        <w:r>
          <w:fldChar w:fldCharType="end"/>
        </w:r>
      </w:p>
    </w:sdtContent>
  </w:sdt>
  <w:p w14:paraId="0F0F41EB">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472AD">
    <w:pPr>
      <w:pStyle w:val="13"/>
      <w:jc w:val="center"/>
    </w:pPr>
    <w:r>
      <w:fldChar w:fldCharType="begin"/>
    </w:r>
    <w:r>
      <w:instrText xml:space="preserve">PAGE   \* MERGEFORMAT</w:instrText>
    </w:r>
    <w:r>
      <w:fldChar w:fldCharType="separate"/>
    </w:r>
    <w:r>
      <w:rPr>
        <w:lang w:val="zh-CN"/>
      </w:rPr>
      <w:t>21</w:t>
    </w:r>
    <w:r>
      <w:fldChar w:fldCharType="end"/>
    </w:r>
  </w:p>
  <w:p w14:paraId="1C517C92">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67CBE">
    <w:pPr>
      <w:pStyle w:val="1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81123">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D6DDA">
    <w:pPr>
      <w:pStyle w:val="14"/>
      <w:jc w:val="both"/>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8FEC3E"/>
    <w:multiLevelType w:val="singleLevel"/>
    <w:tmpl w:val="828FEC3E"/>
    <w:lvl w:ilvl="0" w:tentative="0">
      <w:start w:val="1"/>
      <w:numFmt w:val="decimal"/>
      <w:lvlText w:val="(%1)"/>
      <w:lvlJc w:val="left"/>
      <w:pPr>
        <w:ind w:left="425" w:hanging="425"/>
      </w:pPr>
      <w:rPr>
        <w:rFonts w:hint="default"/>
        <w:b w:val="0"/>
        <w:bCs w:val="0"/>
      </w:rPr>
    </w:lvl>
  </w:abstractNum>
  <w:abstractNum w:abstractNumId="1">
    <w:nsid w:val="83FBF1A5"/>
    <w:multiLevelType w:val="singleLevel"/>
    <w:tmpl w:val="83FBF1A5"/>
    <w:lvl w:ilvl="0" w:tentative="0">
      <w:start w:val="1"/>
      <w:numFmt w:val="decimal"/>
      <w:lvlText w:val="%1)"/>
      <w:lvlJc w:val="left"/>
      <w:pPr>
        <w:ind w:left="425" w:hanging="425"/>
      </w:pPr>
      <w:rPr>
        <w:rFonts w:hint="default"/>
      </w:rPr>
    </w:lvl>
  </w:abstractNum>
  <w:abstractNum w:abstractNumId="2">
    <w:nsid w:val="857BFB2A"/>
    <w:multiLevelType w:val="singleLevel"/>
    <w:tmpl w:val="857BFB2A"/>
    <w:lvl w:ilvl="0" w:tentative="0">
      <w:start w:val="5"/>
      <w:numFmt w:val="decimal"/>
      <w:suff w:val="nothing"/>
      <w:lvlText w:val="%1）"/>
      <w:lvlJc w:val="left"/>
    </w:lvl>
  </w:abstractNum>
  <w:abstractNum w:abstractNumId="3">
    <w:nsid w:val="9B7B5184"/>
    <w:multiLevelType w:val="singleLevel"/>
    <w:tmpl w:val="9B7B5184"/>
    <w:lvl w:ilvl="0" w:tentative="0">
      <w:start w:val="1"/>
      <w:numFmt w:val="decimal"/>
      <w:lvlText w:val="(%1)"/>
      <w:lvlJc w:val="left"/>
      <w:pPr>
        <w:ind w:left="425" w:hanging="425"/>
      </w:pPr>
      <w:rPr>
        <w:rFonts w:hint="default"/>
      </w:rPr>
    </w:lvl>
  </w:abstractNum>
  <w:abstractNum w:abstractNumId="4">
    <w:nsid w:val="B0FED1B3"/>
    <w:multiLevelType w:val="singleLevel"/>
    <w:tmpl w:val="B0FED1B3"/>
    <w:lvl w:ilvl="0" w:tentative="0">
      <w:start w:val="1"/>
      <w:numFmt w:val="decimal"/>
      <w:lvlText w:val="(%1)"/>
      <w:lvlJc w:val="left"/>
      <w:pPr>
        <w:ind w:left="425" w:hanging="425"/>
      </w:pPr>
      <w:rPr>
        <w:rFonts w:hint="default"/>
      </w:rPr>
    </w:lvl>
  </w:abstractNum>
  <w:abstractNum w:abstractNumId="5">
    <w:nsid w:val="B3DA6DB0"/>
    <w:multiLevelType w:val="singleLevel"/>
    <w:tmpl w:val="B3DA6DB0"/>
    <w:lvl w:ilvl="0" w:tentative="0">
      <w:start w:val="1"/>
      <w:numFmt w:val="decimal"/>
      <w:lvlText w:val="%1)"/>
      <w:lvlJc w:val="left"/>
      <w:pPr>
        <w:ind w:left="425" w:hanging="425"/>
      </w:pPr>
      <w:rPr>
        <w:rFonts w:hint="default"/>
      </w:rPr>
    </w:lvl>
  </w:abstractNum>
  <w:abstractNum w:abstractNumId="6">
    <w:nsid w:val="B82CC532"/>
    <w:multiLevelType w:val="singleLevel"/>
    <w:tmpl w:val="B82CC532"/>
    <w:lvl w:ilvl="0" w:tentative="0">
      <w:start w:val="1"/>
      <w:numFmt w:val="decimal"/>
      <w:lvlText w:val="%1)"/>
      <w:lvlJc w:val="left"/>
      <w:pPr>
        <w:ind w:left="425" w:hanging="425"/>
      </w:pPr>
      <w:rPr>
        <w:rFonts w:hint="default"/>
      </w:rPr>
    </w:lvl>
  </w:abstractNum>
  <w:abstractNum w:abstractNumId="7">
    <w:nsid w:val="D754B206"/>
    <w:multiLevelType w:val="singleLevel"/>
    <w:tmpl w:val="D754B206"/>
    <w:lvl w:ilvl="0" w:tentative="0">
      <w:start w:val="1"/>
      <w:numFmt w:val="decimal"/>
      <w:lvlText w:val="%1)"/>
      <w:lvlJc w:val="left"/>
      <w:pPr>
        <w:ind w:left="425" w:hanging="425"/>
      </w:pPr>
      <w:rPr>
        <w:rFonts w:hint="default"/>
      </w:rPr>
    </w:lvl>
  </w:abstractNum>
  <w:abstractNum w:abstractNumId="8">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9">
    <w:nsid w:val="F827D52C"/>
    <w:multiLevelType w:val="singleLevel"/>
    <w:tmpl w:val="F827D52C"/>
    <w:lvl w:ilvl="0" w:tentative="0">
      <w:start w:val="1"/>
      <w:numFmt w:val="decimal"/>
      <w:lvlText w:val="(%1)"/>
      <w:lvlJc w:val="left"/>
      <w:pPr>
        <w:ind w:left="425" w:hanging="425"/>
      </w:pPr>
      <w:rPr>
        <w:rFonts w:hint="default"/>
        <w:b w:val="0"/>
        <w:bCs w:val="0"/>
      </w:rPr>
    </w:lvl>
  </w:abstractNum>
  <w:abstractNum w:abstractNumId="10">
    <w:nsid w:val="F90DF437"/>
    <w:multiLevelType w:val="singleLevel"/>
    <w:tmpl w:val="F90DF437"/>
    <w:lvl w:ilvl="0" w:tentative="0">
      <w:start w:val="1"/>
      <w:numFmt w:val="decimal"/>
      <w:lvlText w:val="%1)"/>
      <w:lvlJc w:val="left"/>
      <w:pPr>
        <w:ind w:left="425" w:hanging="425"/>
      </w:pPr>
      <w:rPr>
        <w:rFonts w:hint="default"/>
      </w:rPr>
    </w:lvl>
  </w:abstractNum>
  <w:abstractNum w:abstractNumId="11">
    <w:nsid w:val="0CE18346"/>
    <w:multiLevelType w:val="singleLevel"/>
    <w:tmpl w:val="0CE18346"/>
    <w:lvl w:ilvl="0" w:tentative="0">
      <w:start w:val="1"/>
      <w:numFmt w:val="decimal"/>
      <w:lvlText w:val="(%1)"/>
      <w:lvlJc w:val="left"/>
      <w:pPr>
        <w:ind w:left="425" w:hanging="425"/>
      </w:pPr>
      <w:rPr>
        <w:rFonts w:hint="default"/>
      </w:rPr>
    </w:lvl>
  </w:abstractNum>
  <w:abstractNum w:abstractNumId="12">
    <w:nsid w:val="10F6F503"/>
    <w:multiLevelType w:val="singleLevel"/>
    <w:tmpl w:val="10F6F503"/>
    <w:lvl w:ilvl="0" w:tentative="0">
      <w:start w:val="1"/>
      <w:numFmt w:val="decimal"/>
      <w:lvlText w:val="(%1)"/>
      <w:lvlJc w:val="left"/>
      <w:pPr>
        <w:ind w:left="425" w:hanging="425"/>
      </w:pPr>
      <w:rPr>
        <w:rFonts w:hint="default"/>
        <w:sz w:val="21"/>
        <w:szCs w:val="21"/>
      </w:rPr>
    </w:lvl>
  </w:abstractNum>
  <w:abstractNum w:abstractNumId="13">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leftChars="0" w:hanging="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4">
    <w:nsid w:val="28934A01"/>
    <w:multiLevelType w:val="multilevel"/>
    <w:tmpl w:val="28934A01"/>
    <w:lvl w:ilvl="0" w:tentative="0">
      <w:start w:val="1"/>
      <w:numFmt w:val="bullet"/>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15">
    <w:nsid w:val="29461F3C"/>
    <w:multiLevelType w:val="singleLevel"/>
    <w:tmpl w:val="29461F3C"/>
    <w:lvl w:ilvl="0" w:tentative="0">
      <w:start w:val="1"/>
      <w:numFmt w:val="decimal"/>
      <w:lvlText w:val="(%1)"/>
      <w:lvlJc w:val="left"/>
      <w:pPr>
        <w:ind w:left="425" w:hanging="425"/>
      </w:pPr>
      <w:rPr>
        <w:rFonts w:hint="default"/>
      </w:rPr>
    </w:lvl>
  </w:abstractNum>
  <w:abstractNum w:abstractNumId="16">
    <w:nsid w:val="2D362189"/>
    <w:multiLevelType w:val="singleLevel"/>
    <w:tmpl w:val="2D362189"/>
    <w:lvl w:ilvl="0" w:tentative="0">
      <w:start w:val="1"/>
      <w:numFmt w:val="decimal"/>
      <w:lvlText w:val="(%1)"/>
      <w:lvlJc w:val="left"/>
      <w:pPr>
        <w:ind w:left="425" w:hanging="425"/>
      </w:pPr>
      <w:rPr>
        <w:rFonts w:hint="default"/>
        <w:sz w:val="21"/>
        <w:szCs w:val="21"/>
      </w:rPr>
    </w:lvl>
  </w:abstractNum>
  <w:abstractNum w:abstractNumId="17">
    <w:nsid w:val="33E8E42F"/>
    <w:multiLevelType w:val="singleLevel"/>
    <w:tmpl w:val="33E8E42F"/>
    <w:lvl w:ilvl="0" w:tentative="0">
      <w:start w:val="1"/>
      <w:numFmt w:val="decimal"/>
      <w:lvlText w:val="(%1)"/>
      <w:lvlJc w:val="left"/>
      <w:pPr>
        <w:ind w:left="425" w:hanging="425"/>
      </w:pPr>
      <w:rPr>
        <w:rFonts w:hint="default" w:asciiTheme="minorEastAsia" w:hAnsiTheme="minorEastAsia" w:eastAsiaTheme="minorEastAsia" w:cstheme="minorEastAsia"/>
      </w:rPr>
    </w:lvl>
  </w:abstractNum>
  <w:abstractNum w:abstractNumId="18">
    <w:nsid w:val="37A20CA5"/>
    <w:multiLevelType w:val="multilevel"/>
    <w:tmpl w:val="37A20CA5"/>
    <w:lvl w:ilvl="0" w:tentative="0">
      <w:start w:val="1"/>
      <w:numFmt w:val="decimal"/>
      <w:pStyle w:val="27"/>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9">
    <w:nsid w:val="394DDA66"/>
    <w:multiLevelType w:val="singleLevel"/>
    <w:tmpl w:val="394DDA66"/>
    <w:lvl w:ilvl="0" w:tentative="0">
      <w:start w:val="1"/>
      <w:numFmt w:val="decimal"/>
      <w:lvlText w:val="(%1)"/>
      <w:lvlJc w:val="left"/>
      <w:pPr>
        <w:ind w:left="425" w:hanging="425"/>
      </w:pPr>
      <w:rPr>
        <w:rFonts w:hint="default"/>
        <w:sz w:val="21"/>
        <w:szCs w:val="21"/>
      </w:rPr>
    </w:lvl>
  </w:abstractNum>
  <w:abstractNum w:abstractNumId="20">
    <w:nsid w:val="41E2820F"/>
    <w:multiLevelType w:val="singleLevel"/>
    <w:tmpl w:val="41E2820F"/>
    <w:lvl w:ilvl="0" w:tentative="0">
      <w:start w:val="1"/>
      <w:numFmt w:val="decimal"/>
      <w:lvlText w:val="(%1)"/>
      <w:lvlJc w:val="left"/>
      <w:pPr>
        <w:ind w:left="425" w:hanging="425"/>
      </w:pPr>
      <w:rPr>
        <w:rFonts w:hint="default"/>
        <w:sz w:val="21"/>
        <w:szCs w:val="21"/>
      </w:rPr>
    </w:lvl>
  </w:abstractNum>
  <w:abstractNum w:abstractNumId="21">
    <w:nsid w:val="44E7E31F"/>
    <w:multiLevelType w:val="singleLevel"/>
    <w:tmpl w:val="44E7E31F"/>
    <w:lvl w:ilvl="0" w:tentative="0">
      <w:start w:val="1"/>
      <w:numFmt w:val="decimal"/>
      <w:lvlText w:val="(%1)"/>
      <w:lvlJc w:val="left"/>
      <w:pPr>
        <w:ind w:left="425" w:hanging="425"/>
      </w:pPr>
      <w:rPr>
        <w:rFonts w:hint="default"/>
      </w:rPr>
    </w:lvl>
  </w:abstractNum>
  <w:abstractNum w:abstractNumId="22">
    <w:nsid w:val="4B089DA3"/>
    <w:multiLevelType w:val="singleLevel"/>
    <w:tmpl w:val="4B089DA3"/>
    <w:lvl w:ilvl="0" w:tentative="0">
      <w:start w:val="1"/>
      <w:numFmt w:val="decimal"/>
      <w:lvlText w:val="(%1)"/>
      <w:lvlJc w:val="left"/>
      <w:pPr>
        <w:ind w:left="425" w:hanging="425"/>
      </w:pPr>
      <w:rPr>
        <w:rFonts w:hint="default"/>
        <w:b w:val="0"/>
        <w:bCs w:val="0"/>
      </w:rPr>
    </w:lvl>
  </w:abstractNum>
  <w:abstractNum w:abstractNumId="23">
    <w:nsid w:val="5EEE3A7E"/>
    <w:multiLevelType w:val="multilevel"/>
    <w:tmpl w:val="5EEE3A7E"/>
    <w:lvl w:ilvl="0" w:tentative="0">
      <w:start w:val="1"/>
      <w:numFmt w:val="bullet"/>
      <w:suff w:val="nothing"/>
      <w:lvlText w:val=""/>
      <w:lvlJc w:val="left"/>
      <w:pPr>
        <w:ind w:left="0" w:firstLine="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4">
    <w:nsid w:val="656A6EAE"/>
    <w:multiLevelType w:val="multilevel"/>
    <w:tmpl w:val="656A6EAE"/>
    <w:lvl w:ilvl="0" w:tentative="0">
      <w:start w:val="1"/>
      <w:numFmt w:val="chineseCountingThousand"/>
      <w:pStyle w:val="61"/>
      <w:suff w:val="nothing"/>
      <w:lvlText w:val="%1、"/>
      <w:lvlJc w:val="left"/>
      <w:pPr>
        <w:ind w:left="420"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
    <w:nsid w:val="6A696287"/>
    <w:multiLevelType w:val="singleLevel"/>
    <w:tmpl w:val="6A696287"/>
    <w:lvl w:ilvl="0" w:tentative="0">
      <w:start w:val="1"/>
      <w:numFmt w:val="decimal"/>
      <w:lvlText w:val="%1)"/>
      <w:lvlJc w:val="left"/>
      <w:pPr>
        <w:tabs>
          <w:tab w:val="left" w:pos="420"/>
        </w:tabs>
        <w:ind w:left="425" w:leftChars="0" w:hanging="425" w:firstLineChars="0"/>
      </w:pPr>
      <w:rPr>
        <w:rFonts w:hint="default"/>
      </w:rPr>
    </w:lvl>
  </w:abstractNum>
  <w:abstractNum w:abstractNumId="26">
    <w:nsid w:val="73D16EFA"/>
    <w:multiLevelType w:val="multilevel"/>
    <w:tmpl w:val="73D16EFA"/>
    <w:lvl w:ilvl="0" w:tentative="0">
      <w:start w:val="1"/>
      <w:numFmt w:val="decimal"/>
      <w:lvlText w:val="%1)"/>
      <w:lvlJc w:val="left"/>
      <w:pPr>
        <w:ind w:left="1322" w:hanging="420"/>
      </w:pPr>
    </w:lvl>
    <w:lvl w:ilvl="1" w:tentative="0">
      <w:start w:val="1"/>
      <w:numFmt w:val="lowerLetter"/>
      <w:lvlText w:val="%2)"/>
      <w:lvlJc w:val="left"/>
      <w:pPr>
        <w:ind w:left="1742" w:hanging="420"/>
      </w:pPr>
    </w:lvl>
    <w:lvl w:ilvl="2" w:tentative="0">
      <w:start w:val="1"/>
      <w:numFmt w:val="lowerRoman"/>
      <w:lvlText w:val="%3."/>
      <w:lvlJc w:val="right"/>
      <w:pPr>
        <w:ind w:left="2162" w:hanging="420"/>
      </w:pPr>
    </w:lvl>
    <w:lvl w:ilvl="3" w:tentative="0">
      <w:start w:val="1"/>
      <w:numFmt w:val="decimal"/>
      <w:lvlText w:val="%4."/>
      <w:lvlJc w:val="left"/>
      <w:pPr>
        <w:ind w:left="2582" w:hanging="420"/>
      </w:pPr>
    </w:lvl>
    <w:lvl w:ilvl="4" w:tentative="0">
      <w:start w:val="1"/>
      <w:numFmt w:val="lowerLetter"/>
      <w:lvlText w:val="%5)"/>
      <w:lvlJc w:val="left"/>
      <w:pPr>
        <w:ind w:left="3002" w:hanging="420"/>
      </w:pPr>
    </w:lvl>
    <w:lvl w:ilvl="5" w:tentative="0">
      <w:start w:val="1"/>
      <w:numFmt w:val="lowerRoman"/>
      <w:lvlText w:val="%6."/>
      <w:lvlJc w:val="right"/>
      <w:pPr>
        <w:ind w:left="3422" w:hanging="420"/>
      </w:pPr>
    </w:lvl>
    <w:lvl w:ilvl="6" w:tentative="0">
      <w:start w:val="1"/>
      <w:numFmt w:val="decimal"/>
      <w:lvlText w:val="%7."/>
      <w:lvlJc w:val="left"/>
      <w:pPr>
        <w:ind w:left="3842" w:hanging="420"/>
      </w:pPr>
    </w:lvl>
    <w:lvl w:ilvl="7" w:tentative="0">
      <w:start w:val="1"/>
      <w:numFmt w:val="lowerLetter"/>
      <w:lvlText w:val="%8)"/>
      <w:lvlJc w:val="left"/>
      <w:pPr>
        <w:ind w:left="4262" w:hanging="420"/>
      </w:pPr>
    </w:lvl>
    <w:lvl w:ilvl="8" w:tentative="0">
      <w:start w:val="1"/>
      <w:numFmt w:val="lowerRoman"/>
      <w:lvlText w:val="%9."/>
      <w:lvlJc w:val="right"/>
      <w:pPr>
        <w:ind w:left="4682" w:hanging="420"/>
      </w:pPr>
    </w:lvl>
  </w:abstractNum>
  <w:abstractNum w:abstractNumId="27">
    <w:nsid w:val="78C394B4"/>
    <w:multiLevelType w:val="singleLevel"/>
    <w:tmpl w:val="78C394B4"/>
    <w:lvl w:ilvl="0" w:tentative="0">
      <w:start w:val="1"/>
      <w:numFmt w:val="decimal"/>
      <w:lvlText w:val="(%1)"/>
      <w:lvlJc w:val="left"/>
      <w:pPr>
        <w:ind w:left="425" w:hanging="425"/>
      </w:pPr>
      <w:rPr>
        <w:rFonts w:hint="default"/>
      </w:rPr>
    </w:lvl>
  </w:abstractNum>
  <w:num w:numId="1">
    <w:abstractNumId w:val="18"/>
  </w:num>
  <w:num w:numId="2">
    <w:abstractNumId w:val="24"/>
  </w:num>
  <w:num w:numId="3">
    <w:abstractNumId w:val="15"/>
  </w:num>
  <w:num w:numId="4">
    <w:abstractNumId w:val="3"/>
  </w:num>
  <w:num w:numId="5">
    <w:abstractNumId w:val="13"/>
  </w:num>
  <w:num w:numId="6">
    <w:abstractNumId w:val="9"/>
  </w:num>
  <w:num w:numId="7">
    <w:abstractNumId w:val="19"/>
  </w:num>
  <w:num w:numId="8">
    <w:abstractNumId w:val="8"/>
  </w:num>
  <w:num w:numId="9">
    <w:abstractNumId w:val="20"/>
  </w:num>
  <w:num w:numId="10">
    <w:abstractNumId w:val="16"/>
  </w:num>
  <w:num w:numId="11">
    <w:abstractNumId w:val="12"/>
  </w:num>
  <w:num w:numId="12">
    <w:abstractNumId w:val="0"/>
  </w:num>
  <w:num w:numId="13">
    <w:abstractNumId w:val="4"/>
  </w:num>
  <w:num w:numId="14">
    <w:abstractNumId w:val="22"/>
  </w:num>
  <w:num w:numId="15">
    <w:abstractNumId w:val="23"/>
  </w:num>
  <w:num w:numId="16">
    <w:abstractNumId w:val="11"/>
  </w:num>
  <w:num w:numId="17">
    <w:abstractNumId w:val="14"/>
  </w:num>
  <w:num w:numId="18">
    <w:abstractNumId w:val="26"/>
  </w:num>
  <w:num w:numId="19">
    <w:abstractNumId w:val="21"/>
  </w:num>
  <w:num w:numId="20">
    <w:abstractNumId w:val="27"/>
  </w:num>
  <w:num w:numId="21">
    <w:abstractNumId w:val="17"/>
  </w:num>
  <w:num w:numId="22">
    <w:abstractNumId w:val="7"/>
  </w:num>
  <w:num w:numId="23">
    <w:abstractNumId w:val="6"/>
  </w:num>
  <w:num w:numId="24">
    <w:abstractNumId w:val="10"/>
  </w:num>
  <w:num w:numId="25">
    <w:abstractNumId w:val="1"/>
  </w:num>
  <w:num w:numId="26">
    <w:abstractNumId w:val="5"/>
  </w:num>
  <w:num w:numId="27">
    <w:abstractNumId w:val="25"/>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M4NWE1MWNhY2FlMjE1NDk5ZGFiZjFlNDIzODc4OGMifQ=="/>
    <w:docVar w:name="KSO_WPS_MARK_KEY" w:val="dc52091c-6b58-45f9-a6df-b39214ed2a52"/>
  </w:docVars>
  <w:rsids>
    <w:rsidRoot w:val="009D133C"/>
    <w:rsid w:val="00000926"/>
    <w:rsid w:val="00001B58"/>
    <w:rsid w:val="0000337A"/>
    <w:rsid w:val="000068F2"/>
    <w:rsid w:val="00007400"/>
    <w:rsid w:val="0001487F"/>
    <w:rsid w:val="00022535"/>
    <w:rsid w:val="00024D2C"/>
    <w:rsid w:val="00026E81"/>
    <w:rsid w:val="00027808"/>
    <w:rsid w:val="000343B0"/>
    <w:rsid w:val="00037FD6"/>
    <w:rsid w:val="000408A3"/>
    <w:rsid w:val="00045A07"/>
    <w:rsid w:val="00047D2D"/>
    <w:rsid w:val="0005061F"/>
    <w:rsid w:val="00051BEA"/>
    <w:rsid w:val="00053F9C"/>
    <w:rsid w:val="0005525E"/>
    <w:rsid w:val="00056A97"/>
    <w:rsid w:val="0005752D"/>
    <w:rsid w:val="00060E52"/>
    <w:rsid w:val="0006645C"/>
    <w:rsid w:val="00073230"/>
    <w:rsid w:val="00077DC7"/>
    <w:rsid w:val="000A0877"/>
    <w:rsid w:val="000A2364"/>
    <w:rsid w:val="000A7145"/>
    <w:rsid w:val="000B2B73"/>
    <w:rsid w:val="000B5BCC"/>
    <w:rsid w:val="000C49A6"/>
    <w:rsid w:val="000C4A6A"/>
    <w:rsid w:val="000D1FCE"/>
    <w:rsid w:val="000D7EA0"/>
    <w:rsid w:val="000E0AD5"/>
    <w:rsid w:val="000F1B64"/>
    <w:rsid w:val="000F651E"/>
    <w:rsid w:val="00101B55"/>
    <w:rsid w:val="00106839"/>
    <w:rsid w:val="0010737C"/>
    <w:rsid w:val="001106F7"/>
    <w:rsid w:val="00117DBD"/>
    <w:rsid w:val="00130D8A"/>
    <w:rsid w:val="00130FF3"/>
    <w:rsid w:val="00137285"/>
    <w:rsid w:val="00147890"/>
    <w:rsid w:val="00152F65"/>
    <w:rsid w:val="00153118"/>
    <w:rsid w:val="00155647"/>
    <w:rsid w:val="00155CE0"/>
    <w:rsid w:val="00160749"/>
    <w:rsid w:val="00161C9F"/>
    <w:rsid w:val="0016258F"/>
    <w:rsid w:val="00163F29"/>
    <w:rsid w:val="001709DF"/>
    <w:rsid w:val="00172BE0"/>
    <w:rsid w:val="00175440"/>
    <w:rsid w:val="001776A6"/>
    <w:rsid w:val="001810C4"/>
    <w:rsid w:val="00193D84"/>
    <w:rsid w:val="001A3CA2"/>
    <w:rsid w:val="001A3E2D"/>
    <w:rsid w:val="001A665D"/>
    <w:rsid w:val="001A6EEC"/>
    <w:rsid w:val="001B59E3"/>
    <w:rsid w:val="001B5E6E"/>
    <w:rsid w:val="001B76F8"/>
    <w:rsid w:val="001C12A4"/>
    <w:rsid w:val="001C3DF2"/>
    <w:rsid w:val="001C5CA6"/>
    <w:rsid w:val="001E3D17"/>
    <w:rsid w:val="001E66F4"/>
    <w:rsid w:val="00204245"/>
    <w:rsid w:val="002113BA"/>
    <w:rsid w:val="002217E3"/>
    <w:rsid w:val="00242584"/>
    <w:rsid w:val="002607EC"/>
    <w:rsid w:val="002610F0"/>
    <w:rsid w:val="00261E89"/>
    <w:rsid w:val="00262FE2"/>
    <w:rsid w:val="00276A50"/>
    <w:rsid w:val="00282F7E"/>
    <w:rsid w:val="002846E6"/>
    <w:rsid w:val="00284CE3"/>
    <w:rsid w:val="00286541"/>
    <w:rsid w:val="00287E69"/>
    <w:rsid w:val="0029136D"/>
    <w:rsid w:val="00292DC0"/>
    <w:rsid w:val="002953BA"/>
    <w:rsid w:val="002A0A9D"/>
    <w:rsid w:val="002B2FAE"/>
    <w:rsid w:val="002B38AE"/>
    <w:rsid w:val="002B5536"/>
    <w:rsid w:val="002C52E9"/>
    <w:rsid w:val="002D7101"/>
    <w:rsid w:val="002E1300"/>
    <w:rsid w:val="002F2838"/>
    <w:rsid w:val="002F5311"/>
    <w:rsid w:val="002F65D0"/>
    <w:rsid w:val="00302447"/>
    <w:rsid w:val="00306281"/>
    <w:rsid w:val="003074F5"/>
    <w:rsid w:val="003078E5"/>
    <w:rsid w:val="0031199E"/>
    <w:rsid w:val="00311D3B"/>
    <w:rsid w:val="00314E0C"/>
    <w:rsid w:val="00317B54"/>
    <w:rsid w:val="00320288"/>
    <w:rsid w:val="003311AF"/>
    <w:rsid w:val="003353D9"/>
    <w:rsid w:val="00337145"/>
    <w:rsid w:val="00343061"/>
    <w:rsid w:val="00345DAF"/>
    <w:rsid w:val="0035108F"/>
    <w:rsid w:val="003515B9"/>
    <w:rsid w:val="00352CFF"/>
    <w:rsid w:val="00356226"/>
    <w:rsid w:val="00360FC7"/>
    <w:rsid w:val="003645D6"/>
    <w:rsid w:val="00367DAB"/>
    <w:rsid w:val="00373360"/>
    <w:rsid w:val="00377E02"/>
    <w:rsid w:val="00380AE7"/>
    <w:rsid w:val="003813EC"/>
    <w:rsid w:val="00386266"/>
    <w:rsid w:val="00392A53"/>
    <w:rsid w:val="003A2AA5"/>
    <w:rsid w:val="003A4DFF"/>
    <w:rsid w:val="003A6D34"/>
    <w:rsid w:val="003B107E"/>
    <w:rsid w:val="003B468B"/>
    <w:rsid w:val="003C0C03"/>
    <w:rsid w:val="003C5DB1"/>
    <w:rsid w:val="003E4D50"/>
    <w:rsid w:val="003F3874"/>
    <w:rsid w:val="00401217"/>
    <w:rsid w:val="004032A5"/>
    <w:rsid w:val="00404E4D"/>
    <w:rsid w:val="0041265F"/>
    <w:rsid w:val="004132D6"/>
    <w:rsid w:val="00413A0C"/>
    <w:rsid w:val="00413F27"/>
    <w:rsid w:val="00417375"/>
    <w:rsid w:val="00420708"/>
    <w:rsid w:val="004329D8"/>
    <w:rsid w:val="00435CF8"/>
    <w:rsid w:val="004422B9"/>
    <w:rsid w:val="00450A4D"/>
    <w:rsid w:val="00450E60"/>
    <w:rsid w:val="00451A09"/>
    <w:rsid w:val="004555C4"/>
    <w:rsid w:val="00460120"/>
    <w:rsid w:val="00477A2A"/>
    <w:rsid w:val="00481387"/>
    <w:rsid w:val="00481D0B"/>
    <w:rsid w:val="00483DF7"/>
    <w:rsid w:val="004926A8"/>
    <w:rsid w:val="00495A52"/>
    <w:rsid w:val="00497613"/>
    <w:rsid w:val="004A5B99"/>
    <w:rsid w:val="004A746A"/>
    <w:rsid w:val="004B3CA4"/>
    <w:rsid w:val="004D1814"/>
    <w:rsid w:val="004D1E27"/>
    <w:rsid w:val="004D209D"/>
    <w:rsid w:val="004D4832"/>
    <w:rsid w:val="004D5E07"/>
    <w:rsid w:val="004D7AF2"/>
    <w:rsid w:val="004E06D7"/>
    <w:rsid w:val="004E0805"/>
    <w:rsid w:val="004E1334"/>
    <w:rsid w:val="004E1A42"/>
    <w:rsid w:val="004E7939"/>
    <w:rsid w:val="00500B7F"/>
    <w:rsid w:val="00510259"/>
    <w:rsid w:val="0051117F"/>
    <w:rsid w:val="005207C0"/>
    <w:rsid w:val="0052147D"/>
    <w:rsid w:val="00526958"/>
    <w:rsid w:val="00526F9E"/>
    <w:rsid w:val="00533C98"/>
    <w:rsid w:val="005366AE"/>
    <w:rsid w:val="005408A8"/>
    <w:rsid w:val="0054194B"/>
    <w:rsid w:val="0054206F"/>
    <w:rsid w:val="00562E95"/>
    <w:rsid w:val="00563B95"/>
    <w:rsid w:val="00564379"/>
    <w:rsid w:val="00577653"/>
    <w:rsid w:val="00580AF9"/>
    <w:rsid w:val="005813E6"/>
    <w:rsid w:val="00595BA3"/>
    <w:rsid w:val="00595D99"/>
    <w:rsid w:val="005A19F6"/>
    <w:rsid w:val="005A340C"/>
    <w:rsid w:val="005A539A"/>
    <w:rsid w:val="005A7418"/>
    <w:rsid w:val="005B0113"/>
    <w:rsid w:val="005B17AC"/>
    <w:rsid w:val="005B39DD"/>
    <w:rsid w:val="005C1CFA"/>
    <w:rsid w:val="005C29B4"/>
    <w:rsid w:val="005C351E"/>
    <w:rsid w:val="005C5166"/>
    <w:rsid w:val="005D4551"/>
    <w:rsid w:val="005E05C7"/>
    <w:rsid w:val="005E1512"/>
    <w:rsid w:val="005F23AA"/>
    <w:rsid w:val="005F7366"/>
    <w:rsid w:val="00607FCE"/>
    <w:rsid w:val="00612E06"/>
    <w:rsid w:val="006136A1"/>
    <w:rsid w:val="00614C5D"/>
    <w:rsid w:val="00616221"/>
    <w:rsid w:val="00624F2B"/>
    <w:rsid w:val="0063595E"/>
    <w:rsid w:val="006410F2"/>
    <w:rsid w:val="006433EC"/>
    <w:rsid w:val="0064719A"/>
    <w:rsid w:val="00650633"/>
    <w:rsid w:val="00652FD7"/>
    <w:rsid w:val="0065310D"/>
    <w:rsid w:val="00653DBC"/>
    <w:rsid w:val="00655E07"/>
    <w:rsid w:val="00657D9C"/>
    <w:rsid w:val="00660B1C"/>
    <w:rsid w:val="0066308E"/>
    <w:rsid w:val="00664A92"/>
    <w:rsid w:val="006678F5"/>
    <w:rsid w:val="00670A2A"/>
    <w:rsid w:val="00672F9E"/>
    <w:rsid w:val="00674261"/>
    <w:rsid w:val="00676D14"/>
    <w:rsid w:val="00682C1A"/>
    <w:rsid w:val="00687BBF"/>
    <w:rsid w:val="00687EF5"/>
    <w:rsid w:val="00694042"/>
    <w:rsid w:val="00694765"/>
    <w:rsid w:val="00695DDA"/>
    <w:rsid w:val="006A206D"/>
    <w:rsid w:val="006A50E5"/>
    <w:rsid w:val="006A78F0"/>
    <w:rsid w:val="006B36C8"/>
    <w:rsid w:val="006B58B2"/>
    <w:rsid w:val="006C1BE6"/>
    <w:rsid w:val="006C5393"/>
    <w:rsid w:val="006E4A25"/>
    <w:rsid w:val="006E543B"/>
    <w:rsid w:val="006F153A"/>
    <w:rsid w:val="006F65F0"/>
    <w:rsid w:val="006F7AED"/>
    <w:rsid w:val="00702243"/>
    <w:rsid w:val="00703880"/>
    <w:rsid w:val="007107B7"/>
    <w:rsid w:val="00717048"/>
    <w:rsid w:val="00724C20"/>
    <w:rsid w:val="00725B6C"/>
    <w:rsid w:val="00727EAD"/>
    <w:rsid w:val="00727FFD"/>
    <w:rsid w:val="007304C0"/>
    <w:rsid w:val="00730A13"/>
    <w:rsid w:val="0073377E"/>
    <w:rsid w:val="007475F4"/>
    <w:rsid w:val="00753365"/>
    <w:rsid w:val="0075371F"/>
    <w:rsid w:val="00755033"/>
    <w:rsid w:val="00766F65"/>
    <w:rsid w:val="007A2032"/>
    <w:rsid w:val="007A743E"/>
    <w:rsid w:val="007B2215"/>
    <w:rsid w:val="007C1FF4"/>
    <w:rsid w:val="007D0604"/>
    <w:rsid w:val="007D0CD4"/>
    <w:rsid w:val="007D3513"/>
    <w:rsid w:val="007D4F09"/>
    <w:rsid w:val="007D778F"/>
    <w:rsid w:val="007F09A1"/>
    <w:rsid w:val="007F1F3E"/>
    <w:rsid w:val="00800648"/>
    <w:rsid w:val="00804756"/>
    <w:rsid w:val="0080617C"/>
    <w:rsid w:val="00810F96"/>
    <w:rsid w:val="00820A51"/>
    <w:rsid w:val="008261F6"/>
    <w:rsid w:val="008344B0"/>
    <w:rsid w:val="00835961"/>
    <w:rsid w:val="00840373"/>
    <w:rsid w:val="008438A4"/>
    <w:rsid w:val="008521F4"/>
    <w:rsid w:val="008643D7"/>
    <w:rsid w:val="008667A1"/>
    <w:rsid w:val="0087333F"/>
    <w:rsid w:val="0087599E"/>
    <w:rsid w:val="00884F70"/>
    <w:rsid w:val="00885684"/>
    <w:rsid w:val="00886782"/>
    <w:rsid w:val="00887202"/>
    <w:rsid w:val="008876C7"/>
    <w:rsid w:val="00893489"/>
    <w:rsid w:val="008961B8"/>
    <w:rsid w:val="008A1C7C"/>
    <w:rsid w:val="008B5F23"/>
    <w:rsid w:val="008C0FC8"/>
    <w:rsid w:val="008C6B40"/>
    <w:rsid w:val="008D06DC"/>
    <w:rsid w:val="008D2381"/>
    <w:rsid w:val="008D5DDC"/>
    <w:rsid w:val="008E24C8"/>
    <w:rsid w:val="008E4593"/>
    <w:rsid w:val="008E7192"/>
    <w:rsid w:val="008F1AA4"/>
    <w:rsid w:val="008F1ABD"/>
    <w:rsid w:val="008F3ADF"/>
    <w:rsid w:val="008F4208"/>
    <w:rsid w:val="00905557"/>
    <w:rsid w:val="00907050"/>
    <w:rsid w:val="009115EA"/>
    <w:rsid w:val="00911A6D"/>
    <w:rsid w:val="009124AF"/>
    <w:rsid w:val="00914D28"/>
    <w:rsid w:val="00914D71"/>
    <w:rsid w:val="0091563B"/>
    <w:rsid w:val="00915C71"/>
    <w:rsid w:val="0092207A"/>
    <w:rsid w:val="00924E6F"/>
    <w:rsid w:val="00926AF6"/>
    <w:rsid w:val="00927C6E"/>
    <w:rsid w:val="00932057"/>
    <w:rsid w:val="00934B09"/>
    <w:rsid w:val="00937073"/>
    <w:rsid w:val="009444E9"/>
    <w:rsid w:val="00946F19"/>
    <w:rsid w:val="009627D1"/>
    <w:rsid w:val="009666F3"/>
    <w:rsid w:val="0097125F"/>
    <w:rsid w:val="009727FF"/>
    <w:rsid w:val="00972F3A"/>
    <w:rsid w:val="00973682"/>
    <w:rsid w:val="00973E00"/>
    <w:rsid w:val="00981818"/>
    <w:rsid w:val="009837DC"/>
    <w:rsid w:val="00986292"/>
    <w:rsid w:val="0098791E"/>
    <w:rsid w:val="009907B2"/>
    <w:rsid w:val="00996313"/>
    <w:rsid w:val="009A3087"/>
    <w:rsid w:val="009A59A7"/>
    <w:rsid w:val="009B13B9"/>
    <w:rsid w:val="009B1A64"/>
    <w:rsid w:val="009B1DA3"/>
    <w:rsid w:val="009B426B"/>
    <w:rsid w:val="009C2FAE"/>
    <w:rsid w:val="009C4435"/>
    <w:rsid w:val="009D01C8"/>
    <w:rsid w:val="009D133C"/>
    <w:rsid w:val="009D48C1"/>
    <w:rsid w:val="009D5137"/>
    <w:rsid w:val="009D5C23"/>
    <w:rsid w:val="009D6648"/>
    <w:rsid w:val="009D6757"/>
    <w:rsid w:val="009E2733"/>
    <w:rsid w:val="009E7388"/>
    <w:rsid w:val="009F1ABB"/>
    <w:rsid w:val="009F637C"/>
    <w:rsid w:val="00A0137A"/>
    <w:rsid w:val="00A02E5B"/>
    <w:rsid w:val="00A153A8"/>
    <w:rsid w:val="00A3178C"/>
    <w:rsid w:val="00A32E35"/>
    <w:rsid w:val="00A34731"/>
    <w:rsid w:val="00A41A82"/>
    <w:rsid w:val="00A42369"/>
    <w:rsid w:val="00A47B8C"/>
    <w:rsid w:val="00A55ADA"/>
    <w:rsid w:val="00A6050C"/>
    <w:rsid w:val="00A6303D"/>
    <w:rsid w:val="00A63E0C"/>
    <w:rsid w:val="00A65522"/>
    <w:rsid w:val="00A65782"/>
    <w:rsid w:val="00A7262E"/>
    <w:rsid w:val="00A77EAE"/>
    <w:rsid w:val="00A91450"/>
    <w:rsid w:val="00A92576"/>
    <w:rsid w:val="00A94924"/>
    <w:rsid w:val="00A971EE"/>
    <w:rsid w:val="00AA351E"/>
    <w:rsid w:val="00AA52D0"/>
    <w:rsid w:val="00AA70B6"/>
    <w:rsid w:val="00AB4A68"/>
    <w:rsid w:val="00AC14AE"/>
    <w:rsid w:val="00AC2D26"/>
    <w:rsid w:val="00AC4518"/>
    <w:rsid w:val="00AE4E5E"/>
    <w:rsid w:val="00AE4FCD"/>
    <w:rsid w:val="00AE657B"/>
    <w:rsid w:val="00AE66D5"/>
    <w:rsid w:val="00AF20B1"/>
    <w:rsid w:val="00AF2F49"/>
    <w:rsid w:val="00AF5550"/>
    <w:rsid w:val="00AF7A58"/>
    <w:rsid w:val="00B12DE3"/>
    <w:rsid w:val="00B13727"/>
    <w:rsid w:val="00B1386B"/>
    <w:rsid w:val="00B147C0"/>
    <w:rsid w:val="00B14FAE"/>
    <w:rsid w:val="00B15922"/>
    <w:rsid w:val="00B17BFC"/>
    <w:rsid w:val="00B202EF"/>
    <w:rsid w:val="00B20805"/>
    <w:rsid w:val="00B21645"/>
    <w:rsid w:val="00B21C3D"/>
    <w:rsid w:val="00B2391E"/>
    <w:rsid w:val="00B23B80"/>
    <w:rsid w:val="00B243E9"/>
    <w:rsid w:val="00B250FE"/>
    <w:rsid w:val="00B30B19"/>
    <w:rsid w:val="00B3328E"/>
    <w:rsid w:val="00B343C3"/>
    <w:rsid w:val="00B35221"/>
    <w:rsid w:val="00B35D8A"/>
    <w:rsid w:val="00B42E84"/>
    <w:rsid w:val="00B43684"/>
    <w:rsid w:val="00B44F7B"/>
    <w:rsid w:val="00B517FE"/>
    <w:rsid w:val="00B535BF"/>
    <w:rsid w:val="00B53620"/>
    <w:rsid w:val="00B570D9"/>
    <w:rsid w:val="00B65F12"/>
    <w:rsid w:val="00B678E4"/>
    <w:rsid w:val="00B7234A"/>
    <w:rsid w:val="00B746C6"/>
    <w:rsid w:val="00B75C15"/>
    <w:rsid w:val="00B76B74"/>
    <w:rsid w:val="00B81726"/>
    <w:rsid w:val="00B81E8D"/>
    <w:rsid w:val="00B8244B"/>
    <w:rsid w:val="00B83B28"/>
    <w:rsid w:val="00B866FB"/>
    <w:rsid w:val="00B86BDE"/>
    <w:rsid w:val="00B9226A"/>
    <w:rsid w:val="00B92652"/>
    <w:rsid w:val="00B92C8A"/>
    <w:rsid w:val="00B96588"/>
    <w:rsid w:val="00BA4996"/>
    <w:rsid w:val="00BA7E25"/>
    <w:rsid w:val="00BB6C1C"/>
    <w:rsid w:val="00BC0E14"/>
    <w:rsid w:val="00BC32F1"/>
    <w:rsid w:val="00BC6851"/>
    <w:rsid w:val="00BD1FE7"/>
    <w:rsid w:val="00BD277A"/>
    <w:rsid w:val="00BE36F3"/>
    <w:rsid w:val="00BE379A"/>
    <w:rsid w:val="00BE603C"/>
    <w:rsid w:val="00BE6431"/>
    <w:rsid w:val="00BF08F0"/>
    <w:rsid w:val="00BF4EBF"/>
    <w:rsid w:val="00BF689B"/>
    <w:rsid w:val="00C0241B"/>
    <w:rsid w:val="00C02DDD"/>
    <w:rsid w:val="00C05FED"/>
    <w:rsid w:val="00C07CC9"/>
    <w:rsid w:val="00C12A3C"/>
    <w:rsid w:val="00C12D58"/>
    <w:rsid w:val="00C1770C"/>
    <w:rsid w:val="00C22125"/>
    <w:rsid w:val="00C240E4"/>
    <w:rsid w:val="00C32ABE"/>
    <w:rsid w:val="00C32C0D"/>
    <w:rsid w:val="00C36B16"/>
    <w:rsid w:val="00C468AE"/>
    <w:rsid w:val="00C5070D"/>
    <w:rsid w:val="00C55EF9"/>
    <w:rsid w:val="00C56295"/>
    <w:rsid w:val="00C62BCB"/>
    <w:rsid w:val="00C62CCE"/>
    <w:rsid w:val="00C62DB2"/>
    <w:rsid w:val="00C67EEA"/>
    <w:rsid w:val="00C70573"/>
    <w:rsid w:val="00C71006"/>
    <w:rsid w:val="00C72864"/>
    <w:rsid w:val="00C73FF8"/>
    <w:rsid w:val="00C85245"/>
    <w:rsid w:val="00C85D2D"/>
    <w:rsid w:val="00C92295"/>
    <w:rsid w:val="00C932E3"/>
    <w:rsid w:val="00C950E5"/>
    <w:rsid w:val="00CA4A25"/>
    <w:rsid w:val="00CA59CE"/>
    <w:rsid w:val="00CA67AA"/>
    <w:rsid w:val="00CA6AA8"/>
    <w:rsid w:val="00CB3CF0"/>
    <w:rsid w:val="00CB58AD"/>
    <w:rsid w:val="00CC6292"/>
    <w:rsid w:val="00CD06F9"/>
    <w:rsid w:val="00CD1BA9"/>
    <w:rsid w:val="00CD5B01"/>
    <w:rsid w:val="00CE022E"/>
    <w:rsid w:val="00CE0EEC"/>
    <w:rsid w:val="00CE1EA3"/>
    <w:rsid w:val="00CE2617"/>
    <w:rsid w:val="00CE4E67"/>
    <w:rsid w:val="00CE6A16"/>
    <w:rsid w:val="00CF25EA"/>
    <w:rsid w:val="00CF32A5"/>
    <w:rsid w:val="00D006F4"/>
    <w:rsid w:val="00D05383"/>
    <w:rsid w:val="00D231CD"/>
    <w:rsid w:val="00D26689"/>
    <w:rsid w:val="00D26A14"/>
    <w:rsid w:val="00D32526"/>
    <w:rsid w:val="00D32C3B"/>
    <w:rsid w:val="00D36DD6"/>
    <w:rsid w:val="00D458DC"/>
    <w:rsid w:val="00D508D6"/>
    <w:rsid w:val="00D62E96"/>
    <w:rsid w:val="00D62FC3"/>
    <w:rsid w:val="00D64958"/>
    <w:rsid w:val="00D85BD9"/>
    <w:rsid w:val="00D90099"/>
    <w:rsid w:val="00D9729D"/>
    <w:rsid w:val="00DB33FC"/>
    <w:rsid w:val="00DC2250"/>
    <w:rsid w:val="00DC5226"/>
    <w:rsid w:val="00DC73A3"/>
    <w:rsid w:val="00DC775A"/>
    <w:rsid w:val="00DD2A00"/>
    <w:rsid w:val="00DD2F40"/>
    <w:rsid w:val="00DD74A6"/>
    <w:rsid w:val="00DE243F"/>
    <w:rsid w:val="00DE2633"/>
    <w:rsid w:val="00DE29C3"/>
    <w:rsid w:val="00DE4B93"/>
    <w:rsid w:val="00DF0709"/>
    <w:rsid w:val="00DF28A6"/>
    <w:rsid w:val="00DF661D"/>
    <w:rsid w:val="00DF6EA9"/>
    <w:rsid w:val="00E01554"/>
    <w:rsid w:val="00E020FE"/>
    <w:rsid w:val="00E05FFA"/>
    <w:rsid w:val="00E100B4"/>
    <w:rsid w:val="00E130CB"/>
    <w:rsid w:val="00E1365F"/>
    <w:rsid w:val="00E15F14"/>
    <w:rsid w:val="00E21599"/>
    <w:rsid w:val="00E21A50"/>
    <w:rsid w:val="00E2206B"/>
    <w:rsid w:val="00E22158"/>
    <w:rsid w:val="00E22434"/>
    <w:rsid w:val="00E24795"/>
    <w:rsid w:val="00E313DF"/>
    <w:rsid w:val="00E32F37"/>
    <w:rsid w:val="00E403DB"/>
    <w:rsid w:val="00E45095"/>
    <w:rsid w:val="00E568C9"/>
    <w:rsid w:val="00E64144"/>
    <w:rsid w:val="00E66439"/>
    <w:rsid w:val="00E7422A"/>
    <w:rsid w:val="00E9043F"/>
    <w:rsid w:val="00E90632"/>
    <w:rsid w:val="00E949AF"/>
    <w:rsid w:val="00E97617"/>
    <w:rsid w:val="00EA7A37"/>
    <w:rsid w:val="00EB1992"/>
    <w:rsid w:val="00EB4114"/>
    <w:rsid w:val="00EB4327"/>
    <w:rsid w:val="00EC1517"/>
    <w:rsid w:val="00EC1D5A"/>
    <w:rsid w:val="00EE23F7"/>
    <w:rsid w:val="00EE2F40"/>
    <w:rsid w:val="00EF212F"/>
    <w:rsid w:val="00EF7005"/>
    <w:rsid w:val="00F04E92"/>
    <w:rsid w:val="00F116C4"/>
    <w:rsid w:val="00F13560"/>
    <w:rsid w:val="00F1386D"/>
    <w:rsid w:val="00F17B6E"/>
    <w:rsid w:val="00F2231A"/>
    <w:rsid w:val="00F30BA1"/>
    <w:rsid w:val="00F32F7D"/>
    <w:rsid w:val="00F332CB"/>
    <w:rsid w:val="00F410DF"/>
    <w:rsid w:val="00F419DE"/>
    <w:rsid w:val="00F41FF3"/>
    <w:rsid w:val="00F51D5F"/>
    <w:rsid w:val="00F53FB6"/>
    <w:rsid w:val="00F560CA"/>
    <w:rsid w:val="00F60C57"/>
    <w:rsid w:val="00F61E63"/>
    <w:rsid w:val="00F7298D"/>
    <w:rsid w:val="00F7380D"/>
    <w:rsid w:val="00F74906"/>
    <w:rsid w:val="00F803D0"/>
    <w:rsid w:val="00F82E07"/>
    <w:rsid w:val="00F86CFC"/>
    <w:rsid w:val="00F933A2"/>
    <w:rsid w:val="00F93628"/>
    <w:rsid w:val="00F93983"/>
    <w:rsid w:val="00F963C4"/>
    <w:rsid w:val="00FA03F1"/>
    <w:rsid w:val="00FA2B99"/>
    <w:rsid w:val="00FA3161"/>
    <w:rsid w:val="00FA6EE6"/>
    <w:rsid w:val="00FB11D8"/>
    <w:rsid w:val="00FB4EFB"/>
    <w:rsid w:val="00FC177F"/>
    <w:rsid w:val="00FD1642"/>
    <w:rsid w:val="00FD327F"/>
    <w:rsid w:val="00FD485F"/>
    <w:rsid w:val="00FD699F"/>
    <w:rsid w:val="00FE3DDE"/>
    <w:rsid w:val="00FE7BA1"/>
    <w:rsid w:val="0313125E"/>
    <w:rsid w:val="04917BFA"/>
    <w:rsid w:val="0518501E"/>
    <w:rsid w:val="056A3C84"/>
    <w:rsid w:val="058B0D7D"/>
    <w:rsid w:val="05C020A1"/>
    <w:rsid w:val="08DB0B60"/>
    <w:rsid w:val="08E43623"/>
    <w:rsid w:val="0A3259D4"/>
    <w:rsid w:val="0E690E05"/>
    <w:rsid w:val="0F2A712E"/>
    <w:rsid w:val="10523E8A"/>
    <w:rsid w:val="10BD58B5"/>
    <w:rsid w:val="15192D96"/>
    <w:rsid w:val="17C950C2"/>
    <w:rsid w:val="1BA26B6D"/>
    <w:rsid w:val="1C507CB6"/>
    <w:rsid w:val="1E0121B9"/>
    <w:rsid w:val="20C60E95"/>
    <w:rsid w:val="20EE7073"/>
    <w:rsid w:val="22864B4D"/>
    <w:rsid w:val="23473B4D"/>
    <w:rsid w:val="24126A4F"/>
    <w:rsid w:val="2580010F"/>
    <w:rsid w:val="26682DF0"/>
    <w:rsid w:val="26CA4775"/>
    <w:rsid w:val="26F92747"/>
    <w:rsid w:val="27593858"/>
    <w:rsid w:val="2A3611BE"/>
    <w:rsid w:val="2B161C32"/>
    <w:rsid w:val="2B190BDB"/>
    <w:rsid w:val="2B4F33D6"/>
    <w:rsid w:val="2C6111EA"/>
    <w:rsid w:val="2C7B4809"/>
    <w:rsid w:val="2EBB4596"/>
    <w:rsid w:val="30466883"/>
    <w:rsid w:val="305962E4"/>
    <w:rsid w:val="30981A21"/>
    <w:rsid w:val="30A47041"/>
    <w:rsid w:val="3261258D"/>
    <w:rsid w:val="32B7135E"/>
    <w:rsid w:val="32F47DFE"/>
    <w:rsid w:val="34205B4A"/>
    <w:rsid w:val="37051247"/>
    <w:rsid w:val="37282F2E"/>
    <w:rsid w:val="3BC90495"/>
    <w:rsid w:val="3BF60D08"/>
    <w:rsid w:val="3D1D50BA"/>
    <w:rsid w:val="3DFF103B"/>
    <w:rsid w:val="41E2538A"/>
    <w:rsid w:val="42106613"/>
    <w:rsid w:val="43340FD0"/>
    <w:rsid w:val="4338369B"/>
    <w:rsid w:val="44440AAF"/>
    <w:rsid w:val="44684F76"/>
    <w:rsid w:val="45DC3F71"/>
    <w:rsid w:val="466960D4"/>
    <w:rsid w:val="48AB1492"/>
    <w:rsid w:val="49302CDE"/>
    <w:rsid w:val="4939448A"/>
    <w:rsid w:val="4AD10D6B"/>
    <w:rsid w:val="4B531E57"/>
    <w:rsid w:val="4B5F6D00"/>
    <w:rsid w:val="4B9002A1"/>
    <w:rsid w:val="4CC663B9"/>
    <w:rsid w:val="4D211275"/>
    <w:rsid w:val="4D2E2547"/>
    <w:rsid w:val="4DDE17B5"/>
    <w:rsid w:val="4EC33F0B"/>
    <w:rsid w:val="52AA01DC"/>
    <w:rsid w:val="542E5FF8"/>
    <w:rsid w:val="54305C39"/>
    <w:rsid w:val="544811DF"/>
    <w:rsid w:val="55B72880"/>
    <w:rsid w:val="55C31751"/>
    <w:rsid w:val="5849612D"/>
    <w:rsid w:val="587B6DFF"/>
    <w:rsid w:val="590E3D5B"/>
    <w:rsid w:val="5B2F1F99"/>
    <w:rsid w:val="5B46197C"/>
    <w:rsid w:val="5C883F13"/>
    <w:rsid w:val="5CAD5A5C"/>
    <w:rsid w:val="5D2972E4"/>
    <w:rsid w:val="5E27175F"/>
    <w:rsid w:val="5F533996"/>
    <w:rsid w:val="6022528D"/>
    <w:rsid w:val="649F4A1A"/>
    <w:rsid w:val="64EF2799"/>
    <w:rsid w:val="65E0325F"/>
    <w:rsid w:val="667D7330"/>
    <w:rsid w:val="674F7418"/>
    <w:rsid w:val="6784186B"/>
    <w:rsid w:val="6853519B"/>
    <w:rsid w:val="69704AFB"/>
    <w:rsid w:val="6A2F078E"/>
    <w:rsid w:val="6A961A6F"/>
    <w:rsid w:val="6B6E5361"/>
    <w:rsid w:val="6BC30EB4"/>
    <w:rsid w:val="6C624FB9"/>
    <w:rsid w:val="6D265FFC"/>
    <w:rsid w:val="6EC217B8"/>
    <w:rsid w:val="6ED2214E"/>
    <w:rsid w:val="6EDC3E65"/>
    <w:rsid w:val="705C4D63"/>
    <w:rsid w:val="70D127A3"/>
    <w:rsid w:val="72493BB5"/>
    <w:rsid w:val="730C5B99"/>
    <w:rsid w:val="73840550"/>
    <w:rsid w:val="74EA0E89"/>
    <w:rsid w:val="756F3E02"/>
    <w:rsid w:val="75AA6994"/>
    <w:rsid w:val="766E5027"/>
    <w:rsid w:val="76F53D01"/>
    <w:rsid w:val="77B97400"/>
    <w:rsid w:val="77BE29A8"/>
    <w:rsid w:val="780126CE"/>
    <w:rsid w:val="787F5727"/>
    <w:rsid w:val="7DF2712A"/>
    <w:rsid w:val="7F29546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iPriority="99"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1"/>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0"/>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2"/>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58"/>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autoSpaceDE w:val="0"/>
      <w:autoSpaceDN w:val="0"/>
      <w:adjustRightInd w:val="0"/>
      <w:snapToGrid w:val="0"/>
      <w:spacing w:line="300" w:lineRule="auto"/>
      <w:ind w:firstLine="200" w:firstLineChars="200"/>
      <w:jc w:val="left"/>
    </w:pPr>
    <w:rPr>
      <w:rFonts w:ascii="宋体" w:hAnsi="Times New Roman" w:eastAsia="宋体" w:cs="Times New Roman"/>
      <w:kern w:val="0"/>
      <w:sz w:val="24"/>
      <w:szCs w:val="20"/>
    </w:rPr>
  </w:style>
  <w:style w:type="paragraph" w:styleId="7">
    <w:name w:val="annotation text"/>
    <w:basedOn w:val="1"/>
    <w:link w:val="49"/>
    <w:unhideWhenUsed/>
    <w:qFormat/>
    <w:uiPriority w:val="0"/>
    <w:pPr>
      <w:jc w:val="left"/>
    </w:pPr>
    <w:rPr>
      <w:rFonts w:ascii="Times New Roman" w:hAnsi="Times New Roman" w:eastAsia="宋体" w:cs="Times New Roman"/>
      <w:szCs w:val="20"/>
    </w:rPr>
  </w:style>
  <w:style w:type="paragraph" w:styleId="8">
    <w:name w:val="Body Text"/>
    <w:basedOn w:val="1"/>
    <w:link w:val="43"/>
    <w:qFormat/>
    <w:uiPriority w:val="0"/>
    <w:rPr>
      <w:rFonts w:ascii="仿宋_GB2312" w:hAnsi="Times New Roman" w:eastAsia="仿宋_GB2312" w:cs="Times New Roman"/>
      <w:sz w:val="32"/>
      <w:szCs w:val="20"/>
    </w:rPr>
  </w:style>
  <w:style w:type="paragraph" w:styleId="9">
    <w:name w:val="Plain Text"/>
    <w:basedOn w:val="1"/>
    <w:link w:val="26"/>
    <w:qFormat/>
    <w:uiPriority w:val="0"/>
    <w:rPr>
      <w:rFonts w:ascii="宋体" w:hAnsi="Courier New" w:eastAsia="宋体"/>
    </w:rPr>
  </w:style>
  <w:style w:type="paragraph" w:styleId="10">
    <w:name w:val="Body Text Indent 2"/>
    <w:basedOn w:val="1"/>
    <w:link w:val="46"/>
    <w:qFormat/>
    <w:uiPriority w:val="0"/>
    <w:pPr>
      <w:spacing w:after="120" w:line="480" w:lineRule="auto"/>
      <w:ind w:left="420" w:leftChars="200"/>
    </w:pPr>
  </w:style>
  <w:style w:type="paragraph" w:styleId="11">
    <w:name w:val="endnote text"/>
    <w:basedOn w:val="1"/>
    <w:link w:val="47"/>
    <w:unhideWhenUsed/>
    <w:qFormat/>
    <w:uiPriority w:val="99"/>
    <w:pPr>
      <w:snapToGrid w:val="0"/>
      <w:jc w:val="left"/>
    </w:pPr>
  </w:style>
  <w:style w:type="paragraph" w:styleId="12">
    <w:name w:val="Balloon Text"/>
    <w:basedOn w:val="1"/>
    <w:link w:val="48"/>
    <w:qFormat/>
    <w:uiPriority w:val="0"/>
    <w:rPr>
      <w:sz w:val="18"/>
      <w:szCs w:val="18"/>
    </w:rPr>
  </w:style>
  <w:style w:type="paragraph" w:styleId="13">
    <w:name w:val="footer"/>
    <w:basedOn w:val="1"/>
    <w:link w:val="24"/>
    <w:qFormat/>
    <w:uiPriority w:val="99"/>
    <w:pPr>
      <w:tabs>
        <w:tab w:val="center" w:pos="4153"/>
        <w:tab w:val="right" w:pos="8306"/>
      </w:tabs>
      <w:snapToGrid w:val="0"/>
      <w:jc w:val="left"/>
    </w:pPr>
    <w:rPr>
      <w:sz w:val="18"/>
      <w:szCs w:val="18"/>
    </w:rPr>
  </w:style>
  <w:style w:type="paragraph" w:styleId="14">
    <w:name w:val="header"/>
    <w:basedOn w:val="1"/>
    <w:link w:val="23"/>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tabs>
        <w:tab w:val="left" w:pos="420"/>
        <w:tab w:val="right" w:leader="dot" w:pos="9345"/>
      </w:tabs>
    </w:pPr>
    <w:rPr>
      <w:rFonts w:ascii="Times New Roman" w:hAnsi="Times New Roman" w:eastAsia="宋体" w:cs="Times New Roman"/>
      <w:szCs w:val="24"/>
    </w:rPr>
  </w:style>
  <w:style w:type="paragraph" w:styleId="16">
    <w:name w:val="List"/>
    <w:basedOn w:val="1"/>
    <w:qFormat/>
    <w:uiPriority w:val="99"/>
    <w:pPr>
      <w:ind w:left="420" w:hanging="420"/>
    </w:pPr>
    <w:rPr>
      <w:rFonts w:ascii="Times New Roman" w:hAnsi="Times New Roman" w:eastAsia="宋体" w:cs="Times New Roman"/>
      <w:szCs w:val="20"/>
    </w:rPr>
  </w:style>
  <w:style w:type="paragraph" w:styleId="17">
    <w:name w:val="toc 2"/>
    <w:basedOn w:val="1"/>
    <w:next w:val="1"/>
    <w:unhideWhenUsed/>
    <w:qFormat/>
    <w:uiPriority w:val="39"/>
    <w:pPr>
      <w:ind w:left="420" w:leftChars="200"/>
    </w:pPr>
    <w:rPr>
      <w:rFonts w:ascii="Times New Roman" w:hAnsi="Times New Roman" w:eastAsia="宋体" w:cs="Times New Roman"/>
      <w:szCs w:val="24"/>
    </w:rPr>
  </w:style>
  <w:style w:type="table" w:styleId="19">
    <w:name w:val="Table Grid"/>
    <w:basedOn w:val="1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qFormat/>
    <w:uiPriority w:val="99"/>
    <w:rPr>
      <w:rFonts w:cs="Times New Roman"/>
      <w:color w:val="1F4F88"/>
      <w:u w:val="none"/>
    </w:rPr>
  </w:style>
  <w:style w:type="character" w:styleId="22">
    <w:name w:val="annotation reference"/>
    <w:basedOn w:val="20"/>
    <w:unhideWhenUsed/>
    <w:qFormat/>
    <w:uiPriority w:val="99"/>
    <w:rPr>
      <w:sz w:val="21"/>
      <w:szCs w:val="21"/>
    </w:rPr>
  </w:style>
  <w:style w:type="character" w:customStyle="1" w:styleId="23">
    <w:name w:val="页眉 字符"/>
    <w:basedOn w:val="20"/>
    <w:link w:val="14"/>
    <w:qFormat/>
    <w:uiPriority w:val="99"/>
    <w:rPr>
      <w:kern w:val="2"/>
      <w:sz w:val="18"/>
      <w:szCs w:val="18"/>
    </w:rPr>
  </w:style>
  <w:style w:type="character" w:customStyle="1" w:styleId="24">
    <w:name w:val="页脚 字符"/>
    <w:basedOn w:val="20"/>
    <w:link w:val="13"/>
    <w:qFormat/>
    <w:uiPriority w:val="99"/>
    <w:rPr>
      <w:kern w:val="2"/>
      <w:sz w:val="18"/>
      <w:szCs w:val="18"/>
    </w:rPr>
  </w:style>
  <w:style w:type="character" w:customStyle="1" w:styleId="25">
    <w:name w:val="纯文本 字符"/>
    <w:basedOn w:val="20"/>
    <w:qFormat/>
    <w:uiPriority w:val="0"/>
    <w:rPr>
      <w:rFonts w:hAnsi="Courier New" w:cs="Courier New" w:asciiTheme="minorEastAsia"/>
      <w:kern w:val="2"/>
      <w:sz w:val="21"/>
      <w:szCs w:val="22"/>
    </w:rPr>
  </w:style>
  <w:style w:type="character" w:customStyle="1" w:styleId="26">
    <w:name w:val="纯文本 字符1"/>
    <w:link w:val="9"/>
    <w:qFormat/>
    <w:uiPriority w:val="0"/>
    <w:rPr>
      <w:rFonts w:ascii="宋体" w:hAnsi="Courier New" w:eastAsia="宋体"/>
      <w:kern w:val="2"/>
      <w:sz w:val="21"/>
      <w:szCs w:val="22"/>
    </w:rPr>
  </w:style>
  <w:style w:type="paragraph" w:styleId="27">
    <w:name w:val="List Paragraph"/>
    <w:basedOn w:val="1"/>
    <w:link w:val="55"/>
    <w:qFormat/>
    <w:uiPriority w:val="34"/>
    <w:pPr>
      <w:numPr>
        <w:ilvl w:val="0"/>
        <w:numId w:val="1"/>
      </w:numPr>
      <w:spacing w:line="420" w:lineRule="exact"/>
      <w:ind w:right="210" w:rightChars="100"/>
      <w:jc w:val="left"/>
    </w:pPr>
    <w:rPr>
      <w:rFonts w:ascii="Calibri" w:hAnsi="Calibri" w:eastAsia="宋体" w:cs="Times New Roman"/>
    </w:rPr>
  </w:style>
  <w:style w:type="paragraph" w:customStyle="1" w:styleId="28">
    <w:name w:val="标书正文格式"/>
    <w:basedOn w:val="9"/>
    <w:link w:val="30"/>
    <w:qFormat/>
    <w:uiPriority w:val="0"/>
    <w:pPr>
      <w:spacing w:line="360" w:lineRule="auto"/>
      <w:ind w:firstLine="200" w:firstLineChars="200"/>
    </w:pPr>
    <w:rPr>
      <w:rFonts w:hAnsi="宋体"/>
      <w:color w:val="000000"/>
      <w:sz w:val="24"/>
      <w:szCs w:val="24"/>
    </w:rPr>
  </w:style>
  <w:style w:type="paragraph" w:customStyle="1" w:styleId="29">
    <w:name w:val="标书二级标题"/>
    <w:basedOn w:val="3"/>
    <w:link w:val="32"/>
    <w:qFormat/>
    <w:uiPriority w:val="0"/>
    <w:pPr>
      <w:spacing w:before="0" w:after="0" w:line="240" w:lineRule="auto"/>
      <w:jc w:val="left"/>
    </w:pPr>
    <w:rPr>
      <w:rFonts w:ascii="黑体" w:hAnsi="黑体" w:eastAsia="黑体" w:cs="Times New Roman"/>
      <w:b w:val="0"/>
      <w:sz w:val="24"/>
      <w:szCs w:val="24"/>
    </w:rPr>
  </w:style>
  <w:style w:type="character" w:customStyle="1" w:styleId="30">
    <w:name w:val="标书正文格式 字符"/>
    <w:link w:val="28"/>
    <w:qFormat/>
    <w:uiPriority w:val="0"/>
    <w:rPr>
      <w:rFonts w:ascii="宋体" w:hAnsi="宋体" w:eastAsia="宋体"/>
      <w:color w:val="000000"/>
      <w:kern w:val="2"/>
      <w:sz w:val="24"/>
      <w:szCs w:val="24"/>
    </w:rPr>
  </w:style>
  <w:style w:type="paragraph" w:customStyle="1" w:styleId="31">
    <w:name w:val="标书表格"/>
    <w:basedOn w:val="1"/>
    <w:link w:val="34"/>
    <w:qFormat/>
    <w:uiPriority w:val="0"/>
    <w:rPr>
      <w:rFonts w:ascii="Times New Roman" w:hAnsi="Times New Roman" w:eastAsia="宋体" w:cs="Times New Roman"/>
      <w:b/>
      <w:szCs w:val="20"/>
    </w:rPr>
  </w:style>
  <w:style w:type="character" w:customStyle="1" w:styleId="32">
    <w:name w:val="标书二级标题 字符"/>
    <w:link w:val="29"/>
    <w:qFormat/>
    <w:uiPriority w:val="0"/>
    <w:rPr>
      <w:rFonts w:ascii="黑体" w:hAnsi="黑体" w:eastAsia="黑体"/>
      <w:bCs/>
      <w:kern w:val="2"/>
      <w:sz w:val="24"/>
      <w:szCs w:val="24"/>
    </w:rPr>
  </w:style>
  <w:style w:type="paragraph" w:customStyle="1" w:styleId="33">
    <w:name w:val="标书一级标题"/>
    <w:basedOn w:val="2"/>
    <w:link w:val="36"/>
    <w:qFormat/>
    <w:uiPriority w:val="0"/>
    <w:pPr>
      <w:spacing w:before="0" w:after="0" w:line="240" w:lineRule="auto"/>
      <w:jc w:val="center"/>
    </w:pPr>
    <w:rPr>
      <w:rFonts w:ascii="Times New Roman" w:hAnsi="Times New Roman" w:eastAsia="黑体" w:cs="Times New Roman"/>
      <w:b w:val="0"/>
      <w:color w:val="000000"/>
      <w:sz w:val="30"/>
      <w:szCs w:val="24"/>
    </w:rPr>
  </w:style>
  <w:style w:type="character" w:customStyle="1" w:styleId="34">
    <w:name w:val="标书表格 字符"/>
    <w:link w:val="31"/>
    <w:qFormat/>
    <w:uiPriority w:val="0"/>
    <w:rPr>
      <w:b/>
      <w:kern w:val="2"/>
      <w:sz w:val="21"/>
    </w:rPr>
  </w:style>
  <w:style w:type="paragraph" w:customStyle="1" w:styleId="35">
    <w:name w:val="标书三级标题"/>
    <w:basedOn w:val="4"/>
    <w:link w:val="38"/>
    <w:qFormat/>
    <w:uiPriority w:val="0"/>
    <w:pPr>
      <w:spacing w:before="0" w:after="0" w:line="240" w:lineRule="auto"/>
      <w:ind w:firstLine="482" w:firstLineChars="200"/>
    </w:pPr>
    <w:rPr>
      <w:rFonts w:ascii="Times New Roman" w:hAnsi="Times New Roman" w:eastAsia="宋体" w:cs="Times New Roman"/>
      <w:color w:val="000000"/>
      <w:sz w:val="24"/>
      <w:szCs w:val="24"/>
    </w:rPr>
  </w:style>
  <w:style w:type="character" w:customStyle="1" w:styleId="36">
    <w:name w:val="标书一级标题 字符"/>
    <w:link w:val="33"/>
    <w:qFormat/>
    <w:uiPriority w:val="0"/>
    <w:rPr>
      <w:rFonts w:ascii="Times New Roman" w:hAnsi="Times New Roman" w:eastAsia="黑体" w:cs="Times New Roman"/>
      <w:bCs/>
      <w:color w:val="000000"/>
      <w:kern w:val="44"/>
      <w:sz w:val="30"/>
      <w:szCs w:val="24"/>
    </w:rPr>
  </w:style>
  <w:style w:type="paragraph" w:customStyle="1" w:styleId="37">
    <w:name w:val="标正文"/>
    <w:basedOn w:val="28"/>
    <w:link w:val="39"/>
    <w:qFormat/>
    <w:uiPriority w:val="0"/>
  </w:style>
  <w:style w:type="character" w:customStyle="1" w:styleId="38">
    <w:name w:val="标书三级标题 字符"/>
    <w:link w:val="35"/>
    <w:qFormat/>
    <w:uiPriority w:val="0"/>
    <w:rPr>
      <w:rFonts w:ascii="Times New Roman" w:hAnsi="Times New Roman" w:eastAsia="宋体" w:cs="Times New Roman"/>
      <w:b/>
      <w:bCs/>
      <w:color w:val="000000"/>
      <w:kern w:val="2"/>
      <w:sz w:val="24"/>
      <w:szCs w:val="24"/>
    </w:rPr>
  </w:style>
  <w:style w:type="character" w:customStyle="1" w:styleId="39">
    <w:name w:val="标正文 字符"/>
    <w:link w:val="37"/>
    <w:qFormat/>
    <w:uiPriority w:val="0"/>
    <w:rPr>
      <w:rFonts w:ascii="宋体" w:hAnsi="宋体" w:eastAsia="宋体"/>
      <w:color w:val="000000"/>
      <w:kern w:val="2"/>
      <w:sz w:val="24"/>
      <w:szCs w:val="24"/>
    </w:rPr>
  </w:style>
  <w:style w:type="character" w:customStyle="1" w:styleId="40">
    <w:name w:val="标题 2 字符"/>
    <w:basedOn w:val="20"/>
    <w:link w:val="3"/>
    <w:semiHidden/>
    <w:qFormat/>
    <w:uiPriority w:val="0"/>
    <w:rPr>
      <w:rFonts w:asciiTheme="majorHAnsi" w:hAnsiTheme="majorHAnsi" w:eastAsiaTheme="majorEastAsia" w:cstheme="majorBidi"/>
      <w:b/>
      <w:bCs/>
      <w:kern w:val="2"/>
      <w:sz w:val="32"/>
      <w:szCs w:val="32"/>
    </w:rPr>
  </w:style>
  <w:style w:type="character" w:customStyle="1" w:styleId="41">
    <w:name w:val="标题 1 字符"/>
    <w:basedOn w:val="20"/>
    <w:link w:val="2"/>
    <w:qFormat/>
    <w:uiPriority w:val="0"/>
    <w:rPr>
      <w:b/>
      <w:bCs/>
      <w:kern w:val="44"/>
      <w:sz w:val="44"/>
      <w:szCs w:val="44"/>
    </w:rPr>
  </w:style>
  <w:style w:type="character" w:customStyle="1" w:styleId="42">
    <w:name w:val="标题 3 字符"/>
    <w:basedOn w:val="20"/>
    <w:link w:val="4"/>
    <w:semiHidden/>
    <w:qFormat/>
    <w:uiPriority w:val="0"/>
    <w:rPr>
      <w:b/>
      <w:bCs/>
      <w:kern w:val="2"/>
      <w:sz w:val="32"/>
      <w:szCs w:val="32"/>
    </w:rPr>
  </w:style>
  <w:style w:type="character" w:customStyle="1" w:styleId="43">
    <w:name w:val="正文文本 字符"/>
    <w:basedOn w:val="20"/>
    <w:link w:val="8"/>
    <w:qFormat/>
    <w:uiPriority w:val="0"/>
    <w:rPr>
      <w:rFonts w:ascii="仿宋_GB2312" w:hAnsi="Times New Roman" w:eastAsia="仿宋_GB2312" w:cs="Times New Roman"/>
      <w:kern w:val="2"/>
      <w:sz w:val="32"/>
    </w:rPr>
  </w:style>
  <w:style w:type="character" w:customStyle="1" w:styleId="44">
    <w:name w:val="正文文本缩进 2 字符"/>
    <w:basedOn w:val="20"/>
    <w:qFormat/>
    <w:uiPriority w:val="0"/>
    <w:rPr>
      <w:kern w:val="2"/>
      <w:sz w:val="21"/>
      <w:szCs w:val="22"/>
    </w:rPr>
  </w:style>
  <w:style w:type="character" w:customStyle="1" w:styleId="45">
    <w:name w:val="标题 1 字符1"/>
    <w:qFormat/>
    <w:uiPriority w:val="0"/>
    <w:rPr>
      <w:rFonts w:ascii="Times New Roman" w:hAnsi="Times New Roman" w:eastAsia="宋体" w:cs="Times New Roman"/>
      <w:b/>
      <w:bCs/>
      <w:kern w:val="44"/>
      <w:sz w:val="44"/>
      <w:szCs w:val="44"/>
    </w:rPr>
  </w:style>
  <w:style w:type="character" w:customStyle="1" w:styleId="46">
    <w:name w:val="正文文本缩进 2 字符1"/>
    <w:link w:val="10"/>
    <w:qFormat/>
    <w:uiPriority w:val="0"/>
    <w:rPr>
      <w:kern w:val="2"/>
      <w:sz w:val="21"/>
      <w:szCs w:val="22"/>
    </w:rPr>
  </w:style>
  <w:style w:type="character" w:customStyle="1" w:styleId="47">
    <w:name w:val="尾注文本 字符"/>
    <w:basedOn w:val="20"/>
    <w:link w:val="11"/>
    <w:qFormat/>
    <w:uiPriority w:val="99"/>
    <w:rPr>
      <w:kern w:val="2"/>
      <w:sz w:val="21"/>
      <w:szCs w:val="22"/>
    </w:rPr>
  </w:style>
  <w:style w:type="character" w:customStyle="1" w:styleId="48">
    <w:name w:val="批注框文本 字符"/>
    <w:basedOn w:val="20"/>
    <w:link w:val="12"/>
    <w:qFormat/>
    <w:uiPriority w:val="0"/>
    <w:rPr>
      <w:rFonts w:asciiTheme="minorHAnsi" w:hAnsiTheme="minorHAnsi" w:eastAsiaTheme="minorEastAsia" w:cstheme="minorBidi"/>
      <w:kern w:val="2"/>
      <w:sz w:val="18"/>
      <w:szCs w:val="18"/>
    </w:rPr>
  </w:style>
  <w:style w:type="character" w:customStyle="1" w:styleId="49">
    <w:name w:val="批注文字 字符"/>
    <w:basedOn w:val="20"/>
    <w:link w:val="7"/>
    <w:qFormat/>
    <w:uiPriority w:val="0"/>
    <w:rPr>
      <w:kern w:val="2"/>
      <w:sz w:val="21"/>
    </w:rPr>
  </w:style>
  <w:style w:type="paragraph" w:customStyle="1" w:styleId="50">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1">
    <w:name w:val="列出段落1"/>
    <w:basedOn w:val="1"/>
    <w:qFormat/>
    <w:uiPriority w:val="34"/>
    <w:pPr>
      <w:ind w:firstLine="420" w:firstLineChars="200"/>
    </w:pPr>
  </w:style>
  <w:style w:type="paragraph" w:customStyle="1" w:styleId="52">
    <w:name w:val="HR正文"/>
    <w:basedOn w:val="1"/>
    <w:link w:val="53"/>
    <w:qFormat/>
    <w:uiPriority w:val="0"/>
    <w:pPr>
      <w:spacing w:line="300" w:lineRule="auto"/>
      <w:ind w:firstLine="200" w:firstLineChars="200"/>
    </w:pPr>
    <w:rPr>
      <w:rFonts w:ascii="Arial" w:hAnsi="Arial" w:eastAsia="宋体" w:cs="Times New Roman"/>
      <w:sz w:val="24"/>
      <w:szCs w:val="24"/>
    </w:rPr>
  </w:style>
  <w:style w:type="character" w:customStyle="1" w:styleId="53">
    <w:name w:val="HR正文 Char"/>
    <w:basedOn w:val="20"/>
    <w:link w:val="52"/>
    <w:qFormat/>
    <w:uiPriority w:val="0"/>
    <w:rPr>
      <w:rFonts w:ascii="Arial" w:hAnsi="Arial"/>
      <w:kern w:val="2"/>
      <w:sz w:val="24"/>
      <w:szCs w:val="24"/>
    </w:rPr>
  </w:style>
  <w:style w:type="paragraph" w:customStyle="1" w:styleId="54">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55">
    <w:name w:val="列表段落 字符"/>
    <w:basedOn w:val="20"/>
    <w:link w:val="27"/>
    <w:qFormat/>
    <w:uiPriority w:val="34"/>
    <w:rPr>
      <w:rFonts w:ascii="Calibri" w:hAnsi="Calibri"/>
      <w:kern w:val="2"/>
      <w:sz w:val="21"/>
      <w:szCs w:val="22"/>
    </w:rPr>
  </w:style>
  <w:style w:type="paragraph" w:customStyle="1" w:styleId="56">
    <w:name w:val="列表段落1"/>
    <w:basedOn w:val="1"/>
    <w:qFormat/>
    <w:uiPriority w:val="0"/>
    <w:pPr>
      <w:ind w:firstLine="420" w:firstLineChars="200"/>
    </w:pPr>
    <w:rPr>
      <w:rFonts w:ascii="Times New Roman" w:hAnsi="Times New Roman" w:eastAsia="宋体" w:cs="Times New Roman"/>
      <w:szCs w:val="21"/>
    </w:rPr>
  </w:style>
  <w:style w:type="paragraph" w:customStyle="1" w:styleId="57">
    <w:name w:val="修订1"/>
    <w:hidden/>
    <w:semi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58">
    <w:name w:val="标题 4 字符"/>
    <w:basedOn w:val="20"/>
    <w:link w:val="5"/>
    <w:semiHidden/>
    <w:qFormat/>
    <w:uiPriority w:val="0"/>
    <w:rPr>
      <w:rFonts w:asciiTheme="majorHAnsi" w:hAnsiTheme="majorHAnsi" w:eastAsiaTheme="majorEastAsia" w:cstheme="majorBidi"/>
      <w:b/>
      <w:bCs/>
      <w:kern w:val="2"/>
      <w:sz w:val="28"/>
      <w:szCs w:val="28"/>
    </w:rPr>
  </w:style>
  <w:style w:type="character" w:customStyle="1" w:styleId="59">
    <w:name w:val="未处理的提及1"/>
    <w:basedOn w:val="20"/>
    <w:semiHidden/>
    <w:unhideWhenUsed/>
    <w:qFormat/>
    <w:uiPriority w:val="99"/>
    <w:rPr>
      <w:color w:val="605E5C"/>
      <w:shd w:val="clear" w:color="auto" w:fill="E1DFDD"/>
    </w:rPr>
  </w:style>
  <w:style w:type="character" w:customStyle="1" w:styleId="60">
    <w:name w:val="纯文本 字符2"/>
    <w:qFormat/>
    <w:uiPriority w:val="0"/>
    <w:rPr>
      <w:rFonts w:ascii="宋体" w:hAnsi="Courier New" w:eastAsia="宋体"/>
      <w:kern w:val="2"/>
      <w:sz w:val="21"/>
      <w:lang w:val="en-US" w:eastAsia="zh-CN" w:bidi="ar-SA"/>
    </w:rPr>
  </w:style>
  <w:style w:type="paragraph" w:customStyle="1" w:styleId="61">
    <w:name w:val="一级标题"/>
    <w:basedOn w:val="9"/>
    <w:qFormat/>
    <w:uiPriority w:val="0"/>
    <w:pPr>
      <w:numPr>
        <w:ilvl w:val="0"/>
        <w:numId w:val="2"/>
      </w:numPr>
      <w:spacing w:line="360" w:lineRule="auto"/>
      <w:ind w:left="2972"/>
      <w:outlineLvl w:val="1"/>
    </w:pPr>
    <w:rPr>
      <w:rFonts w:ascii="黑体" w:eastAsia="黑体"/>
      <w:b/>
      <w:bCs/>
      <w:sz w:val="28"/>
    </w:rPr>
  </w:style>
  <w:style w:type="paragraph" w:customStyle="1" w:styleId="62">
    <w:name w:val="标书正文"/>
    <w:basedOn w:val="9"/>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F7482-3A45-4D9C-9255-EE02B55BAE2D}">
  <ds:schemaRefs/>
</ds:datastoreItem>
</file>

<file path=docProps/app.xml><?xml version="1.0" encoding="utf-8"?>
<Properties xmlns="http://schemas.openxmlformats.org/officeDocument/2006/extended-properties" xmlns:vt="http://schemas.openxmlformats.org/officeDocument/2006/docPropsVTypes">
  <Pages>30</Pages>
  <Words>48</Words>
  <Characters>56</Characters>
  <Lines>114</Lines>
  <Paragraphs>32</Paragraphs>
  <TotalTime>0</TotalTime>
  <ScaleCrop>false</ScaleCrop>
  <LinksUpToDate>false</LinksUpToDate>
  <CharactersWithSpaces>57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2024-06-25T14:48:00Z</dcterms:created>
  <dc:creator>080063</dc:creator>
  <cp:lastModifiedBy>王瑄</cp:lastModifiedBy>
  <cp:lastPrinted>2024-07-16T14:07:00Z</cp:lastPrinted>
  <dcterms:modified xsi:type="dcterms:W3CDTF">2026-03-26T09:48:20Z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EB257C50797D4CFCA5BFA224C3F11858_13</vt:lpwstr>
  </property>
  <property fmtid="{D5CDD505-2E9C-101B-9397-08002B2CF9AE}" pid="4" name="KSOTemplateDocerSaveRecord">
    <vt:lpwstr>eyJoZGlkIjoiZWQxZjNmOWI4MjYxMjE3YWYxMWY4NzIzOWZkNTY1ZGEiLCJ1c2VySWQiOiIxNzY1MTE0NzEzIn0=</vt:lpwstr>
  </property>
</Properties>
</file>