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19"/>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济南卡车制造公司车身二部涂装车间机器人控制系统升级项目</w:t>
      </w:r>
    </w:p>
    <w:p>
      <w:pPr>
        <w:pStyle w:val="19"/>
        <w:rPr>
          <w:rFonts w:hint="eastAsia"/>
          <w:lang w:eastAsia="zh-CN"/>
        </w:rPr>
      </w:pPr>
    </w:p>
    <w:p>
      <w:pPr>
        <w:pStyle w:val="19"/>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9"/>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6"/>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6"/>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6"/>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6"/>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19"/>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9"/>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9"/>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red"/>
                <w:u w:val="single"/>
                <w:lang w:val="en-US" w:eastAsia="zh-CN"/>
              </w:rPr>
              <w:t>FSCZB2025110195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涂装车间机器人控制系统升级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b w:val="0"/>
                <w:bCs w:val="0"/>
                <w:color w:val="FF0000"/>
                <w:sz w:val="24"/>
                <w:szCs w:val="24"/>
                <w:highlight w:val="none"/>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red"/>
                <w:lang w:val="en-US" w:eastAsia="zh-CN"/>
              </w:rPr>
            </w:pPr>
            <w:r>
              <w:rPr>
                <w:rFonts w:hint="eastAsia" w:ascii="宋体" w:hAnsi="宋体" w:eastAsia="宋体" w:cs="宋体"/>
                <w:b/>
                <w:snapToGrid w:val="0"/>
                <w:kern w:val="0"/>
                <w:sz w:val="24"/>
                <w:szCs w:val="24"/>
                <w:highlight w:val="red"/>
                <w:lang w:val="en-US" w:eastAsia="zh-CN"/>
              </w:rPr>
              <w:t>商务</w:t>
            </w:r>
            <w:r>
              <w:rPr>
                <w:rFonts w:hint="eastAsia" w:ascii="宋体" w:hAnsi="宋体" w:eastAsia="宋体" w:cs="宋体"/>
                <w:b/>
                <w:snapToGrid w:val="0"/>
                <w:kern w:val="0"/>
                <w:sz w:val="24"/>
                <w:szCs w:val="24"/>
                <w:highlight w:val="red"/>
              </w:rPr>
              <w:t>联系人：</w:t>
            </w:r>
            <w:r>
              <w:rPr>
                <w:rFonts w:hint="eastAsia" w:ascii="宋体" w:hAnsi="宋体" w:eastAsia="宋体" w:cs="宋体"/>
                <w:b/>
                <w:snapToGrid w:val="0"/>
                <w:kern w:val="0"/>
                <w:sz w:val="24"/>
                <w:szCs w:val="24"/>
                <w:highlight w:val="red"/>
                <w:lang w:val="en-US" w:eastAsia="zh-CN"/>
              </w:rPr>
              <w:t>赵力</w:t>
            </w:r>
          </w:p>
          <w:p>
            <w:pPr>
              <w:pStyle w:val="19"/>
              <w:ind w:firstLine="482" w:firstLineChars="200"/>
              <w:rPr>
                <w:rFonts w:hint="default" w:eastAsia="宋体"/>
                <w:highlight w:val="red"/>
                <w:lang w:val="en-US" w:eastAsia="zh-CN"/>
              </w:rPr>
            </w:pPr>
            <w:r>
              <w:rPr>
                <w:rFonts w:hint="eastAsia" w:ascii="宋体" w:hAnsi="宋体" w:eastAsia="宋体" w:cs="宋体"/>
                <w:b/>
                <w:snapToGrid w:val="0"/>
                <w:kern w:val="0"/>
                <w:sz w:val="24"/>
                <w:szCs w:val="24"/>
                <w:highlight w:val="red"/>
              </w:rPr>
              <w:t>电话：</w:t>
            </w:r>
            <w:r>
              <w:rPr>
                <w:rFonts w:hint="eastAsia" w:hAnsi="宋体" w:eastAsia="宋体" w:cs="宋体"/>
                <w:b/>
                <w:snapToGrid w:val="0"/>
                <w:kern w:val="0"/>
                <w:sz w:val="24"/>
                <w:szCs w:val="24"/>
                <w:highlight w:val="red"/>
                <w:lang w:val="en-US" w:eastAsia="zh-CN"/>
              </w:rPr>
              <w:t>17860606595</w:t>
            </w:r>
          </w:p>
          <w:p>
            <w:pPr>
              <w:ind w:firstLine="482" w:firstLineChars="200"/>
              <w:rPr>
                <w:rFonts w:hint="eastAsia" w:ascii="宋体" w:hAnsi="宋体" w:eastAsia="宋体" w:cs="宋体"/>
                <w:b/>
                <w:snapToGrid w:val="0"/>
                <w:kern w:val="0"/>
                <w:sz w:val="24"/>
                <w:szCs w:val="24"/>
                <w:highlight w:val="red"/>
              </w:rPr>
            </w:pPr>
            <w:r>
              <w:rPr>
                <w:rFonts w:hint="eastAsia" w:ascii="宋体" w:hAnsi="宋体" w:eastAsia="宋体" w:cs="宋体"/>
                <w:b/>
                <w:snapToGrid w:val="0"/>
                <w:kern w:val="0"/>
                <w:sz w:val="24"/>
                <w:szCs w:val="24"/>
                <w:highlight w:val="red"/>
                <w:lang w:val="en-US" w:eastAsia="zh-CN"/>
              </w:rPr>
              <w:t>邮箱</w:t>
            </w:r>
            <w:r>
              <w:rPr>
                <w:rFonts w:hint="eastAsia" w:ascii="宋体" w:hAnsi="宋体" w:eastAsia="宋体" w:cs="宋体"/>
                <w:b/>
                <w:snapToGrid w:val="0"/>
                <w:kern w:val="0"/>
                <w:sz w:val="24"/>
                <w:szCs w:val="24"/>
                <w:highlight w:val="red"/>
              </w:rPr>
              <w:t>：zhaoli@sinotruk.com</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李武卫</w:t>
            </w:r>
          </w:p>
          <w:p>
            <w:pPr>
              <w:pStyle w:val="19"/>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13964081363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liwuwei@sinotruk.com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9"/>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 xml:space="preserve">  398.080000   </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9"/>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9"/>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9"/>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9"/>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9"/>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9"/>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9"/>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9"/>
              <w:ind w:firstLine="480" w:firstLineChars="200"/>
              <w:rPr>
                <w:rFonts w:hint="default" w:ascii="宋体" w:hAnsi="宋体" w:eastAsia="宋体" w:cs="宋体"/>
                <w:color w:val="000000"/>
                <w:kern w:val="2"/>
                <w:sz w:val="24"/>
                <w:szCs w:val="24"/>
                <w:highlight w:val="none"/>
                <w:lang w:val="en-US" w:eastAsia="zh-CN" w:bidi="ar-SA"/>
              </w:rPr>
            </w:pPr>
            <w:r>
              <w:rPr>
                <w:rFonts w:hint="eastAsia" w:hAnsi="宋体" w:eastAsia="宋体" w:cs="宋体"/>
                <w:color w:val="000000"/>
                <w:kern w:val="2"/>
                <w:sz w:val="24"/>
                <w:szCs w:val="24"/>
                <w:highlight w:val="yellow"/>
                <w:lang w:val="en-US" w:eastAsia="zh-CN" w:bidi="ar-SA"/>
              </w:rPr>
              <w:t>13.项目不允许代理商投标，须采用供应商直销模式。</w:t>
            </w:r>
          </w:p>
          <w:p>
            <w:pPr>
              <w:pStyle w:val="19"/>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9"/>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5</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lang w:val="en-US" w:eastAsia="zh-CN"/>
              </w:rPr>
              <w:t>11</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15</w:t>
            </w:r>
            <w:r>
              <w:rPr>
                <w:rFonts w:hint="eastAsia" w:ascii="宋体" w:hAnsi="宋体" w:eastAsia="宋体" w:cs="宋体"/>
                <w:bCs/>
                <w:sz w:val="24"/>
                <w:szCs w:val="24"/>
                <w:highlight w:val="red"/>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red"/>
              </w:rPr>
              <w:t>202</w:t>
            </w:r>
            <w:r>
              <w:rPr>
                <w:rFonts w:hint="eastAsia" w:ascii="宋体" w:hAnsi="宋体" w:eastAsia="宋体" w:cs="宋体"/>
                <w:bCs/>
                <w:sz w:val="24"/>
                <w:szCs w:val="24"/>
                <w:highlight w:val="red"/>
                <w:lang w:val="en-US" w:eastAsia="zh-CN"/>
              </w:rPr>
              <w:t>5</w:t>
            </w:r>
            <w:r>
              <w:rPr>
                <w:rFonts w:hint="eastAsia" w:ascii="宋体" w:hAnsi="宋体" w:eastAsia="宋体" w:cs="宋体"/>
                <w:bCs/>
                <w:sz w:val="24"/>
                <w:szCs w:val="24"/>
                <w:highlight w:val="red"/>
              </w:rPr>
              <w:t>年</w:t>
            </w:r>
            <w:r>
              <w:rPr>
                <w:rFonts w:hint="eastAsia" w:ascii="宋体" w:hAnsi="宋体" w:eastAsia="宋体" w:cs="宋体"/>
                <w:bCs/>
                <w:sz w:val="24"/>
                <w:szCs w:val="24"/>
                <w:highlight w:val="red"/>
                <w:u w:val="single"/>
                <w:lang w:val="en-US" w:eastAsia="zh-CN"/>
              </w:rPr>
              <w:t>11</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25</w:t>
            </w:r>
            <w:r>
              <w:rPr>
                <w:rFonts w:hint="eastAsia" w:ascii="宋体" w:hAnsi="宋体" w:eastAsia="宋体" w:cs="宋体"/>
                <w:bCs/>
                <w:sz w:val="24"/>
                <w:szCs w:val="24"/>
                <w:highlight w:val="red"/>
              </w:rPr>
              <w:t>日1</w:t>
            </w:r>
            <w:r>
              <w:rPr>
                <w:rFonts w:hint="eastAsia" w:ascii="宋体" w:hAnsi="宋体" w:eastAsia="宋体" w:cs="宋体"/>
                <w:bCs/>
                <w:sz w:val="24"/>
                <w:szCs w:val="24"/>
                <w:highlight w:val="red"/>
                <w:lang w:val="en-US" w:eastAsia="zh-CN"/>
              </w:rPr>
              <w:t>7</w:t>
            </w:r>
            <w:r>
              <w:rPr>
                <w:rFonts w:hint="eastAsia" w:ascii="宋体" w:hAnsi="宋体" w:eastAsia="宋体" w:cs="宋体"/>
                <w:bCs/>
                <w:sz w:val="24"/>
                <w:szCs w:val="24"/>
                <w:highlight w:val="red"/>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red"/>
              </w:rPr>
              <w:t>202</w:t>
            </w:r>
            <w:r>
              <w:rPr>
                <w:rFonts w:hint="eastAsia" w:ascii="宋体" w:hAnsi="宋体" w:eastAsia="宋体" w:cs="宋体"/>
                <w:sz w:val="24"/>
                <w:szCs w:val="24"/>
                <w:highlight w:val="red"/>
                <w:lang w:val="en-US" w:eastAsia="zh-CN"/>
              </w:rPr>
              <w:t>5</w:t>
            </w:r>
            <w:r>
              <w:rPr>
                <w:rFonts w:hint="eastAsia" w:ascii="宋体" w:hAnsi="宋体" w:eastAsia="宋体" w:cs="宋体"/>
                <w:sz w:val="24"/>
                <w:szCs w:val="24"/>
                <w:highlight w:val="red"/>
              </w:rPr>
              <w:t>年</w:t>
            </w:r>
            <w:r>
              <w:rPr>
                <w:rFonts w:hint="eastAsia" w:ascii="宋体" w:hAnsi="宋体" w:eastAsia="宋体" w:cs="宋体"/>
                <w:sz w:val="24"/>
                <w:szCs w:val="24"/>
                <w:highlight w:val="red"/>
                <w:u w:val="single"/>
                <w:lang w:val="en-US" w:eastAsia="zh-CN"/>
              </w:rPr>
              <w:t>11</w:t>
            </w:r>
            <w:r>
              <w:rPr>
                <w:rFonts w:hint="eastAsia" w:ascii="宋体" w:hAnsi="宋体" w:eastAsia="宋体" w:cs="宋体"/>
                <w:sz w:val="24"/>
                <w:szCs w:val="24"/>
                <w:highlight w:val="red"/>
              </w:rPr>
              <w:t>月</w:t>
            </w:r>
            <w:r>
              <w:rPr>
                <w:rFonts w:hint="eastAsia" w:ascii="宋体" w:hAnsi="宋体" w:eastAsia="宋体" w:cs="宋体"/>
                <w:sz w:val="24"/>
                <w:szCs w:val="24"/>
                <w:highlight w:val="red"/>
                <w:lang w:val="en-US" w:eastAsia="zh-CN"/>
              </w:rPr>
              <w:t>25</w:t>
            </w:r>
            <w:r>
              <w:rPr>
                <w:rFonts w:hint="eastAsia" w:ascii="宋体" w:hAnsi="宋体" w:eastAsia="宋体" w:cs="宋体"/>
                <w:sz w:val="24"/>
                <w:szCs w:val="24"/>
                <w:highlight w:val="red"/>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red"/>
              </w:rPr>
              <w:t>202</w:t>
            </w:r>
            <w:r>
              <w:rPr>
                <w:rFonts w:hint="eastAsia" w:eastAsia="宋体" w:cs="宋体"/>
                <w:highlight w:val="red"/>
                <w:lang w:val="en-US" w:eastAsia="zh-CN"/>
              </w:rPr>
              <w:t>5</w:t>
            </w:r>
            <w:r>
              <w:rPr>
                <w:rFonts w:hint="eastAsia" w:eastAsia="宋体" w:cs="宋体"/>
                <w:highlight w:val="red"/>
              </w:rPr>
              <w:t>年</w:t>
            </w:r>
            <w:r>
              <w:rPr>
                <w:rFonts w:hint="eastAsia" w:eastAsia="宋体" w:cs="宋体"/>
                <w:highlight w:val="red"/>
                <w:lang w:val="en-US" w:eastAsia="zh-CN"/>
              </w:rPr>
              <w:t>11</w:t>
            </w:r>
            <w:r>
              <w:rPr>
                <w:rFonts w:hint="eastAsia" w:eastAsia="宋体" w:cs="宋体"/>
                <w:highlight w:val="red"/>
              </w:rPr>
              <w:t>月</w:t>
            </w:r>
            <w:r>
              <w:rPr>
                <w:rFonts w:hint="eastAsia" w:eastAsia="宋体" w:cs="宋体"/>
                <w:highlight w:val="red"/>
                <w:lang w:val="en-US" w:eastAsia="zh-CN"/>
              </w:rPr>
              <w:t>20</w:t>
            </w:r>
            <w:r>
              <w:rPr>
                <w:rFonts w:hint="eastAsia" w:eastAsia="宋体" w:cs="宋体"/>
                <w:highlight w:val="red"/>
              </w:rPr>
              <w:t>日</w:t>
            </w:r>
            <w:r>
              <w:rPr>
                <w:rFonts w:hint="eastAsia" w:eastAsia="宋体" w:cs="宋体"/>
                <w:highlight w:val="red"/>
                <w:lang w:val="en-US" w:eastAsia="zh-CN"/>
              </w:rPr>
              <w:t>17时00分00秒</w:t>
            </w:r>
          </w:p>
          <w:p>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9"/>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9"/>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9"/>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9"/>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9"/>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red"/>
                <w:u w:val="single"/>
              </w:rPr>
              <w:t>202</w:t>
            </w:r>
            <w:r>
              <w:rPr>
                <w:rFonts w:hint="eastAsia" w:hAnsi="宋体" w:eastAsia="宋体" w:cs="宋体"/>
                <w:sz w:val="24"/>
                <w:szCs w:val="24"/>
                <w:highlight w:val="red"/>
                <w:u w:val="single"/>
                <w:lang w:val="en-US" w:eastAsia="zh-CN"/>
              </w:rPr>
              <w:t>5</w:t>
            </w:r>
            <w:r>
              <w:rPr>
                <w:rFonts w:hint="eastAsia" w:ascii="宋体" w:hAnsi="宋体" w:eastAsia="宋体" w:cs="宋体"/>
                <w:sz w:val="24"/>
                <w:szCs w:val="24"/>
                <w:highlight w:val="red"/>
              </w:rPr>
              <w:t>年</w:t>
            </w:r>
            <w:r>
              <w:rPr>
                <w:rFonts w:hint="eastAsia" w:hAnsi="宋体" w:eastAsia="宋体" w:cs="宋体"/>
                <w:sz w:val="24"/>
                <w:szCs w:val="24"/>
                <w:highlight w:val="red"/>
                <w:lang w:val="en-US" w:eastAsia="zh-CN"/>
              </w:rPr>
              <w:t>12</w:t>
            </w:r>
            <w:r>
              <w:rPr>
                <w:rFonts w:hint="eastAsia" w:ascii="宋体" w:hAnsi="宋体" w:eastAsia="宋体" w:cs="宋体"/>
                <w:sz w:val="24"/>
                <w:szCs w:val="24"/>
                <w:highlight w:val="red"/>
              </w:rPr>
              <w:t>月</w:t>
            </w:r>
            <w:r>
              <w:rPr>
                <w:rFonts w:hint="eastAsia" w:hAnsi="宋体" w:eastAsia="宋体" w:cs="宋体"/>
                <w:sz w:val="24"/>
                <w:szCs w:val="24"/>
                <w:highlight w:val="red"/>
                <w:lang w:val="en-US" w:eastAsia="zh-CN"/>
              </w:rPr>
              <w:t>10</w:t>
            </w:r>
            <w:r>
              <w:rPr>
                <w:rFonts w:hint="eastAsia" w:ascii="宋体" w:hAnsi="宋体" w:eastAsia="宋体" w:cs="宋体"/>
                <w:sz w:val="24"/>
                <w:szCs w:val="24"/>
                <w:highlight w:val="red"/>
              </w:rPr>
              <w:t>日</w:t>
            </w:r>
            <w:r>
              <w:rPr>
                <w:rFonts w:hint="eastAsia" w:hAnsi="宋体" w:eastAsia="宋体" w:cs="宋体"/>
                <w:sz w:val="24"/>
                <w:szCs w:val="24"/>
                <w:highlight w:val="red"/>
                <w:lang w:val="en-US" w:eastAsia="zh-CN"/>
              </w:rPr>
              <w:t>下</w:t>
            </w:r>
            <w:r>
              <w:rPr>
                <w:rFonts w:hint="eastAsia" w:ascii="宋体" w:hAnsi="宋体" w:eastAsia="宋体" w:cs="宋体"/>
                <w:kern w:val="0"/>
                <w:sz w:val="24"/>
                <w:szCs w:val="24"/>
                <w:highlight w:val="red"/>
              </w:rPr>
              <w:t>午</w:t>
            </w:r>
            <w:r>
              <w:rPr>
                <w:rFonts w:hint="eastAsia" w:hAnsi="宋体" w:eastAsia="宋体" w:cs="宋体"/>
                <w:kern w:val="0"/>
                <w:sz w:val="24"/>
                <w:szCs w:val="24"/>
                <w:highlight w:val="red"/>
                <w:lang w:val="en-US" w:eastAsia="zh-CN"/>
              </w:rPr>
              <w:t>17</w:t>
            </w:r>
            <w:r>
              <w:rPr>
                <w:rFonts w:hint="eastAsia" w:ascii="宋体" w:hAnsi="宋体" w:eastAsia="宋体" w:cs="宋体"/>
                <w:sz w:val="24"/>
                <w:szCs w:val="24"/>
                <w:highlight w:val="red"/>
              </w:rPr>
              <w:t>:</w:t>
            </w:r>
            <w:r>
              <w:rPr>
                <w:rFonts w:hint="eastAsia" w:ascii="宋体" w:hAnsi="宋体" w:eastAsia="宋体" w:cs="宋体"/>
                <w:sz w:val="24"/>
                <w:szCs w:val="24"/>
                <w:highlight w:val="red"/>
                <w:lang w:val="en-US" w:eastAsia="zh-CN"/>
              </w:rPr>
              <w:t>00</w:t>
            </w:r>
            <w:r>
              <w:rPr>
                <w:rFonts w:hint="eastAsia" w:hAnsi="宋体" w:eastAsia="宋体" w:cs="宋体"/>
                <w:sz w:val="24"/>
                <w:szCs w:val="24"/>
                <w:highlight w:val="red"/>
                <w:lang w:val="en-US" w:eastAsia="zh-CN"/>
              </w:rPr>
              <w:t>:00</w:t>
            </w:r>
            <w:r>
              <w:rPr>
                <w:rFonts w:hint="eastAsia" w:ascii="宋体" w:hAnsi="宋体" w:eastAsia="宋体" w:cs="宋体"/>
                <w:sz w:val="24"/>
                <w:szCs w:val="24"/>
                <w:highlight w:val="red"/>
              </w:rPr>
              <w:t>（北京时间）</w:t>
            </w:r>
          </w:p>
          <w:p>
            <w:pPr>
              <w:pStyle w:val="19"/>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bookmarkStart w:id="114" w:name="_GoBack"/>
            <w:bookmarkEnd w:id="114"/>
            <w:r>
              <w:rPr>
                <w:rFonts w:hint="eastAsia" w:ascii="宋体" w:hAnsi="宋体" w:eastAsia="宋体" w:cs="宋体"/>
                <w:sz w:val="24"/>
                <w:szCs w:val="24"/>
                <w:highlight w:val="yellow"/>
                <w:lang w:val="en-US" w:eastAsia="zh-CN"/>
              </w:rPr>
              <w:t>000</w:t>
            </w:r>
            <w:r>
              <w:rPr>
                <w:rFonts w:hint="eastAsia" w:ascii="宋体" w:hAnsi="宋体" w:eastAsia="宋体" w:cs="宋体"/>
                <w:sz w:val="24"/>
                <w:szCs w:val="24"/>
                <w:highlight w:val="yellow"/>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中国重汽集团济南卡车股份有限公司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招商银行股份有限公司济南分行营业部</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531900051810601</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ascii="宋体" w:hAnsi="宋体" w:eastAsia="宋体" w:cs="宋体"/>
                <w:sz w:val="24"/>
                <w:szCs w:val="24"/>
                <w:highlight w:val="yellow"/>
              </w:rPr>
              <w:t>308451028020</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red"/>
              </w:rPr>
              <w:t>20</w:t>
            </w:r>
            <w:r>
              <w:rPr>
                <w:rFonts w:ascii="宋体" w:hAnsi="宋体" w:cs="宋体"/>
                <w:sz w:val="24"/>
                <w:szCs w:val="24"/>
                <w:highlight w:val="red"/>
              </w:rPr>
              <w:t>2</w:t>
            </w:r>
            <w:r>
              <w:rPr>
                <w:rFonts w:hint="eastAsia" w:ascii="宋体" w:hAnsi="宋体" w:cs="宋体"/>
                <w:sz w:val="24"/>
                <w:szCs w:val="24"/>
                <w:highlight w:val="red"/>
                <w:lang w:val="en-US" w:eastAsia="zh-CN"/>
              </w:rPr>
              <w:t>5</w:t>
            </w:r>
            <w:r>
              <w:rPr>
                <w:rFonts w:hint="eastAsia" w:ascii="宋体" w:hAnsi="宋体" w:cs="宋体"/>
                <w:sz w:val="24"/>
                <w:szCs w:val="24"/>
                <w:highlight w:val="red"/>
              </w:rPr>
              <w:t>年</w:t>
            </w:r>
            <w:r>
              <w:rPr>
                <w:rFonts w:hint="eastAsia" w:ascii="宋体" w:hAnsi="宋体" w:cs="宋体"/>
                <w:sz w:val="24"/>
                <w:szCs w:val="24"/>
                <w:highlight w:val="red"/>
                <w:lang w:val="en-US" w:eastAsia="zh-CN"/>
              </w:rPr>
              <w:t>12</w:t>
            </w:r>
            <w:r>
              <w:rPr>
                <w:rFonts w:hint="eastAsia" w:ascii="宋体" w:hAnsi="宋体" w:cs="宋体"/>
                <w:sz w:val="24"/>
                <w:szCs w:val="24"/>
                <w:highlight w:val="red"/>
              </w:rPr>
              <w:t>月</w:t>
            </w:r>
            <w:r>
              <w:rPr>
                <w:rFonts w:hint="eastAsia" w:ascii="宋体" w:hAnsi="宋体" w:cs="宋体"/>
                <w:sz w:val="24"/>
                <w:szCs w:val="24"/>
                <w:highlight w:val="red"/>
                <w:lang w:val="en-US" w:eastAsia="zh-CN"/>
              </w:rPr>
              <w:t>10</w:t>
            </w:r>
            <w:r>
              <w:rPr>
                <w:rFonts w:hint="eastAsia" w:ascii="宋体" w:hAnsi="宋体" w:cs="宋体"/>
                <w:sz w:val="24"/>
                <w:szCs w:val="24"/>
                <w:highlight w:val="red"/>
              </w:rPr>
              <w:t>日1</w:t>
            </w:r>
            <w:r>
              <w:rPr>
                <w:rFonts w:ascii="宋体" w:hAnsi="宋体" w:cs="宋体"/>
                <w:sz w:val="24"/>
                <w:szCs w:val="24"/>
                <w:highlight w:val="red"/>
              </w:rPr>
              <w:t>7</w:t>
            </w:r>
            <w:r>
              <w:rPr>
                <w:rFonts w:hint="eastAsia" w:ascii="宋体" w:hAnsi="宋体" w:cs="宋体"/>
                <w:sz w:val="24"/>
                <w:szCs w:val="24"/>
                <w:highlight w:val="red"/>
              </w:rPr>
              <w:t>：</w:t>
            </w:r>
            <w:r>
              <w:rPr>
                <w:rFonts w:ascii="宋体" w:hAnsi="宋体" w:cs="宋体"/>
                <w:sz w:val="24"/>
                <w:szCs w:val="24"/>
                <w:highlight w:val="red"/>
              </w:rPr>
              <w:t>0</w:t>
            </w:r>
            <w:r>
              <w:rPr>
                <w:rFonts w:hint="eastAsia" w:ascii="宋体" w:hAnsi="宋体" w:cs="宋体"/>
                <w:sz w:val="24"/>
                <w:szCs w:val="24"/>
                <w:highlight w:val="red"/>
              </w:rPr>
              <w:t>0前</w:t>
            </w:r>
            <w:r>
              <w:rPr>
                <w:rFonts w:hint="eastAsia" w:ascii="宋体" w:hAnsi="宋体" w:cs="宋体"/>
                <w:sz w:val="24"/>
                <w:szCs w:val="24"/>
                <w:highlight w:val="red"/>
                <w:lang w:eastAsia="zh-CN"/>
              </w:rPr>
              <w:t>（</w:t>
            </w:r>
            <w:r>
              <w:rPr>
                <w:rFonts w:hint="eastAsia" w:ascii="宋体" w:hAnsi="宋体" w:cs="宋体"/>
                <w:sz w:val="24"/>
                <w:szCs w:val="24"/>
                <w:highlight w:val="red"/>
                <w:lang w:val="en-US" w:eastAsia="zh-CN"/>
              </w:rPr>
              <w:t>同应标截止时间</w:t>
            </w:r>
            <w:r>
              <w:rPr>
                <w:rFonts w:hint="eastAsia" w:ascii="宋体" w:hAnsi="宋体" w:cs="宋体"/>
                <w:sz w:val="24"/>
                <w:szCs w:val="24"/>
                <w:highlight w:val="red"/>
                <w:lang w:eastAsia="zh-CN"/>
              </w:rPr>
              <w:t>）</w:t>
            </w:r>
          </w:p>
          <w:p>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cs="宋体"/>
                <w:sz w:val="24"/>
                <w:szCs w:val="24"/>
                <w:highlight w:val="red"/>
              </w:rPr>
              <w:t>20</w:t>
            </w:r>
            <w:r>
              <w:rPr>
                <w:rFonts w:ascii="宋体" w:hAnsi="宋体" w:cs="宋体"/>
                <w:sz w:val="24"/>
                <w:szCs w:val="24"/>
                <w:highlight w:val="red"/>
              </w:rPr>
              <w:t>2</w:t>
            </w:r>
            <w:r>
              <w:rPr>
                <w:rFonts w:hint="eastAsia" w:ascii="宋体" w:hAnsi="宋体" w:cs="宋体"/>
                <w:sz w:val="24"/>
                <w:szCs w:val="24"/>
                <w:highlight w:val="red"/>
                <w:lang w:val="en-US" w:eastAsia="zh-CN"/>
              </w:rPr>
              <w:t>5</w:t>
            </w:r>
            <w:r>
              <w:rPr>
                <w:rFonts w:hint="eastAsia" w:ascii="宋体" w:hAnsi="宋体" w:cs="宋体"/>
                <w:sz w:val="24"/>
                <w:szCs w:val="24"/>
                <w:highlight w:val="red"/>
              </w:rPr>
              <w:t>年</w:t>
            </w:r>
            <w:r>
              <w:rPr>
                <w:rFonts w:hint="eastAsia" w:ascii="宋体" w:hAnsi="宋体" w:cs="宋体"/>
                <w:sz w:val="24"/>
                <w:szCs w:val="24"/>
                <w:highlight w:val="red"/>
                <w:lang w:val="en-US" w:eastAsia="zh-CN"/>
              </w:rPr>
              <w:t>12</w:t>
            </w:r>
            <w:r>
              <w:rPr>
                <w:rFonts w:hint="eastAsia" w:ascii="宋体" w:hAnsi="宋体" w:cs="宋体"/>
                <w:sz w:val="24"/>
                <w:szCs w:val="24"/>
                <w:highlight w:val="red"/>
              </w:rPr>
              <w:t>月</w:t>
            </w:r>
            <w:r>
              <w:rPr>
                <w:rFonts w:hint="eastAsia" w:ascii="宋体" w:hAnsi="宋体" w:cs="宋体"/>
                <w:sz w:val="24"/>
                <w:szCs w:val="24"/>
                <w:highlight w:val="red"/>
                <w:lang w:val="en-US" w:eastAsia="zh-CN"/>
              </w:rPr>
              <w:t>11</w:t>
            </w:r>
            <w:r>
              <w:rPr>
                <w:rFonts w:hint="eastAsia" w:ascii="宋体" w:hAnsi="宋体" w:cs="宋体"/>
                <w:sz w:val="24"/>
                <w:szCs w:val="24"/>
                <w:highlight w:val="red"/>
              </w:rPr>
              <w:t>日</w:t>
            </w:r>
            <w:r>
              <w:rPr>
                <w:rFonts w:hint="eastAsia" w:ascii="宋体" w:hAnsi="宋体" w:cs="宋体"/>
                <w:sz w:val="24"/>
                <w:szCs w:val="24"/>
                <w:highlight w:val="red"/>
                <w:lang w:val="en-US" w:eastAsia="zh-CN"/>
              </w:rPr>
              <w:t>9:</w:t>
            </w:r>
            <w:r>
              <w:rPr>
                <w:rFonts w:ascii="宋体" w:hAnsi="宋体" w:cs="宋体"/>
                <w:sz w:val="24"/>
                <w:szCs w:val="24"/>
                <w:highlight w:val="red"/>
              </w:rPr>
              <w:t>0</w:t>
            </w:r>
            <w:r>
              <w:rPr>
                <w:rFonts w:hint="eastAsia" w:ascii="宋体" w:hAnsi="宋体" w:cs="宋体"/>
                <w:sz w:val="24"/>
                <w:szCs w:val="24"/>
                <w:highlight w:val="red"/>
              </w:rPr>
              <w:t>0</w:t>
            </w:r>
            <w:r>
              <w:rPr>
                <w:rFonts w:hint="eastAsia" w:ascii="宋体" w:hAnsi="宋体" w:cs="宋体"/>
                <w:sz w:val="24"/>
                <w:szCs w:val="24"/>
                <w:highlight w:val="red"/>
                <w:lang w:val="en-US" w:eastAsia="zh-CN"/>
              </w:rPr>
              <w:t>:00</w:t>
            </w:r>
            <w:r>
              <w:rPr>
                <w:rFonts w:hint="eastAsia" w:ascii="宋体" w:hAnsi="宋体" w:eastAsia="宋体" w:cs="宋体"/>
                <w:kern w:val="0"/>
                <w:sz w:val="24"/>
                <w:szCs w:val="24"/>
                <w:highlight w:val="red"/>
              </w:rPr>
              <w:t>。</w:t>
            </w:r>
            <w:r>
              <w:rPr>
                <w:rFonts w:hint="eastAsia" w:ascii="宋体" w:hAnsi="宋体" w:eastAsia="宋体" w:cs="宋体"/>
                <w:kern w:val="0"/>
                <w:sz w:val="24"/>
                <w:szCs w:val="24"/>
                <w:highlight w:val="red"/>
                <w:lang w:eastAsia="zh-CN"/>
              </w:rPr>
              <w:t>（</w:t>
            </w:r>
            <w:r>
              <w:rPr>
                <w:rFonts w:hint="eastAsia" w:ascii="宋体" w:hAnsi="宋体" w:eastAsia="宋体" w:cs="宋体"/>
                <w:kern w:val="0"/>
                <w:sz w:val="24"/>
                <w:szCs w:val="24"/>
                <w:highlight w:val="red"/>
                <w:lang w:val="en-US" w:eastAsia="zh-CN"/>
              </w:rPr>
              <w:t>具体时间地点另行通知</w:t>
            </w:r>
            <w:r>
              <w:rPr>
                <w:rFonts w:hint="eastAsia" w:ascii="宋体" w:hAnsi="宋体" w:eastAsia="宋体" w:cs="宋体"/>
                <w:kern w:val="0"/>
                <w:sz w:val="24"/>
                <w:szCs w:val="24"/>
                <w:highlight w:val="red"/>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9"/>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3个月内</w:t>
            </w:r>
            <w:r>
              <w:rPr>
                <w:rFonts w:hint="eastAsia" w:hAnsi="宋体" w:eastAsia="宋体" w:cs="宋体"/>
                <w:color w:val="000000"/>
                <w:sz w:val="24"/>
                <w:szCs w:val="24"/>
                <w:highlight w:val="none"/>
              </w:rPr>
              <w:t>完成现场安装调试及培训服务。</w:t>
            </w:r>
          </w:p>
          <w:p>
            <w:pPr>
              <w:pStyle w:val="19"/>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投标人应当随标书提供详细的安装调试工期计划。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党家庄</w:t>
            </w:r>
            <w:r>
              <w:rPr>
                <w:rFonts w:hint="eastAsia" w:ascii="宋体" w:hAnsi="宋体" w:eastAsia="宋体" w:cs="宋体"/>
                <w:color w:val="000000"/>
                <w:sz w:val="24"/>
                <w:szCs w:val="24"/>
                <w:highlight w:val="yellow"/>
                <w:u w:val="single"/>
              </w:rPr>
              <w:t>工厂</w:t>
            </w:r>
            <w:r>
              <w:rPr>
                <w:rFonts w:hint="eastAsia" w:ascii="宋体" w:hAnsi="宋体" w:eastAsia="宋体" w:cs="宋体"/>
                <w:color w:val="000000"/>
                <w:sz w:val="24"/>
                <w:szCs w:val="24"/>
                <w:highlight w:val="yellow"/>
                <w:u w:val="single"/>
                <w:lang w:val="en-US" w:eastAsia="zh-CN"/>
              </w:rPr>
              <w:t>车身二部涂装</w:t>
            </w:r>
            <w:r>
              <w:rPr>
                <w:rFonts w:hint="eastAsia" w:ascii="宋体" w:hAnsi="宋体" w:eastAsia="宋体" w:cs="宋体"/>
                <w:color w:val="000000"/>
                <w:sz w:val="24"/>
                <w:szCs w:val="24"/>
                <w:highlight w:val="yellow"/>
                <w:u w:val="single"/>
              </w:rPr>
              <w:t>车间</w:t>
            </w:r>
            <w:r>
              <w:rPr>
                <w:rFonts w:hint="eastAsia" w:ascii="宋体" w:hAnsi="宋体" w:eastAsia="宋体" w:cs="宋体"/>
                <w:color w:val="000000"/>
                <w:kern w:val="2"/>
                <w:sz w:val="24"/>
                <w:szCs w:val="24"/>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9"/>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中国重汽集团济南卡车股份有限公司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w:t>
            </w:r>
            <w:r>
              <w:rPr>
                <w:rFonts w:ascii="宋体" w:hAnsi="宋体" w:eastAsia="宋体" w:cs="宋体"/>
                <w:sz w:val="24"/>
                <w:szCs w:val="24"/>
              </w:rPr>
              <w:t>山东省济南市莱芜区莱城大道777号</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w:t>
            </w:r>
            <w:r>
              <w:rPr>
                <w:rFonts w:ascii="宋体" w:hAnsi="宋体" w:eastAsia="宋体" w:cs="宋体"/>
                <w:sz w:val="24"/>
                <w:szCs w:val="24"/>
              </w:rPr>
              <w:t>91370000706266513Y</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w:t>
            </w:r>
            <w:r>
              <w:rPr>
                <w:rFonts w:ascii="宋体" w:hAnsi="宋体" w:eastAsia="宋体" w:cs="宋体"/>
                <w:sz w:val="24"/>
                <w:szCs w:val="24"/>
              </w:rPr>
              <w:t>中信银行济南舜耕支行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w:t>
            </w:r>
            <w:r>
              <w:rPr>
                <w:rFonts w:ascii="宋体" w:hAnsi="宋体" w:eastAsia="宋体" w:cs="宋体"/>
                <w:sz w:val="24"/>
                <w:szCs w:val="24"/>
              </w:rPr>
              <w:t>58067035</w:t>
            </w:r>
          </w:p>
          <w:p>
            <w:pPr>
              <w:ind w:firstLine="480" w:firstLineChars="200"/>
            </w:pPr>
            <w:r>
              <w:rPr>
                <w:rFonts w:hint="eastAsia" w:ascii="宋体" w:hAnsi="宋体" w:eastAsia="宋体" w:cs="宋体"/>
                <w:color w:val="000000"/>
                <w:sz w:val="24"/>
                <w:szCs w:val="24"/>
                <w:highlight w:val="yellow"/>
              </w:rPr>
              <w:t>账号：</w:t>
            </w:r>
            <w:r>
              <w:rPr>
                <w:rFonts w:ascii="宋体" w:hAnsi="宋体" w:eastAsia="宋体" w:cs="宋体"/>
                <w:sz w:val="24"/>
                <w:szCs w:val="24"/>
              </w:rPr>
              <w:t>7372610182600047181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w:t>
            </w:r>
            <w:r>
              <w:rPr>
                <w:rFonts w:hint="eastAsia" w:ascii="宋体" w:hAnsi="宋体" w:eastAsia="宋体" w:cs="宋体"/>
                <w:sz w:val="24"/>
                <w:szCs w:val="24"/>
                <w:lang w:val="en-US" w:eastAsia="zh-CN"/>
              </w:rPr>
              <w:t>收到中标通知书</w:t>
            </w:r>
            <w:r>
              <w:rPr>
                <w:rFonts w:hint="eastAsia" w:ascii="宋体" w:hAnsi="宋体" w:eastAsia="宋体" w:cs="宋体"/>
                <w:sz w:val="24"/>
                <w:szCs w:val="24"/>
                <w:highlight w:val="none"/>
              </w:rPr>
              <w:t>后</w:t>
            </w:r>
            <w:r>
              <w:rPr>
                <w:rFonts w:hint="eastAsia" w:ascii="宋体" w:hAnsi="宋体" w:eastAsia="宋体" w:cs="宋体"/>
                <w:sz w:val="24"/>
                <w:szCs w:val="24"/>
                <w:highlight w:val="yellow"/>
              </w:rPr>
              <w:t>1</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none"/>
              </w:rPr>
              <w:t>日内需根据设计</w:t>
            </w:r>
            <w:r>
              <w:rPr>
                <w:rStyle w:val="46"/>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6"/>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6"/>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6"/>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9"/>
        <w:jc w:val="center"/>
        <w:outlineLvl w:val="0"/>
        <w:rPr>
          <w:rFonts w:hint="eastAsia" w:ascii="Calibri" w:hAnsi="Calibri" w:eastAsia="宋体" w:cs="Times New Roman"/>
          <w:b/>
          <w:bCs/>
          <w:kern w:val="44"/>
          <w:sz w:val="36"/>
          <w:szCs w:val="44"/>
        </w:rPr>
      </w:pPr>
      <w:bookmarkStart w:id="4" w:name="_Toc15609"/>
    </w:p>
    <w:p>
      <w:pPr>
        <w:pStyle w:val="19"/>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9"/>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sz w:val="24"/>
          <w:szCs w:val="24"/>
          <w:highlight w:val="yellow"/>
          <w:lang w:val="en-US"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9"/>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9"/>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pPr>
        <w:pStyle w:val="19"/>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67001"/>
      <w:bookmarkStart w:id="8" w:name="_Toc33285487"/>
      <w:bookmarkStart w:id="9" w:name="_Toc33266627"/>
      <w:bookmarkStart w:id="10" w:name="_Toc33265653"/>
      <w:bookmarkStart w:id="11" w:name="_Toc33266914"/>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5654"/>
      <w:bookmarkStart w:id="16" w:name="_Toc33266628"/>
      <w:bookmarkStart w:id="17" w:name="_Toc33267002"/>
      <w:bookmarkStart w:id="18" w:name="_Toc33266915"/>
      <w:bookmarkStart w:id="19" w:name="_Toc395116634"/>
      <w:bookmarkStart w:id="20" w:name="_Toc33266951"/>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9"/>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9"/>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9"/>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8"/>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9"/>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pPr>
        <w:pStyle w:val="19"/>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9"/>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9"/>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bookmarkStart w:id="33" w:name="_Toc169605877"/>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部分技术标书</w:t>
      </w:r>
      <w:bookmarkEnd w:id="32"/>
    </w:p>
    <w:p>
      <w:pPr>
        <w:pStyle w:val="19"/>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济南卡车制造公司车身二部涂装车间机器人控制系统升级项目</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9"/>
      </w:pPr>
    </w:p>
    <w:p>
      <w:pPr>
        <w:pStyle w:val="19"/>
        <w:rPr>
          <w:rFonts w:ascii="黑体" w:hAnsi="宋体" w:eastAsia="黑体" w:cs="Times New Roman"/>
          <w:color w:val="000000"/>
          <w:sz w:val="72"/>
          <w:szCs w:val="72"/>
        </w:rPr>
      </w:pPr>
    </w:p>
    <w:p>
      <w:pPr>
        <w:pStyle w:val="19"/>
        <w:rPr>
          <w:rFonts w:ascii="黑体" w:hAnsi="宋体" w:eastAsia="黑体" w:cs="Times New Roman"/>
          <w:color w:val="000000"/>
          <w:sz w:val="72"/>
          <w:szCs w:val="72"/>
        </w:rPr>
      </w:pPr>
    </w:p>
    <w:p>
      <w:pPr>
        <w:pStyle w:val="19"/>
        <w:rPr>
          <w:rFonts w:ascii="黑体" w:hAnsi="宋体" w:eastAsia="黑体" w:cs="Times New Roman"/>
          <w:color w:val="000000"/>
          <w:sz w:val="72"/>
          <w:szCs w:val="72"/>
        </w:rPr>
      </w:pPr>
    </w:p>
    <w:p>
      <w:pPr>
        <w:pStyle w:val="19"/>
        <w:rPr>
          <w:rFonts w:ascii="黑体" w:hAnsi="宋体" w:eastAsia="黑体" w:cs="Times New Roman"/>
          <w:color w:val="000000"/>
          <w:sz w:val="72"/>
          <w:szCs w:val="72"/>
        </w:rPr>
      </w:pPr>
    </w:p>
    <w:p>
      <w:pPr>
        <w:pStyle w:val="19"/>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lang w:eastAsia="zh-CN"/>
        </w:rPr>
        <w:t>月</w:t>
      </w:r>
    </w:p>
    <w:p>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第一章采购货物概况</w:t>
      </w:r>
    </w:p>
    <w:p>
      <w:pPr>
        <w:keepNext/>
        <w:keepLines/>
        <w:spacing w:before="120" w:after="120" w:line="480" w:lineRule="exact"/>
        <w:jc w:val="center"/>
        <w:outlineLvl w:val="2"/>
        <w:rPr>
          <w:rFonts w:hint="eastAsia" w:ascii="Arial" w:hAnsi="Arial" w:eastAsia="宋体" w:cs="Times New Roman"/>
          <w:b/>
          <w:bCs/>
          <w:sz w:val="24"/>
          <w:szCs w:val="24"/>
          <w:highlight w:val="none"/>
        </w:rPr>
      </w:pPr>
      <w:r>
        <w:rPr>
          <w:rFonts w:hint="eastAsia" w:ascii="Arial" w:hAnsi="Arial" w:eastAsia="宋体" w:cs="Times New Roman"/>
          <w:b/>
          <w:bCs/>
          <w:sz w:val="24"/>
          <w:szCs w:val="24"/>
          <w:highlight w:val="none"/>
        </w:rPr>
        <w:t>第一节使用环境</w:t>
      </w:r>
    </w:p>
    <w:p>
      <w:pPr>
        <w:spacing w:line="420" w:lineRule="exact"/>
        <w:outlineLvl w:val="3"/>
      </w:pP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项目</w:t>
      </w:r>
      <w:r>
        <w:rPr>
          <w:rFonts w:hint="eastAsia" w:ascii="宋体" w:hAnsi="宋体" w:eastAsia="宋体" w:cs="宋体"/>
          <w:b/>
          <w:color w:val="auto"/>
          <w:sz w:val="24"/>
          <w:szCs w:val="24"/>
          <w:highlight w:val="none"/>
          <w:lang w:val="en-US" w:eastAsia="zh-CN"/>
        </w:rPr>
        <w:t>内容</w:t>
      </w:r>
    </w:p>
    <w:p>
      <w:pPr>
        <w:spacing w:line="360" w:lineRule="auto"/>
        <w:ind w:firstLine="120" w:firstLineChars="50"/>
        <w:rPr>
          <w:rFonts w:hint="eastAsia" w:ascii="宋体" w:hAnsi="宋体" w:eastAsia="宋体" w:cs="宋体"/>
          <w:sz w:val="24"/>
          <w:szCs w:val="28"/>
          <w:highlight w:val="none"/>
          <w:u w:val="single"/>
          <w:lang w:eastAsia="zh-CN"/>
        </w:rPr>
      </w:pPr>
      <w:r>
        <w:rPr>
          <w:rFonts w:hint="eastAsia" w:ascii="宋体" w:hAnsi="宋体" w:eastAsia="宋体" w:cs="宋体"/>
          <w:sz w:val="24"/>
          <w:szCs w:val="28"/>
          <w:highlight w:val="none"/>
        </w:rPr>
        <w:t>（一）、项目名称：</w:t>
      </w:r>
      <w:r>
        <w:rPr>
          <w:rFonts w:hint="eastAsia" w:ascii="宋体" w:hAnsi="宋体" w:eastAsia="宋体" w:cs="宋体"/>
          <w:sz w:val="24"/>
          <w:szCs w:val="28"/>
          <w:highlight w:val="none"/>
          <w:u w:val="single"/>
          <w:lang w:eastAsia="zh-CN"/>
        </w:rPr>
        <w:t>济南卡车制造公司车身二部涂装车间机器人控制系统升级项目</w:t>
      </w:r>
    </w:p>
    <w:p>
      <w:pPr>
        <w:spacing w:line="360" w:lineRule="auto"/>
        <w:ind w:firstLine="120" w:firstLineChars="50"/>
        <w:rPr>
          <w:rFonts w:hint="eastAsia" w:ascii="宋体" w:hAnsi="宋体" w:eastAsia="宋体" w:cs="宋体"/>
          <w:sz w:val="24"/>
          <w:szCs w:val="28"/>
          <w:highlight w:val="none"/>
          <w:u w:val="single"/>
          <w:shd w:val="pct10" w:color="auto" w:fill="FFFFFF"/>
          <w:lang w:val="en-US" w:eastAsia="zh-CN"/>
        </w:rPr>
      </w:pPr>
      <w:r>
        <w:rPr>
          <w:rFonts w:hint="eastAsia" w:ascii="宋体" w:hAnsi="宋体" w:eastAsia="宋体" w:cs="宋体"/>
          <w:sz w:val="24"/>
          <w:szCs w:val="28"/>
          <w:highlight w:val="none"/>
        </w:rPr>
        <w:t>（二）、建设地点：</w:t>
      </w:r>
      <w:r>
        <w:rPr>
          <w:rFonts w:hint="eastAsia" w:ascii="宋体" w:hAnsi="宋体" w:eastAsia="宋体" w:cs="宋体"/>
          <w:color w:val="000000"/>
          <w:sz w:val="24"/>
          <w:szCs w:val="28"/>
          <w:highlight w:val="none"/>
          <w:u w:val="single"/>
          <w:lang w:val="en-US" w:eastAsia="zh-CN"/>
        </w:rPr>
        <w:t>党家庄</w:t>
      </w:r>
      <w:r>
        <w:rPr>
          <w:rFonts w:hint="eastAsia" w:ascii="宋体" w:hAnsi="宋体" w:eastAsia="宋体" w:cs="宋体"/>
          <w:color w:val="000000"/>
          <w:sz w:val="24"/>
          <w:szCs w:val="28"/>
          <w:highlight w:val="none"/>
          <w:u w:val="single"/>
        </w:rPr>
        <w:t>工厂</w:t>
      </w:r>
      <w:r>
        <w:rPr>
          <w:rFonts w:hint="eastAsia" w:ascii="宋体" w:hAnsi="宋体" w:eastAsia="宋体" w:cs="宋体"/>
          <w:color w:val="000000"/>
          <w:sz w:val="24"/>
          <w:szCs w:val="28"/>
          <w:highlight w:val="none"/>
          <w:u w:val="single"/>
          <w:lang w:val="en-US" w:eastAsia="zh-CN"/>
        </w:rPr>
        <w:t>车身二部涂装车间</w:t>
      </w:r>
    </w:p>
    <w:p>
      <w:pPr>
        <w:spacing w:line="360" w:lineRule="auto"/>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（三）、生产纲领及节拍：</w:t>
      </w:r>
    </w:p>
    <w:p>
      <w:pPr>
        <w:pStyle w:val="13"/>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生产纲领：</w:t>
      </w:r>
      <w:r>
        <w:rPr>
          <w:rFonts w:hint="eastAsia" w:eastAsia="宋体" w:cs="宋体"/>
          <w:color w:val="auto"/>
          <w:sz w:val="24"/>
          <w:szCs w:val="24"/>
          <w:highlight w:val="none"/>
          <w:lang w:val="en-US" w:eastAsia="zh-CN"/>
        </w:rPr>
        <w:t>生产</w:t>
      </w:r>
      <w:r>
        <w:rPr>
          <w:rFonts w:hint="eastAsia" w:ascii="宋体" w:hAnsi="宋体" w:eastAsia="宋体" w:cs="宋体"/>
          <w:color w:val="auto"/>
          <w:sz w:val="24"/>
          <w:szCs w:val="24"/>
          <w:highlight w:val="none"/>
        </w:rPr>
        <w:t>节拍</w:t>
      </w:r>
      <w:r>
        <w:rPr>
          <w:rFonts w:hint="eastAsia" w:eastAsia="宋体" w:cs="宋体"/>
          <w:color w:val="auto"/>
          <w:sz w:val="24"/>
          <w:szCs w:val="24"/>
          <w:highlight w:val="none"/>
          <w:lang w:val="en-US" w:eastAsia="zh-CN"/>
        </w:rPr>
        <w:t>5min</w:t>
      </w:r>
      <w:r>
        <w:rPr>
          <w:rFonts w:hint="eastAsia" w:ascii="宋体" w:hAnsi="宋体" w:eastAsia="宋体" w:cs="宋体"/>
          <w:color w:val="auto"/>
          <w:sz w:val="24"/>
          <w:szCs w:val="24"/>
          <w:highlight w:val="none"/>
        </w:rPr>
        <w:t>；</w:t>
      </w:r>
    </w:p>
    <w:p>
      <w:pPr>
        <w:pStyle w:val="13"/>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w:t>
      </w:r>
      <w:r>
        <w:rPr>
          <w:rFonts w:hint="eastAsia"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0工作日/年，两班16小时（2</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rPr>
        <w:t>8h）/工作日；</w:t>
      </w:r>
    </w:p>
    <w:p>
      <w:pPr>
        <w:spacing w:line="480" w:lineRule="exact"/>
        <w:rPr>
          <w:rFonts w:hint="eastAsia" w:ascii="宋体" w:hAnsi="宋体" w:eastAsia="宋体" w:cs="宋体"/>
          <w:color w:val="auto"/>
          <w:sz w:val="24"/>
          <w:szCs w:val="28"/>
          <w:highlight w:val="none"/>
        </w:rPr>
      </w:pPr>
      <w:r>
        <w:rPr>
          <w:rFonts w:hint="eastAsia" w:ascii="宋体" w:hAnsi="宋体" w:eastAsia="宋体" w:cs="宋体"/>
          <w:b/>
          <w:bCs/>
          <w:color w:val="auto"/>
          <w:sz w:val="24"/>
          <w:szCs w:val="28"/>
          <w:highlight w:val="none"/>
        </w:rPr>
        <w:t>二、承揽项目名称和数量</w:t>
      </w:r>
    </w:p>
    <w:p>
      <w:pPr>
        <w:spacing w:line="480" w:lineRule="exact"/>
        <w:ind w:firstLine="105" w:firstLineChars="50"/>
        <w:rPr>
          <w:rFonts w:hint="eastAsia" w:ascii="宋体" w:eastAsiaTheme="minorEastAsia"/>
          <w:color w:val="auto"/>
          <w:highlight w:val="none"/>
          <w:u w:val="single"/>
          <w:lang w:eastAsia="zh-CN"/>
        </w:rPr>
      </w:pPr>
      <w:r>
        <w:rPr>
          <w:rFonts w:hint="eastAsia" w:ascii="宋体"/>
          <w:color w:val="auto"/>
          <w:highlight w:val="none"/>
        </w:rPr>
        <w:t>（一）、名称：</w:t>
      </w:r>
      <w:r>
        <w:rPr>
          <w:rFonts w:hint="eastAsia" w:ascii="宋体"/>
          <w:color w:val="auto"/>
          <w:highlight w:val="none"/>
          <w:u w:val="single"/>
          <w:lang w:eastAsia="zh-CN"/>
        </w:rPr>
        <w:t>济南卡车制造公司车身二部涂装车间机器人控制系统升级项目</w:t>
      </w:r>
    </w:p>
    <w:p>
      <w:pPr>
        <w:spacing w:line="480" w:lineRule="exact"/>
        <w:ind w:firstLine="105" w:firstLineChars="50"/>
        <w:rPr>
          <w:rFonts w:ascii="宋体"/>
          <w:color w:val="auto"/>
          <w:highlight w:val="none"/>
          <w:u w:val="single"/>
          <w:shd w:val="clear" w:color="auto" w:fill="7F7F7F"/>
        </w:rPr>
      </w:pPr>
      <w:r>
        <w:rPr>
          <w:rFonts w:hint="eastAsia" w:ascii="宋体"/>
          <w:color w:val="auto"/>
          <w:highlight w:val="none"/>
        </w:rPr>
        <w:t>（二）、数量：</w:t>
      </w:r>
      <w:r>
        <w:rPr>
          <w:rFonts w:hint="eastAsia" w:ascii="宋体"/>
          <w:color w:val="auto"/>
          <w:highlight w:val="none"/>
          <w:u w:val="single"/>
        </w:rPr>
        <w:t>项目改造名称、数目见下表。</w:t>
      </w:r>
    </w:p>
    <w:tbl>
      <w:tblPr>
        <w:tblStyle w:val="40"/>
        <w:tblW w:w="9309" w:type="dxa"/>
        <w:jc w:val="center"/>
        <w:tblLayout w:type="fixed"/>
        <w:tblCellMar>
          <w:top w:w="0" w:type="dxa"/>
          <w:left w:w="0" w:type="dxa"/>
          <w:bottom w:w="0" w:type="dxa"/>
          <w:right w:w="0" w:type="dxa"/>
        </w:tblCellMar>
      </w:tblPr>
      <w:tblGrid>
        <w:gridCol w:w="696"/>
        <w:gridCol w:w="3157"/>
        <w:gridCol w:w="2203"/>
        <w:gridCol w:w="1244"/>
        <w:gridCol w:w="2009"/>
      </w:tblGrid>
      <w:tr>
        <w:trPr>
          <w:trHeight w:val="476" w:hRule="atLeast"/>
          <w:jc w:val="center"/>
        </w:trPr>
        <w:tc>
          <w:tcPr>
            <w:tcW w:w="696"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序号</w:t>
            </w:r>
          </w:p>
        </w:tc>
        <w:tc>
          <w:tcPr>
            <w:tcW w:w="3157"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改造项目</w:t>
            </w:r>
          </w:p>
        </w:tc>
        <w:tc>
          <w:tcPr>
            <w:tcW w:w="220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施工地点</w:t>
            </w:r>
          </w:p>
        </w:tc>
        <w:tc>
          <w:tcPr>
            <w:tcW w:w="124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数量</w:t>
            </w:r>
          </w:p>
        </w:tc>
        <w:tc>
          <w:tcPr>
            <w:tcW w:w="2009"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备注</w:t>
            </w:r>
          </w:p>
        </w:tc>
      </w:tr>
      <w:tr>
        <w:tblPrEx>
          <w:tblCellMar>
            <w:top w:w="0" w:type="dxa"/>
            <w:left w:w="0" w:type="dxa"/>
            <w:bottom w:w="0" w:type="dxa"/>
            <w:right w:w="0" w:type="dxa"/>
          </w:tblCellMar>
        </w:tblPrEx>
        <w:trPr>
          <w:trHeight w:val="4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仿宋_GB2312" w:eastAsia="仿宋_GB2312"/>
                <w:color w:val="auto"/>
                <w:highlight w:val="none"/>
              </w:rPr>
            </w:pPr>
            <w:r>
              <w:rPr>
                <w:rFonts w:hint="eastAsia" w:ascii="仿宋_GB2312" w:eastAsia="仿宋_GB2312"/>
                <w:color w:val="auto"/>
                <w:highlight w:val="none"/>
              </w:rPr>
              <w:t>1</w:t>
            </w:r>
          </w:p>
        </w:tc>
        <w:tc>
          <w:tcPr>
            <w:tcW w:w="3157" w:type="dxa"/>
            <w:tcBorders>
              <w:top w:val="nil"/>
              <w:left w:val="nil"/>
              <w:bottom w:val="single" w:color="auto" w:sz="4" w:space="0"/>
              <w:right w:val="single" w:color="auto" w:sz="4" w:space="0"/>
              <w:tl2br w:val="nil"/>
              <w:tr2bl w:val="nil"/>
            </w:tcBorders>
            <w:vAlign w:val="center"/>
          </w:tcPr>
          <w:p>
            <w:pPr>
              <w:spacing w:line="480" w:lineRule="exact"/>
              <w:rPr>
                <w:rFonts w:hint="eastAsia" w:ascii="宋体" w:eastAsiaTheme="minorEastAsia"/>
                <w:color w:val="auto"/>
                <w:highlight w:val="none"/>
                <w:u w:val="single"/>
                <w:lang w:eastAsia="zh-CN"/>
              </w:rPr>
            </w:pPr>
            <w:r>
              <w:rPr>
                <w:rFonts w:hint="eastAsia" w:ascii="宋体"/>
                <w:color w:val="auto"/>
                <w:highlight w:val="none"/>
                <w:u w:val="single"/>
                <w:lang w:eastAsia="zh-CN"/>
              </w:rPr>
              <w:t>济南卡车制造公司车身二部涂装车间机器人控制系统升级项目</w:t>
            </w:r>
          </w:p>
          <w:p>
            <w:pPr>
              <w:widowControl/>
              <w:jc w:val="center"/>
              <w:rPr>
                <w:rFonts w:ascii="仿宋_GB2312" w:eastAsia="仿宋_GB2312"/>
                <w:color w:val="auto"/>
                <w:highlight w:val="none"/>
              </w:rPr>
            </w:pPr>
          </w:p>
        </w:tc>
        <w:tc>
          <w:tcPr>
            <w:tcW w:w="2203" w:type="dxa"/>
            <w:tcBorders>
              <w:top w:val="nil"/>
              <w:left w:val="nil"/>
              <w:bottom w:val="single" w:color="auto" w:sz="4" w:space="0"/>
              <w:right w:val="single" w:color="auto" w:sz="4" w:space="0"/>
              <w:tl2br w:val="nil"/>
              <w:tr2bl w:val="nil"/>
            </w:tcBorders>
            <w:vAlign w:val="center"/>
          </w:tcPr>
          <w:p>
            <w:pPr>
              <w:widowControl/>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涂装车间</w:t>
            </w:r>
          </w:p>
        </w:tc>
        <w:tc>
          <w:tcPr>
            <w:tcW w:w="1244" w:type="dxa"/>
            <w:tcBorders>
              <w:top w:val="nil"/>
              <w:left w:val="nil"/>
              <w:bottom w:val="single" w:color="auto" w:sz="4" w:space="0"/>
              <w:right w:val="single" w:color="auto" w:sz="4" w:space="0"/>
              <w:tl2br w:val="nil"/>
              <w:tr2bl w:val="nil"/>
            </w:tcBorders>
            <w:vAlign w:val="center"/>
          </w:tcPr>
          <w:p>
            <w:pPr>
              <w:widowControl/>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1</w:t>
            </w:r>
          </w:p>
        </w:tc>
        <w:tc>
          <w:tcPr>
            <w:tcW w:w="2009" w:type="dxa"/>
            <w:tcBorders>
              <w:top w:val="nil"/>
              <w:left w:val="single" w:color="auto" w:sz="4" w:space="0"/>
              <w:bottom w:val="single" w:color="auto" w:sz="4" w:space="0"/>
              <w:right w:val="single" w:color="auto" w:sz="4" w:space="0"/>
              <w:tl2br w:val="nil"/>
              <w:tr2bl w:val="nil"/>
            </w:tcBorders>
            <w:vAlign w:val="center"/>
          </w:tcPr>
          <w:p>
            <w:pPr>
              <w:widowControl/>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7台机器人控制柜及4台机器人工艺柜升级</w:t>
            </w:r>
          </w:p>
        </w:tc>
      </w:tr>
    </w:tbl>
    <w:p>
      <w:pPr>
        <w:spacing w:line="420" w:lineRule="exact"/>
        <w:outlineLvl w:val="3"/>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项目组成</w:t>
      </w:r>
    </w:p>
    <w:p>
      <w:pPr>
        <w:spacing w:line="4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采购货物主要构成一览表</w:t>
      </w:r>
    </w:p>
    <w:tbl>
      <w:tblPr>
        <w:tblStyle w:val="40"/>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0"/>
        <w:gridCol w:w="2248"/>
        <w:gridCol w:w="3029"/>
        <w:gridCol w:w="846"/>
        <w:gridCol w:w="1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770" w:type="dxa"/>
            <w:tcBorders>
              <w:top w:val="single" w:color="auto" w:sz="4" w:space="0"/>
              <w:left w:val="single" w:color="000000" w:sz="8"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18"/>
                <w:szCs w:val="18"/>
                <w:bdr w:val="single" w:color="000000" w:sz="8" w:space="0"/>
                <w:lang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8890</wp:posOffset>
                  </wp:positionV>
                  <wp:extent cx="1597660" cy="635"/>
                  <wp:effectExtent l="0" t="0" r="0" b="0"/>
                  <wp:wrapNone/>
                  <wp:docPr id="55" name="Picture_33"/>
                  <wp:cNvGraphicFramePr/>
                  <a:graphic xmlns:a="http://schemas.openxmlformats.org/drawingml/2006/main">
                    <a:graphicData uri="http://schemas.openxmlformats.org/drawingml/2006/picture">
                      <pic:pic xmlns:pic="http://schemas.openxmlformats.org/drawingml/2006/picture">
                        <pic:nvPicPr>
                          <pic:cNvPr id="55" name="Picture_33"/>
                          <pic:cNvPicPr/>
                        </pic:nvPicPr>
                        <pic:blipFill>
                          <a:blip r:embed="rId45"/>
                          <a:stretch>
                            <a:fillRect/>
                          </a:stretch>
                        </pic:blipFill>
                        <pic:spPr>
                          <a:xfrm>
                            <a:off x="0" y="0"/>
                            <a:ext cx="1597660" cy="635"/>
                          </a:xfrm>
                          <a:prstGeom prst="rect">
                            <a:avLst/>
                          </a:prstGeom>
                          <a:noFill/>
                          <a:ln>
                            <a:noFill/>
                          </a:ln>
                        </pic:spPr>
                      </pic:pic>
                    </a:graphicData>
                  </a:graphic>
                </wp:anchor>
              </w:drawing>
            </w:r>
            <w:r>
              <w:rPr>
                <w:rFonts w:hint="default" w:ascii="宋体" w:hAnsi="宋体" w:eastAsia="宋体" w:cs="宋体"/>
                <w:b/>
                <w:color w:val="000000"/>
                <w:kern w:val="0"/>
                <w:sz w:val="18"/>
                <w:szCs w:val="18"/>
                <w:lang w:bidi="ar"/>
              </w:rPr>
              <w:t>序号</w:t>
            </w:r>
          </w:p>
        </w:tc>
        <w:tc>
          <w:tcPr>
            <w:tcW w:w="2248"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备件号</w:t>
            </w:r>
          </w:p>
        </w:tc>
        <w:tc>
          <w:tcPr>
            <w:tcW w:w="3029"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Style w:val="137"/>
                <w:rFonts w:hint="default"/>
                <w:sz w:val="18"/>
                <w:szCs w:val="18"/>
                <w:lang w:bidi="ar"/>
              </w:rPr>
              <w:t>名称描述</w:t>
            </w:r>
            <w:r>
              <w:rPr>
                <w:rStyle w:val="138"/>
                <w:rFonts w:hint="eastAsia"/>
                <w:sz w:val="18"/>
                <w:szCs w:val="18"/>
                <w:lang w:bidi="ar"/>
              </w:rPr>
              <w:t>(</w:t>
            </w:r>
            <w:r>
              <w:rPr>
                <w:rStyle w:val="137"/>
                <w:rFonts w:hint="default"/>
                <w:sz w:val="18"/>
                <w:szCs w:val="18"/>
                <w:lang w:bidi="ar"/>
              </w:rPr>
              <w:t>英/中</w:t>
            </w:r>
            <w:r>
              <w:rPr>
                <w:rStyle w:val="138"/>
                <w:rFonts w:hint="eastAsia"/>
                <w:sz w:val="18"/>
                <w:szCs w:val="18"/>
                <w:lang w:bidi="ar"/>
              </w:rPr>
              <w:t>)</w:t>
            </w:r>
          </w:p>
        </w:tc>
        <w:tc>
          <w:tcPr>
            <w:tcW w:w="846"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eastAsia" w:ascii="宋体" w:hAnsi="宋体" w:eastAsia="宋体" w:cs="宋体"/>
                <w:b/>
                <w:color w:val="000000"/>
                <w:kern w:val="0"/>
                <w:sz w:val="20"/>
                <w:szCs w:val="20"/>
                <w:lang w:val="en-US" w:eastAsia="zh-CN" w:bidi="ar"/>
              </w:rPr>
            </w:pPr>
            <w:r>
              <w:rPr>
                <w:rFonts w:hint="eastAsia" w:ascii="宋体" w:hAnsi="宋体" w:eastAsia="宋体" w:cs="宋体"/>
                <w:b/>
                <w:color w:val="000000"/>
                <w:kern w:val="0"/>
                <w:sz w:val="20"/>
                <w:szCs w:val="20"/>
                <w:lang w:val="en-US" w:eastAsia="zh-CN" w:bidi="ar"/>
              </w:rPr>
              <w:t>数量</w:t>
            </w:r>
          </w:p>
        </w:tc>
        <w:tc>
          <w:tcPr>
            <w:tcW w:w="1629"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jc w:val="center"/>
        </w:trPr>
        <w:tc>
          <w:tcPr>
            <w:tcW w:w="770" w:type="dxa"/>
            <w:tcBorders>
              <w:top w:val="single" w:color="auto" w:sz="4" w:space="0"/>
              <w:left w:val="single" w:color="000000" w:sz="8"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18"/>
                <w:szCs w:val="18"/>
                <w:bdr w:val="single" w:color="000000" w:sz="8" w:space="0"/>
                <w:lang w:bidi="ar"/>
              </w:rPr>
            </w:pPr>
            <w:r>
              <w:rPr>
                <w:rFonts w:hint="default" w:ascii="宋体" w:hAnsi="宋体" w:eastAsia="宋体" w:cs="宋体"/>
                <w:b/>
                <w:bCs/>
                <w:color w:val="000000"/>
                <w:kern w:val="0"/>
                <w:sz w:val="22"/>
                <w:szCs w:val="22"/>
                <w:lang w:bidi="ar"/>
              </w:rPr>
              <w:t>1</w:t>
            </w:r>
          </w:p>
        </w:tc>
        <w:tc>
          <w:tcPr>
            <w:tcW w:w="2248"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bidi="ar"/>
              </w:rPr>
            </w:pPr>
            <w:r>
              <w:rPr>
                <w:rFonts w:hint="default" w:ascii="宋体" w:hAnsi="宋体" w:eastAsia="宋体" w:cs="宋体"/>
                <w:b/>
                <w:bCs/>
                <w:color w:val="000000"/>
                <w:kern w:val="0"/>
                <w:sz w:val="20"/>
                <w:szCs w:val="20"/>
                <w:lang w:bidi="ar"/>
              </w:rPr>
              <w:t>3HNA016800-001</w:t>
            </w:r>
          </w:p>
        </w:tc>
        <w:tc>
          <w:tcPr>
            <w:tcW w:w="30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Style w:val="137"/>
                <w:rFonts w:hint="default"/>
                <w:b/>
                <w:bCs/>
                <w:sz w:val="18"/>
                <w:szCs w:val="18"/>
                <w:lang w:bidi="ar"/>
              </w:rPr>
            </w:pPr>
            <w:r>
              <w:rPr>
                <w:rStyle w:val="137"/>
                <w:rFonts w:hint="default"/>
                <w:b/>
                <w:bCs/>
                <w:sz w:val="18"/>
                <w:szCs w:val="18"/>
                <w:lang w:bidi="ar"/>
              </w:rPr>
              <w:t>机器人控制柜IRC5P</w:t>
            </w:r>
          </w:p>
        </w:tc>
        <w:tc>
          <w:tcPr>
            <w:tcW w:w="846"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7套</w:t>
            </w:r>
          </w:p>
        </w:tc>
        <w:tc>
          <w:tcPr>
            <w:tcW w:w="16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3HAC024144-001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Reactor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传感器单元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3HAC029157-001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DSQC668 Axis Computer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轴计算机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3HAC029818-001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DSQC663 HV MDU Power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高压单元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3HAC048858-001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DSQC1015 Safety Module</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安全模块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1.5</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3HAC058366-001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DSQC1024 Computer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计算机板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1.6</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3HAC061416-003</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Mass memory w.boot loader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内存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1.7</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3HAC046408-001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DSQC1003 Expansion Board</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扩展板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1.8</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3HNA019457-001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HPB-02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1.9</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3HNA023282-001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PIB-03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1.10</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3HNA030713-001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MIB-03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3HNA031165-001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SIB-02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3HNA031006-001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PDB-03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3HAC025562-001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DSQC655 Capacitor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电容单元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3HNA013242-001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Power Relays I-Drives Pumps</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功率继电器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1.15</w:t>
            </w:r>
          </w:p>
        </w:tc>
        <w:tc>
          <w:tcPr>
            <w:tcW w:w="2248"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3HNA006149-001</w:t>
            </w:r>
          </w:p>
        </w:tc>
        <w:tc>
          <w:tcPr>
            <w:tcW w:w="30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TIB-01</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1.16</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SERVO</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伺服风扇单元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1.17</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DOOR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1.18</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3HNA009409-001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CBM-01,TOP ASSEMBLY</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1.19</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3HNA025488-001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SCB-02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1.20</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3HNA030000-001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CABLE UNIT IRC5P</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电缆单元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3HNE06227-1</w:t>
            </w:r>
          </w:p>
        </w:tc>
        <w:tc>
          <w:tcPr>
            <w:tcW w:w="3029" w:type="dxa"/>
            <w:tcBorders>
              <w:top w:val="single" w:color="000000"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ALED-02</w:t>
            </w:r>
          </w:p>
        </w:tc>
        <w:tc>
          <w:tcPr>
            <w:tcW w:w="846" w:type="dxa"/>
            <w:tcBorders>
              <w:top w:val="single" w:color="000000" w:sz="4" w:space="0"/>
              <w:left w:val="single" w:color="000000" w:sz="4" w:space="0"/>
              <w:bottom w:val="single" w:color="auto" w:sz="4" w:space="0"/>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single" w:color="auto" w:sz="4" w:space="0"/>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3HNA024941-001</w:t>
            </w:r>
          </w:p>
        </w:tc>
        <w:tc>
          <w:tcPr>
            <w:tcW w:w="30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PAINT TEACH PENDANT</w:t>
            </w:r>
          </w:p>
        </w:tc>
        <w:tc>
          <w:tcPr>
            <w:tcW w:w="846" w:type="dxa"/>
            <w:tcBorders>
              <w:top w:val="single" w:color="auto"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auto"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示教器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3HAC16831-1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Battery pack</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电池包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3HNA09885-001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MO_EQ FILTER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滤波器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1.25</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sz w:val="22"/>
                <w:szCs w:val="22"/>
              </w:rPr>
              <w:t>/</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IPS系统软件</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val="0"/>
                <w:bCs/>
                <w:color w:val="000000"/>
                <w:sz w:val="22"/>
                <w:szCs w:val="22"/>
              </w:rPr>
            </w:pPr>
            <w:r>
              <w:rPr>
                <w:rFonts w:hint="default" w:ascii="宋体" w:hAnsi="宋体" w:eastAsia="宋体" w:cs="宋体"/>
                <w:b w:val="0"/>
                <w:bCs/>
                <w:sz w:val="22"/>
                <w:szCs w:val="22"/>
              </w:rPr>
              <w:t>V4.60以上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工艺控制柜</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4套</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bCs/>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2.1</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MCOB-03A板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3HNA025018-001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2.2</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SMU-03板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3HNA013638-001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2.3</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PIO板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3HNA025019-001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2.4</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HVC-02C板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3HNA029043-001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2.5</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ACK-02 BOARD板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3HNA029236-002</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auto"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2.6</w:t>
            </w:r>
          </w:p>
        </w:tc>
        <w:tc>
          <w:tcPr>
            <w:tcW w:w="2248" w:type="dxa"/>
            <w:tcBorders>
              <w:top w:val="single" w:color="000000" w:sz="4" w:space="0"/>
              <w:left w:val="single" w:color="000000" w:sz="4" w:space="0"/>
              <w:bottom w:val="single" w:color="auto"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ACU-01B板</w:t>
            </w:r>
          </w:p>
        </w:tc>
        <w:tc>
          <w:tcPr>
            <w:tcW w:w="3029" w:type="dxa"/>
            <w:tcBorders>
              <w:top w:val="single" w:color="000000" w:sz="4" w:space="0"/>
              <w:left w:val="single" w:color="000000" w:sz="4" w:space="0"/>
              <w:bottom w:val="single" w:color="auto"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3HNA024871-001</w:t>
            </w:r>
          </w:p>
        </w:tc>
        <w:tc>
          <w:tcPr>
            <w:tcW w:w="846"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bl>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2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pPr>
        <w:pStyle w:val="13"/>
        <w:ind w:firstLine="420"/>
        <w:rPr>
          <w:rFonts w:hAnsi="宋体" w:eastAsia="宋体" w:cs="宋体"/>
          <w:bCs/>
          <w:sz w:val="24"/>
          <w:szCs w:val="24"/>
          <w:highlight w:val="none"/>
        </w:rPr>
      </w:pPr>
      <w:r>
        <w:rPr>
          <w:rFonts w:hint="eastAsia"/>
          <w:highlight w:val="none"/>
        </w:rPr>
        <w:t>3、</w:t>
      </w:r>
      <w:r>
        <w:rPr>
          <w:rFonts w:hint="eastAsia" w:eastAsia="宋体" w:cs="宋体"/>
          <w:bCs/>
          <w:color w:val="auto"/>
          <w:sz w:val="24"/>
          <w:szCs w:val="24"/>
          <w:highlight w:val="none"/>
        </w:rPr>
        <w:t>以上内容仅对设备的基本功能进行了描述和建议，表中所列内容仅供参考，投标方投标前需对生产现场工艺环境进行充分调研与了解，确保投标方案满足工艺、产品、节拍、功能等要求，投标方对投标方案负责。</w:t>
      </w:r>
    </w:p>
    <w:p>
      <w:pPr>
        <w:pStyle w:val="19"/>
        <w:jc w:val="center"/>
        <w:rPr>
          <w:rFonts w:hAnsi="宋体" w:eastAsia="宋体" w:cs="宋体"/>
          <w:bCs/>
          <w:sz w:val="24"/>
          <w:szCs w:val="24"/>
          <w:highlight w:val="none"/>
        </w:rPr>
      </w:pPr>
      <w:r>
        <w:rPr>
          <w:rFonts w:hint="eastAsia" w:hAnsi="宋体" w:eastAsia="宋体" w:cs="宋体"/>
          <w:bCs/>
          <w:sz w:val="24"/>
          <w:szCs w:val="24"/>
          <w:highlight w:val="none"/>
          <w:lang w:val="en-US" w:eastAsia="zh-CN"/>
        </w:rPr>
        <w:t>关于</w:t>
      </w:r>
      <w:r>
        <w:rPr>
          <w:rFonts w:hint="eastAsia" w:hAnsi="宋体" w:eastAsia="宋体" w:cs="宋体"/>
          <w:bCs/>
          <w:sz w:val="24"/>
          <w:szCs w:val="24"/>
          <w:highlight w:val="none"/>
        </w:rPr>
        <w:t>主要器件品牌表</w:t>
      </w:r>
    </w:p>
    <w:p>
      <w:pPr>
        <w:pStyle w:val="19"/>
        <w:rPr>
          <w:rFonts w:hAnsi="宋体" w:eastAsia="宋体" w:cs="宋体"/>
          <w:bCs/>
          <w:sz w:val="24"/>
          <w:szCs w:val="24"/>
          <w:highlight w:val="none"/>
        </w:rPr>
      </w:pP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sz w:val="24"/>
          <w:szCs w:val="24"/>
          <w:highlight w:val="none"/>
        </w:rPr>
        <w:t>投标方设备选型时，机械和电气元件尽可能选用同型号或种类的产品，以便减少备品备件种类。</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2、对于设备的品牌和材料，未明确指定的，首先由投标方提出建议，最终经招标方评审通过并书面确认后实施。</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3、招标方推荐的品牌范围，是投标方必须执行的，其他未明确的相关要求必须与招标方现场使用品牌保持一致，且投标方在回标报价中必须明确所选择的分包商及设备和元器件品牌。</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如遇特殊情况，投标方可通过“偏离申请”的方式，书面向招标方提出元器件品牌由其他代替，其替代原则如下：</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投标方提出的“偏离申请”必须在提交投标书时以书面形式正式向招标方提出。</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投标方在提交“偏离申请”时，需要对其提出的元器件出具相关的技术、质量、价格、服务资料及市场使用情况说明，以表明其满足本项目要求。</w:t>
      </w:r>
    </w:p>
    <w:p>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如最终确定为中标人，在签订合同时“偏离申请”只有在得到招标方认可确认后方可实施。</w:t>
      </w:r>
    </w:p>
    <w:p>
      <w:pPr>
        <w:pStyle w:val="129"/>
        <w:widowControl/>
        <w:spacing w:line="360" w:lineRule="exact"/>
        <w:ind w:firstLine="480"/>
        <w:contextualSpacing/>
        <w:rPr>
          <w:rFonts w:ascii="宋体" w:hAnsi="宋体" w:eastAsia="宋体" w:cs="宋体"/>
          <w:bCs/>
          <w:sz w:val="24"/>
          <w:szCs w:val="24"/>
          <w:highlight w:val="none"/>
        </w:rPr>
      </w:pPr>
      <w:r>
        <w:rPr>
          <w:rFonts w:hint="eastAsia" w:ascii="宋体" w:hAnsi="宋体" w:eastAsia="宋体" w:cs="宋体"/>
          <w:sz w:val="24"/>
          <w:szCs w:val="24"/>
          <w:highlight w:val="none"/>
        </w:rPr>
        <w:t>其他未提及的可能元器件品牌，招标方有权利向投标方进行询问或了解，其同样需要得到招标方的书面认可。</w:t>
      </w:r>
    </w:p>
    <w:p>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pPr>
        <w:widowControl/>
        <w:jc w:val="left"/>
        <w:rPr>
          <w:rFonts w:hint="default"/>
          <w:highlight w:val="none"/>
          <w:lang w:val="en-US" w:eastAsia="zh-CN"/>
        </w:rPr>
      </w:pPr>
      <w:r>
        <w:rPr>
          <w:highlight w:val="none"/>
        </w:rPr>
        <w:br w:type="page"/>
      </w:r>
    </w:p>
    <w:p>
      <w:pPr>
        <w:keepNext/>
        <w:keepLines/>
        <w:spacing w:before="120" w:after="120" w:line="480" w:lineRule="exact"/>
        <w:jc w:val="center"/>
        <w:outlineLvl w:val="1"/>
        <w:rPr>
          <w:rFonts w:hint="eastAsia" w:eastAsia="宋体"/>
          <w:b w:val="0"/>
          <w:color w:val="FF0000"/>
          <w:sz w:val="21"/>
          <w:szCs w:val="21"/>
          <w:lang w:eastAsia="zh-CN"/>
        </w:rPr>
      </w:pPr>
      <w:r>
        <w:rPr>
          <w:rFonts w:hint="eastAsia" w:ascii="宋体" w:hAnsi="宋体" w:eastAsia="宋体" w:cs="Times New Roman"/>
          <w:b/>
          <w:bCs/>
          <w:kern w:val="44"/>
          <w:sz w:val="28"/>
          <w:szCs w:val="28"/>
          <w:highlight w:val="none"/>
        </w:rPr>
        <w:t>第二章技术要求</w:t>
      </w:r>
    </w:p>
    <w:p>
      <w:pPr>
        <w:spacing w:line="420" w:lineRule="exact"/>
        <w:ind w:firstLine="480" w:firstLineChars="200"/>
        <w:rPr>
          <w:rFonts w:ascii="黑体" w:hAnsi="宋体" w:eastAsia="黑体" w:cs="Times New Roman"/>
          <w:sz w:val="24"/>
          <w:szCs w:val="24"/>
          <w:highlight w:val="none"/>
        </w:rPr>
      </w:pPr>
      <w:r>
        <w:rPr>
          <w:rFonts w:hint="eastAsia" w:ascii="黑体" w:hAnsi="宋体" w:eastAsia="黑体" w:cs="Times New Roman"/>
          <w:sz w:val="24"/>
          <w:szCs w:val="24"/>
          <w:highlight w:val="none"/>
        </w:rPr>
        <w:t>一、特别提示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7.投标文件中，针对“特别提示”条款所做的回应，将作为投标人能否中标的重要依据之一。</w:t>
      </w:r>
    </w:p>
    <w:p>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二、基本要求</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3.投标人应保证所供货物的先进性、可靠性、经济性和实用性，并为全新货物（或设备）。</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4.投标人应满足招标人提出的各项技术要求，必要时应当免费提供技术承诺或担保。</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6.投标人应保证所供货物的完整性和成套性，能保证货物的正常运行、使用。</w:t>
      </w:r>
    </w:p>
    <w:p>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7.投标人应对招标人采购的货物所涉及的技术、产能等信息负有保密义务，招标人拥有追究投标人泄密责任的权利；招标人如有需要，投标人应无条件签署保密协议。</w:t>
      </w:r>
    </w:p>
    <w:p>
      <w:pPr>
        <w:pStyle w:val="116"/>
        <w:spacing w:line="360" w:lineRule="auto"/>
        <w:ind w:firstLine="482" w:firstLineChars="200"/>
        <w:outlineLvl w:val="2"/>
        <w:rPr>
          <w:rFonts w:hint="eastAsia" w:ascii="宋体" w:hAnsi="宋体" w:eastAsia="宋体" w:cstheme="minorBidi"/>
          <w:kern w:val="2"/>
          <w:sz w:val="24"/>
          <w:szCs w:val="22"/>
          <w:highlight w:val="none"/>
          <w:lang w:val="en-US" w:eastAsia="zh-CN" w:bidi="ar-SA"/>
        </w:rPr>
      </w:pPr>
      <w:r>
        <w:rPr>
          <w:rFonts w:hint="eastAsia" w:eastAsia="宋体" w:cs="宋体"/>
          <w:b/>
          <w:bCs w:val="0"/>
          <w:sz w:val="24"/>
          <w:szCs w:val="24"/>
          <w:highlight w:val="none"/>
        </w:rPr>
        <w:t>三、技术要求</w:t>
      </w:r>
    </w:p>
    <w:p>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highlight w:val="none"/>
          <w:lang w:val="en-US" w:eastAsia="zh-CN" w:bidi="ar-SA"/>
        </w:rPr>
      </w:pPr>
      <w:r>
        <w:rPr>
          <w:rFonts w:hint="eastAsia" w:ascii="宋体" w:hAnsi="宋体" w:cstheme="minorBidi"/>
          <w:kern w:val="2"/>
          <w:sz w:val="24"/>
          <w:szCs w:val="22"/>
          <w:highlight w:val="none"/>
          <w:lang w:val="en-US" w:eastAsia="zh-CN" w:bidi="ar-SA"/>
        </w:rPr>
        <w:t>3.</w:t>
      </w:r>
      <w:r>
        <w:rPr>
          <w:rFonts w:hint="eastAsia" w:ascii="宋体" w:hAnsi="宋体" w:eastAsia="宋体" w:cstheme="minorBidi"/>
          <w:kern w:val="2"/>
          <w:sz w:val="24"/>
          <w:szCs w:val="22"/>
          <w:highlight w:val="none"/>
          <w:lang w:val="en-US" w:eastAsia="zh-CN" w:bidi="ar-SA"/>
        </w:rPr>
        <w:t>1项目总述</w:t>
      </w:r>
    </w:p>
    <w:p>
      <w:pPr>
        <w:spacing w:line="44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党家庄工厂</w:t>
      </w:r>
      <w:r>
        <w:rPr>
          <w:rFonts w:hint="default" w:ascii="宋体" w:hAnsi="宋体" w:eastAsia="宋体" w:cs="宋体"/>
          <w:color w:val="auto"/>
          <w:sz w:val="24"/>
          <w:szCs w:val="24"/>
        </w:rPr>
        <w:t>涂装</w:t>
      </w:r>
      <w:r>
        <w:rPr>
          <w:rFonts w:hint="eastAsia" w:ascii="宋体" w:hAnsi="宋体" w:eastAsia="宋体" w:cs="宋体"/>
          <w:color w:val="auto"/>
          <w:sz w:val="24"/>
          <w:szCs w:val="24"/>
          <w:lang w:val="en-US" w:eastAsia="zh-CN"/>
        </w:rPr>
        <w:t>车间</w:t>
      </w:r>
      <w:r>
        <w:rPr>
          <w:rFonts w:hint="default" w:ascii="宋体" w:hAnsi="宋体" w:eastAsia="宋体" w:cs="宋体"/>
          <w:color w:val="auto"/>
          <w:sz w:val="24"/>
          <w:szCs w:val="24"/>
        </w:rPr>
        <w:t>ABB喷涂机器人，已运行15年，用于喷涂驾驶室外表面漆膜</w:t>
      </w:r>
      <w:r>
        <w:rPr>
          <w:rFonts w:hint="eastAsia" w:ascii="宋体" w:hAnsi="宋体" w:eastAsia="宋体" w:cs="宋体"/>
          <w:color w:val="auto"/>
          <w:sz w:val="24"/>
          <w:szCs w:val="24"/>
          <w:lang w:val="en-US" w:eastAsia="zh-CN"/>
        </w:rPr>
        <w:t>作业</w:t>
      </w:r>
      <w:r>
        <w:rPr>
          <w:rFonts w:hint="default" w:ascii="宋体" w:hAnsi="宋体" w:eastAsia="宋体" w:cs="宋体"/>
          <w:color w:val="auto"/>
          <w:sz w:val="24"/>
          <w:szCs w:val="24"/>
        </w:rPr>
        <w:t>。</w:t>
      </w:r>
      <w:r>
        <w:rPr>
          <w:rFonts w:hint="eastAsia" w:ascii="宋体" w:hAnsi="宋体" w:eastAsia="宋体" w:cs="宋体"/>
          <w:color w:val="auto"/>
          <w:sz w:val="24"/>
          <w:szCs w:val="24"/>
          <w:lang w:val="en-US" w:eastAsia="zh-CN"/>
        </w:rPr>
        <w:t>为了提升设备稳定性，计划对7台机器人控制柜、4台机器人工艺控制柜进行升级，满足原有生产工艺不变，</w:t>
      </w:r>
      <w:r>
        <w:rPr>
          <w:rFonts w:hint="default" w:ascii="宋体" w:hAnsi="宋体" w:eastAsia="宋体" w:cs="宋体"/>
          <w:color w:val="auto"/>
          <w:sz w:val="24"/>
          <w:szCs w:val="24"/>
        </w:rPr>
        <w:t>保障ABB喷涂机器人的正常</w:t>
      </w:r>
      <w:r>
        <w:rPr>
          <w:rFonts w:hint="eastAsia" w:ascii="宋体" w:hAnsi="宋体" w:eastAsia="宋体" w:cs="宋体"/>
          <w:color w:val="auto"/>
          <w:sz w:val="24"/>
          <w:szCs w:val="24"/>
          <w:lang w:val="en-US" w:eastAsia="zh-CN"/>
        </w:rPr>
        <w:t>运</w:t>
      </w:r>
      <w:r>
        <w:rPr>
          <w:rFonts w:hint="default" w:ascii="宋体" w:hAnsi="宋体" w:eastAsia="宋体" w:cs="宋体"/>
          <w:color w:val="auto"/>
          <w:sz w:val="24"/>
          <w:szCs w:val="24"/>
        </w:rPr>
        <w:t>行。</w:t>
      </w:r>
    </w:p>
    <w:p>
      <w:pPr>
        <w:pStyle w:val="4"/>
        <w:numPr>
          <w:ilvl w:val="0"/>
          <w:numId w:val="0"/>
        </w:numPr>
        <w:spacing w:line="360" w:lineRule="exact"/>
        <w:ind w:firstLine="482"/>
        <w:rPr>
          <w:rFonts w:hint="eastAsia" w:ascii="宋体" w:hAnsi="宋体" w:eastAsia="宋体" w:cstheme="minorBidi"/>
          <w:kern w:val="2"/>
          <w:sz w:val="24"/>
          <w:szCs w:val="22"/>
          <w:highlight w:val="none"/>
          <w:lang w:val="en-US" w:eastAsia="zh-CN" w:bidi="ar-SA"/>
        </w:rPr>
      </w:pPr>
      <w:r>
        <w:rPr>
          <w:rFonts w:hint="eastAsia" w:ascii="宋体" w:hAnsi="宋体" w:cstheme="minorBidi"/>
          <w:bCs/>
          <w:kern w:val="2"/>
          <w:sz w:val="24"/>
          <w:szCs w:val="22"/>
          <w:highlight w:val="none"/>
          <w:lang w:val="en-US" w:eastAsia="zh-CN"/>
        </w:rPr>
        <w:t>3.2项目</w:t>
      </w:r>
      <w:r>
        <w:rPr>
          <w:rFonts w:hint="eastAsia" w:ascii="宋体" w:hAnsi="宋体" w:eastAsia="宋体" w:cstheme="minorBidi"/>
          <w:bCs/>
          <w:kern w:val="2"/>
          <w:sz w:val="24"/>
          <w:szCs w:val="22"/>
          <w:highlight w:val="none"/>
        </w:rPr>
        <w:t>质量</w:t>
      </w:r>
    </w:p>
    <w:p>
      <w:pPr>
        <w:pStyle w:val="129"/>
        <w:numPr>
          <w:ilvl w:val="0"/>
          <w:numId w:val="0"/>
        </w:numPr>
        <w:tabs>
          <w:tab w:val="left" w:pos="1164"/>
          <w:tab w:val="left" w:pos="1165"/>
        </w:tabs>
        <w:spacing w:before="199" w:after="0" w:line="240" w:lineRule="auto"/>
        <w:ind w:right="0" w:rightChars="0" w:firstLine="720" w:firstLineChars="3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本次改造</w:t>
      </w:r>
      <w:r>
        <w:rPr>
          <w:rFonts w:hint="default" w:ascii="宋体" w:hAnsi="宋体" w:eastAsia="宋体" w:cs="宋体"/>
          <w:sz w:val="24"/>
          <w:szCs w:val="24"/>
        </w:rPr>
        <w:t>机器人</w:t>
      </w:r>
      <w:r>
        <w:rPr>
          <w:rFonts w:hint="eastAsia" w:ascii="宋体" w:hAnsi="宋体" w:eastAsia="宋体" w:cs="宋体"/>
          <w:sz w:val="24"/>
          <w:szCs w:val="24"/>
          <w:lang w:val="en-US" w:eastAsia="zh-CN"/>
        </w:rPr>
        <w:t>控制</w:t>
      </w:r>
      <w:r>
        <w:rPr>
          <w:rFonts w:hint="default" w:ascii="宋体" w:hAnsi="宋体" w:eastAsia="宋体" w:cs="宋体"/>
          <w:sz w:val="24"/>
          <w:szCs w:val="24"/>
        </w:rPr>
        <w:t>系统软件Roboware升级到V6.12以上、IPS版本（工艺软件）升级到4.60以上，上位机监控软件INTOUCH</w:t>
      </w:r>
      <w:r>
        <w:rPr>
          <w:rFonts w:hint="default" w:ascii="宋体" w:hAnsi="宋体" w:eastAsia="宋体" w:cs="宋体"/>
          <w:color w:val="auto"/>
          <w:sz w:val="24"/>
          <w:szCs w:val="24"/>
        </w:rPr>
        <w:t>与</w:t>
      </w:r>
      <w:r>
        <w:rPr>
          <w:rFonts w:hint="default" w:ascii="宋体" w:hAnsi="宋体" w:eastAsia="宋体" w:cs="宋体"/>
          <w:sz w:val="24"/>
          <w:szCs w:val="24"/>
        </w:rPr>
        <w:t>ROBOVIEW5更新匹配，提升软件与硬件的兼容性</w:t>
      </w:r>
    </w:p>
    <w:p>
      <w:pPr>
        <w:pStyle w:val="4"/>
        <w:numPr>
          <w:ilvl w:val="0"/>
          <w:numId w:val="0"/>
        </w:numPr>
        <w:spacing w:line="360" w:lineRule="exact"/>
        <w:ind w:firstLine="482" w:firstLineChars="0"/>
        <w:rPr>
          <w:rFonts w:hint="eastAsia" w:ascii="宋体" w:hAnsi="宋体" w:eastAsia="宋体" w:cstheme="minorBidi"/>
          <w:bCs/>
          <w:kern w:val="2"/>
          <w:sz w:val="24"/>
          <w:szCs w:val="22"/>
          <w:highlight w:val="none"/>
        </w:rPr>
      </w:pPr>
      <w:r>
        <w:rPr>
          <w:rFonts w:hint="eastAsia" w:ascii="宋体" w:hAnsi="宋体" w:cstheme="minorBidi"/>
          <w:bCs/>
          <w:kern w:val="2"/>
          <w:sz w:val="24"/>
          <w:szCs w:val="22"/>
          <w:highlight w:val="none"/>
          <w:lang w:val="en-US" w:eastAsia="zh-CN"/>
        </w:rPr>
        <w:t>3.3</w:t>
      </w:r>
      <w:r>
        <w:rPr>
          <w:rFonts w:hint="eastAsia" w:ascii="宋体" w:hAnsi="宋体" w:eastAsia="宋体" w:cstheme="minorBidi"/>
          <w:bCs/>
          <w:kern w:val="2"/>
          <w:sz w:val="24"/>
          <w:szCs w:val="22"/>
          <w:highlight w:val="none"/>
        </w:rPr>
        <w:t>项目验收：</w:t>
      </w:r>
    </w:p>
    <w:p>
      <w:pPr>
        <w:pStyle w:val="28"/>
        <w:ind w:firstLine="720" w:firstLineChars="300"/>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设备验收依据：</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双方签订的技术协议</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双方会签的施工图</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双方签订的会议纪要</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安全规范和标准</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防火规范和标准</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环保规范和标准</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设备采用材质合格证明及分析报告</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消防设备由招标方负责通过公安、消防部门验收</w:t>
      </w:r>
    </w:p>
    <w:p>
      <w:pPr>
        <w:pStyle w:val="28"/>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GB/T 35076-2018机械安全 生产设备安全通则</w:t>
      </w:r>
    </w:p>
    <w:p>
      <w:pPr>
        <w:pStyle w:val="28"/>
        <w:rPr>
          <w:rFonts w:hint="eastAsia" w:ascii="宋体" w:hAnsi="宋体" w:eastAsia="宋体" w:cs="宋体"/>
          <w:bCs w:val="0"/>
          <w:kern w:val="2"/>
          <w:sz w:val="24"/>
          <w:szCs w:val="24"/>
          <w:highlight w:val="none"/>
          <w:lang w:val="en-US" w:eastAsia="zh-CN"/>
        </w:rPr>
      </w:pPr>
      <w:r>
        <w:rPr>
          <w:rFonts w:hint="eastAsia" w:ascii="宋体" w:hAnsi="宋体" w:eastAsia="宋体" w:cs="宋体"/>
          <w:bCs w:val="0"/>
          <w:kern w:val="2"/>
          <w:sz w:val="24"/>
          <w:szCs w:val="24"/>
          <w:highlight w:val="none"/>
          <w:lang w:val="en-US" w:eastAsia="zh-CN"/>
        </w:rPr>
        <w:t>GB 19517-2009国家电气设备安全技术规范</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GB50231-2009</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机械设备安装工程施工及验收通用规范</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GB50575-2010《1kV及以下配线工程施工与验收规范》</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GB50150-2016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w:t>
      </w:r>
      <w:r>
        <w:rPr>
          <w:rFonts w:hint="eastAsia" w:ascii="宋体" w:hAnsi="宋体" w:eastAsia="宋体" w:cs="宋体"/>
          <w:bCs w:val="0"/>
          <w:kern w:val="2"/>
          <w:sz w:val="24"/>
          <w:szCs w:val="24"/>
          <w:highlight w:val="none"/>
        </w:rPr>
        <w:fldChar w:fldCharType="begin"/>
      </w:r>
      <w:r>
        <w:rPr>
          <w:rFonts w:hint="eastAsia" w:ascii="宋体" w:hAnsi="宋体" w:eastAsia="宋体" w:cs="宋体"/>
          <w:szCs w:val="24"/>
          <w:highlight w:val="none"/>
        </w:rPr>
        <w:instrText xml:space="preserve">HYPERLINK "http://www1.csres.com/detail/69378.html"</w:instrText>
      </w:r>
      <w:r>
        <w:rPr>
          <w:rFonts w:hint="eastAsia" w:ascii="宋体" w:hAnsi="宋体" w:eastAsia="宋体" w:cs="宋体"/>
          <w:bCs w:val="0"/>
          <w:kern w:val="2"/>
          <w:sz w:val="24"/>
          <w:szCs w:val="24"/>
          <w:highlight w:val="none"/>
        </w:rPr>
        <w:fldChar w:fldCharType="separate"/>
      </w:r>
      <w:r>
        <w:rPr>
          <w:rFonts w:hint="eastAsia" w:ascii="宋体" w:hAnsi="宋体" w:eastAsia="宋体" w:cs="宋体"/>
          <w:bCs w:val="0"/>
          <w:kern w:val="2"/>
          <w:sz w:val="24"/>
          <w:szCs w:val="24"/>
          <w:highlight w:val="none"/>
        </w:rPr>
        <w:t>电气装置安装工程电气设备交接试验标准</w:t>
      </w:r>
      <w:r>
        <w:rPr>
          <w:rFonts w:hint="eastAsia" w:ascii="宋体" w:hAnsi="宋体" w:eastAsia="宋体" w:cs="宋体"/>
          <w:bCs w:val="0"/>
          <w:kern w:val="2"/>
          <w:sz w:val="24"/>
          <w:szCs w:val="24"/>
          <w:highlight w:val="none"/>
        </w:rPr>
        <w:fldChar w:fldCharType="end"/>
      </w:r>
      <w:r>
        <w:rPr>
          <w:rFonts w:hint="eastAsia" w:ascii="宋体" w:hAnsi="宋体" w:eastAsia="宋体" w:cs="宋体"/>
          <w:bCs w:val="0"/>
          <w:kern w:val="2"/>
          <w:sz w:val="24"/>
          <w:szCs w:val="24"/>
          <w:highlight w:val="none"/>
        </w:rPr>
        <w:t>》</w:t>
      </w:r>
    </w:p>
    <w:p>
      <w:pPr>
        <w:pStyle w:val="28"/>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GB50169-2016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《电气装置安装工程接地装置施工验收规范》</w:t>
      </w:r>
    </w:p>
    <w:p>
      <w:pPr>
        <w:pStyle w:val="28"/>
        <w:rPr>
          <w:rFonts w:hint="eastAsia"/>
        </w:rPr>
      </w:pPr>
      <w:r>
        <w:rPr>
          <w:rFonts w:hint="default" w:ascii="宋体" w:hAnsi="宋体" w:eastAsia="宋体" w:cs="宋体"/>
          <w:bCs w:val="0"/>
          <w:kern w:val="2"/>
          <w:sz w:val="24"/>
          <w:szCs w:val="24"/>
          <w:highlight w:val="none"/>
        </w:rPr>
        <w:t>JGJ46-2005《施工现场临时用电安全技术规范》</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投标方需提供满足本技术要求产品的运输、安装、调试、培训、质保服务等全过程工作。</w:t>
      </w:r>
    </w:p>
    <w:p>
      <w:pPr>
        <w:pStyle w:val="4"/>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3.4</w:t>
      </w:r>
      <w:r>
        <w:rPr>
          <w:rFonts w:hint="eastAsia" w:ascii="宋体" w:hAnsi="宋体" w:eastAsia="宋体" w:cstheme="minorBidi"/>
          <w:sz w:val="24"/>
          <w:szCs w:val="22"/>
          <w:highlight w:val="none"/>
        </w:rPr>
        <w:t>项目范围</w:t>
      </w:r>
    </w:p>
    <w:p>
      <w:pPr>
        <w:pStyle w:val="8"/>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本项目</w:t>
      </w:r>
      <w:r>
        <w:rPr>
          <w:rFonts w:hint="eastAsia" w:ascii="宋体" w:hAnsi="宋体" w:eastAsia="宋体" w:cs="宋体"/>
          <w:kern w:val="2"/>
          <w:sz w:val="24"/>
          <w:szCs w:val="24"/>
          <w:highlight w:val="none"/>
          <w:lang w:val="en-US" w:eastAsia="zh-CN" w:bidi="ar-SA"/>
        </w:rPr>
        <w:t>包含7</w:t>
      </w:r>
      <w:r>
        <w:rPr>
          <w:rFonts w:hint="eastAsia" w:ascii="宋体" w:hAnsi="宋体" w:eastAsia="宋体" w:cs="宋体"/>
          <w:sz w:val="24"/>
          <w:szCs w:val="24"/>
          <w:highlight w:val="none"/>
          <w:lang w:val="en-US" w:eastAsia="zh-CN"/>
        </w:rPr>
        <w:t>台机器人控制柜及4台机器人工艺柜设备</w:t>
      </w:r>
      <w:r>
        <w:rPr>
          <w:rFonts w:hint="eastAsia" w:ascii="宋体" w:hAnsi="宋体" w:eastAsia="宋体" w:cs="宋体"/>
          <w:kern w:val="2"/>
          <w:sz w:val="24"/>
          <w:szCs w:val="24"/>
          <w:highlight w:val="none"/>
          <w:lang w:val="en-US" w:eastAsia="zh-CN" w:bidi="ar-SA"/>
        </w:rPr>
        <w:t>安装调试。</w:t>
      </w:r>
    </w:p>
    <w:p>
      <w:pPr>
        <w:pStyle w:val="4"/>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3.5</w:t>
      </w:r>
      <w:r>
        <w:rPr>
          <w:rFonts w:hint="eastAsia" w:ascii="宋体" w:hAnsi="宋体" w:eastAsia="宋体" w:cstheme="minorBidi"/>
          <w:sz w:val="24"/>
          <w:szCs w:val="22"/>
          <w:highlight w:val="none"/>
        </w:rPr>
        <w:t>产品制造及检验标准</w:t>
      </w:r>
    </w:p>
    <w:p>
      <w:pPr>
        <w:pStyle w:val="32"/>
        <w:spacing w:line="440" w:lineRule="exact"/>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充分考虑产品及安装费用；</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充分考虑</w:t>
      </w:r>
      <w:r>
        <w:rPr>
          <w:rFonts w:hint="eastAsia" w:ascii="宋体" w:hAnsi="宋体" w:eastAsia="宋体" w:cs="宋体"/>
          <w:sz w:val="24"/>
          <w:szCs w:val="24"/>
          <w:highlight w:val="none"/>
          <w:lang w:eastAsia="zh-CN"/>
        </w:rPr>
        <w:t>济南卡车公司</w:t>
      </w:r>
      <w:r>
        <w:rPr>
          <w:rFonts w:hint="eastAsia" w:ascii="宋体" w:hAnsi="宋体" w:eastAsia="宋体" w:cs="宋体"/>
          <w:sz w:val="24"/>
          <w:szCs w:val="24"/>
          <w:highlight w:val="none"/>
        </w:rPr>
        <w:t>的技术要求；</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满足国家相关规定及强制性条文；</w:t>
      </w:r>
    </w:p>
    <w:p>
      <w:pPr>
        <w:pStyle w:val="4"/>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3.6</w:t>
      </w:r>
      <w:r>
        <w:rPr>
          <w:rFonts w:hint="eastAsia" w:ascii="宋体" w:hAnsi="宋体" w:eastAsia="宋体" w:cstheme="minorBidi"/>
          <w:sz w:val="24"/>
          <w:szCs w:val="22"/>
          <w:highlight w:val="none"/>
        </w:rPr>
        <w:t>项目建议实施方案</w:t>
      </w:r>
    </w:p>
    <w:p>
      <w:pPr>
        <w:spacing w:beforeLines="0" w:afterLines="0" w:line="360" w:lineRule="auto"/>
        <w:rPr>
          <w:rFonts w:hint="default" w:ascii="宋体" w:hAnsi="宋体" w:eastAsia="宋体" w:cs="宋体"/>
          <w:sz w:val="24"/>
          <w:szCs w:val="24"/>
        </w:rPr>
      </w:pPr>
      <w:r>
        <w:rPr>
          <w:rFonts w:hint="default" w:ascii="宋体" w:hAnsi="宋体" w:eastAsia="宋体" w:cs="宋体"/>
          <w:sz w:val="24"/>
          <w:szCs w:val="24"/>
        </w:rPr>
        <w:t>1</w:t>
      </w:r>
      <w:r>
        <w:rPr>
          <w:rFonts w:hint="eastAsia" w:ascii="宋体" w:hAnsi="宋体" w:eastAsia="宋体" w:cs="宋体"/>
          <w:sz w:val="24"/>
          <w:szCs w:val="24"/>
          <w:lang w:eastAsia="zh-CN"/>
        </w:rPr>
        <w:t>、</w:t>
      </w:r>
      <w:r>
        <w:rPr>
          <w:rFonts w:hint="default" w:ascii="宋体" w:hAnsi="宋体" w:eastAsia="宋体" w:cs="宋体"/>
          <w:sz w:val="24"/>
          <w:szCs w:val="24"/>
        </w:rPr>
        <w:t>机器人控制柜更换</w:t>
      </w:r>
      <w:r>
        <w:rPr>
          <w:rFonts w:hint="default" w:ascii="宋体" w:hAnsi="宋体" w:eastAsia="宋体" w:cs="宋体"/>
          <w:color w:val="FF0000"/>
          <w:sz w:val="24"/>
          <w:szCs w:val="24"/>
        </w:rPr>
        <w:t>（7台）</w:t>
      </w:r>
    </w:p>
    <w:p>
      <w:pPr>
        <w:spacing w:beforeLines="0" w:afterLines="0" w:line="360" w:lineRule="auto"/>
        <w:rPr>
          <w:rFonts w:hint="default" w:ascii="宋体" w:hAnsi="宋体" w:eastAsia="宋体" w:cs="宋体"/>
          <w:sz w:val="24"/>
          <w:szCs w:val="24"/>
        </w:rPr>
      </w:pPr>
      <w:r>
        <w:rPr>
          <w:rFonts w:hint="default" w:ascii="宋体" w:hAnsi="宋体" w:eastAsia="宋体" w:cs="宋体"/>
          <w:sz w:val="24"/>
          <w:szCs w:val="24"/>
        </w:rPr>
        <w:t>①升级控制柜匹配现有机器人的功能配置，新示教器、接口板等部分。机器人和控制柜之间的连接电缆，机器人吹扫单元予以保留。升级控制柜的输入输出接口，适应原机器人电缆连接。</w:t>
      </w:r>
    </w:p>
    <w:p>
      <w:pPr>
        <w:spacing w:beforeLines="0" w:afterLines="0" w:line="360" w:lineRule="auto"/>
        <w:rPr>
          <w:rFonts w:hint="default" w:ascii="宋体" w:hAnsi="宋体" w:eastAsia="宋体" w:cs="宋体"/>
          <w:sz w:val="24"/>
          <w:szCs w:val="24"/>
        </w:rPr>
      </w:pPr>
      <w:r>
        <w:rPr>
          <w:rFonts w:hint="default" w:ascii="宋体" w:hAnsi="宋体" w:eastAsia="宋体" w:cs="宋体"/>
          <w:sz w:val="24"/>
          <w:szCs w:val="24"/>
        </w:rPr>
        <w:t>②机器人系统软件Roboware升级到V6.12以上、IPS版本（工艺软件）升级到4.60以上，上位机监控软件INTOUCH</w:t>
      </w:r>
      <w:r>
        <w:rPr>
          <w:rFonts w:hint="default" w:ascii="宋体" w:hAnsi="宋体" w:eastAsia="宋体" w:cs="宋体"/>
          <w:color w:val="auto"/>
          <w:sz w:val="24"/>
          <w:szCs w:val="24"/>
        </w:rPr>
        <w:t>与</w:t>
      </w:r>
      <w:r>
        <w:rPr>
          <w:rFonts w:hint="default" w:ascii="宋体" w:hAnsi="宋体" w:eastAsia="宋体" w:cs="宋体"/>
          <w:sz w:val="24"/>
          <w:szCs w:val="24"/>
        </w:rPr>
        <w:t>ROBOVIEW5更新匹配，提升软件与硬件的兼容性。</w:t>
      </w:r>
    </w:p>
    <w:p>
      <w:pPr>
        <w:spacing w:beforeLines="0" w:afterLines="0" w:line="360" w:lineRule="auto"/>
        <w:rPr>
          <w:rFonts w:hint="default" w:ascii="宋体" w:hAnsi="宋体" w:eastAsia="宋体" w:cs="宋体"/>
          <w:sz w:val="24"/>
          <w:szCs w:val="24"/>
        </w:rPr>
      </w:pPr>
      <w:r>
        <w:rPr>
          <w:rFonts w:hint="default" w:ascii="宋体" w:hAnsi="宋体" w:eastAsia="宋体" w:cs="宋体"/>
          <w:color w:val="auto"/>
          <w:sz w:val="24"/>
          <w:szCs w:val="24"/>
        </w:rPr>
        <w:t>③</w:t>
      </w:r>
      <w:r>
        <w:rPr>
          <w:rFonts w:hint="default" w:ascii="宋体" w:hAnsi="宋体" w:eastAsia="宋体" w:cs="宋体"/>
          <w:sz w:val="24"/>
          <w:szCs w:val="24"/>
        </w:rPr>
        <w:t>升级后机器人的主要硬件配置如下表：</w:t>
      </w:r>
    </w:p>
    <w:tbl>
      <w:tblPr>
        <w:tblStyle w:val="40"/>
        <w:tblW w:w="80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6"/>
        <w:gridCol w:w="2400"/>
        <w:gridCol w:w="3234"/>
        <w:gridCol w:w="17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656" w:type="dxa"/>
            <w:tcBorders>
              <w:top w:val="single" w:color="auto" w:sz="4" w:space="0"/>
              <w:left w:val="single" w:color="000000" w:sz="8"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18"/>
                <w:szCs w:val="18"/>
                <w:bdr w:val="single" w:color="000000" w:sz="8" w:space="0"/>
                <w:lang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8890</wp:posOffset>
                  </wp:positionV>
                  <wp:extent cx="1597660" cy="635"/>
                  <wp:effectExtent l="0" t="0" r="0" b="0"/>
                  <wp:wrapNone/>
                  <wp:docPr id="56" name="Picture_33"/>
                  <wp:cNvGraphicFramePr/>
                  <a:graphic xmlns:a="http://schemas.openxmlformats.org/drawingml/2006/main">
                    <a:graphicData uri="http://schemas.openxmlformats.org/drawingml/2006/picture">
                      <pic:pic xmlns:pic="http://schemas.openxmlformats.org/drawingml/2006/picture">
                        <pic:nvPicPr>
                          <pic:cNvPr id="56" name="Picture_33"/>
                          <pic:cNvPicPr/>
                        </pic:nvPicPr>
                        <pic:blipFill>
                          <a:blip r:embed="rId45"/>
                          <a:stretch>
                            <a:fillRect/>
                          </a:stretch>
                        </pic:blipFill>
                        <pic:spPr>
                          <a:xfrm>
                            <a:off x="0" y="0"/>
                            <a:ext cx="1597660" cy="635"/>
                          </a:xfrm>
                          <a:prstGeom prst="rect">
                            <a:avLst/>
                          </a:prstGeom>
                          <a:noFill/>
                          <a:ln>
                            <a:noFill/>
                          </a:ln>
                        </pic:spPr>
                      </pic:pic>
                    </a:graphicData>
                  </a:graphic>
                </wp:anchor>
              </w:drawing>
            </w:r>
            <w:r>
              <w:rPr>
                <w:rFonts w:hint="default" w:ascii="宋体" w:hAnsi="宋体" w:eastAsia="宋体" w:cs="宋体"/>
                <w:b/>
                <w:color w:val="000000"/>
                <w:kern w:val="0"/>
                <w:sz w:val="18"/>
                <w:szCs w:val="18"/>
                <w:lang w:bidi="ar"/>
              </w:rPr>
              <w:t>序号</w:t>
            </w:r>
          </w:p>
        </w:tc>
        <w:tc>
          <w:tcPr>
            <w:tcW w:w="2400"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备件号</w:t>
            </w:r>
          </w:p>
        </w:tc>
        <w:tc>
          <w:tcPr>
            <w:tcW w:w="3234"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Style w:val="137"/>
                <w:rFonts w:hint="default"/>
                <w:sz w:val="18"/>
                <w:szCs w:val="18"/>
                <w:lang w:bidi="ar"/>
              </w:rPr>
              <w:t>名称描述</w:t>
            </w:r>
            <w:r>
              <w:rPr>
                <w:rStyle w:val="138"/>
                <w:rFonts w:hint="eastAsia"/>
                <w:sz w:val="18"/>
                <w:szCs w:val="18"/>
                <w:lang w:bidi="ar"/>
              </w:rPr>
              <w:t>(</w:t>
            </w:r>
            <w:r>
              <w:rPr>
                <w:rStyle w:val="137"/>
                <w:rFonts w:hint="default"/>
                <w:sz w:val="18"/>
                <w:szCs w:val="18"/>
                <w:lang w:bidi="ar"/>
              </w:rPr>
              <w:t>英/中</w:t>
            </w:r>
            <w:r>
              <w:rPr>
                <w:rStyle w:val="138"/>
                <w:rFonts w:hint="eastAsia"/>
                <w:sz w:val="18"/>
                <w:szCs w:val="18"/>
                <w:lang w:bidi="ar"/>
              </w:rPr>
              <w:t>)</w:t>
            </w:r>
          </w:p>
        </w:tc>
        <w:tc>
          <w:tcPr>
            <w:tcW w:w="1791"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jc w:val="center"/>
        </w:trPr>
        <w:tc>
          <w:tcPr>
            <w:tcW w:w="656" w:type="dxa"/>
            <w:tcBorders>
              <w:top w:val="single" w:color="auto" w:sz="4" w:space="0"/>
              <w:left w:val="single" w:color="000000" w:sz="8"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color w:val="000000"/>
                <w:kern w:val="0"/>
                <w:sz w:val="18"/>
                <w:szCs w:val="18"/>
                <w:bdr w:val="single" w:color="000000" w:sz="8" w:space="0"/>
                <w:lang w:bidi="ar"/>
              </w:rPr>
            </w:pPr>
            <w:r>
              <w:rPr>
                <w:rFonts w:hint="default" w:ascii="宋体" w:hAnsi="宋体" w:eastAsia="宋体" w:cs="宋体"/>
                <w:color w:val="000000"/>
                <w:kern w:val="0"/>
                <w:sz w:val="22"/>
                <w:szCs w:val="22"/>
                <w:lang w:bidi="ar"/>
              </w:rPr>
              <w:t>1</w:t>
            </w:r>
          </w:p>
        </w:tc>
        <w:tc>
          <w:tcPr>
            <w:tcW w:w="2400"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color w:val="000000"/>
                <w:kern w:val="0"/>
                <w:sz w:val="20"/>
                <w:szCs w:val="20"/>
                <w:lang w:bidi="ar"/>
              </w:rPr>
            </w:pPr>
            <w:r>
              <w:rPr>
                <w:rFonts w:hint="default" w:ascii="宋体" w:hAnsi="宋体" w:eastAsia="宋体" w:cs="宋体"/>
                <w:color w:val="000000"/>
                <w:kern w:val="0"/>
                <w:sz w:val="20"/>
                <w:szCs w:val="20"/>
                <w:lang w:bidi="ar"/>
              </w:rPr>
              <w:t>3HNA016800-001</w:t>
            </w:r>
          </w:p>
        </w:tc>
        <w:tc>
          <w:tcPr>
            <w:tcW w:w="3234"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Style w:val="137"/>
                <w:rFonts w:hint="default"/>
                <w:b w:val="0"/>
                <w:sz w:val="18"/>
                <w:szCs w:val="18"/>
                <w:lang w:bidi="ar"/>
              </w:rPr>
            </w:pPr>
            <w:r>
              <w:rPr>
                <w:rStyle w:val="137"/>
                <w:rFonts w:hint="default"/>
                <w:b w:val="0"/>
                <w:sz w:val="18"/>
                <w:szCs w:val="18"/>
                <w:lang w:bidi="ar"/>
              </w:rPr>
              <w:t>机器人控制柜IRC5P</w:t>
            </w:r>
          </w:p>
        </w:tc>
        <w:tc>
          <w:tcPr>
            <w:tcW w:w="1791"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color w:val="000000"/>
                <w:kern w:val="0"/>
                <w:sz w:val="20"/>
                <w:szCs w:val="20"/>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3HAC024144-001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Reactor unit</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传感器单元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3HAC029157-001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DSQC668 Axis Computer</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轴计算机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1.3</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3HAC029818-001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DSQC663 HV MDU Power unit</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高压单元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1.4</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3HAC048858-001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DSQC1015 Safety Module</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安全模块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1.5</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3HAC058366-001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DSQC1024 Computer</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计算机板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1.6</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3HAC061416-003</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Mass memory w.boot loader</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内存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1.7</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3HAC046408-001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DSQC1003 Expansion Board</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扩展板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1.8</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3HNA019457-001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HPB-02</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1.9</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3HNA023282-001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PIB-03</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1.10</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3HNA030713-001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MIB-03</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1.11</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3HNA031165-001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SIB-02</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1.12</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3HNA031006-001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PDB-03</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1.13</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3HAC025562-001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DSQC655 Capacitor Unit</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电容单元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1.14</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3HNA013242-001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Power Relays I-Drives Pumps</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功率继电器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1.15</w:t>
            </w:r>
          </w:p>
        </w:tc>
        <w:tc>
          <w:tcPr>
            <w:tcW w:w="240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3HNA006149-001</w:t>
            </w:r>
          </w:p>
        </w:tc>
        <w:tc>
          <w:tcPr>
            <w:tcW w:w="3234"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TIB-01</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1.16</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3HNA009326-001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SERVO</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伺服风扇单元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1.17</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3HNA009327-001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DOOR</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1.18</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3HNA009409-001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CBM-01,TOP ASSEMBLY</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1.19</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3HNA025488-001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SCB-02</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1.20</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3HNA030000-001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CABLE UNIT IRC5P</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电缆单元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1.21</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3HNE06227-1</w:t>
            </w:r>
          </w:p>
        </w:tc>
        <w:tc>
          <w:tcPr>
            <w:tcW w:w="3234" w:type="dxa"/>
            <w:tcBorders>
              <w:top w:val="single" w:color="000000"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ALED-02</w:t>
            </w:r>
          </w:p>
        </w:tc>
        <w:tc>
          <w:tcPr>
            <w:tcW w:w="0" w:type="auto"/>
            <w:tcBorders>
              <w:top w:val="single" w:color="000000" w:sz="4" w:space="0"/>
              <w:left w:val="single" w:color="000000" w:sz="4" w:space="0"/>
              <w:bottom w:val="single" w:color="auto" w:sz="4" w:space="0"/>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1.22</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3HNA024941-001</w:t>
            </w:r>
          </w:p>
        </w:tc>
        <w:tc>
          <w:tcPr>
            <w:tcW w:w="3234"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PAINT TEACH PENDANT</w:t>
            </w:r>
          </w:p>
        </w:tc>
        <w:tc>
          <w:tcPr>
            <w:tcW w:w="0" w:type="auto"/>
            <w:tcBorders>
              <w:top w:val="single" w:color="auto"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示教器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1.23</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3HAC16831-1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Battery pack</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电池包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1.24</w:t>
            </w:r>
          </w:p>
        </w:tc>
        <w:tc>
          <w:tcPr>
            <w:tcW w:w="2400"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3HNA09885-001</w:t>
            </w:r>
          </w:p>
        </w:tc>
        <w:tc>
          <w:tcPr>
            <w:tcW w:w="323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MO_EQ FILTER</w:t>
            </w:r>
          </w:p>
        </w:tc>
        <w:tc>
          <w:tcPr>
            <w:tcW w:w="0" w:type="auto"/>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滤波器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56" w:type="dxa"/>
            <w:tcBorders>
              <w:top w:val="single" w:color="000000" w:sz="4" w:space="0"/>
              <w:left w:val="single" w:color="auto" w:sz="4" w:space="0"/>
              <w:bottom w:val="single" w:color="auto"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1.25</w:t>
            </w:r>
          </w:p>
        </w:tc>
        <w:tc>
          <w:tcPr>
            <w:tcW w:w="2400"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sz w:val="22"/>
                <w:szCs w:val="22"/>
              </w:rPr>
              <w:t>/</w:t>
            </w:r>
          </w:p>
        </w:tc>
        <w:tc>
          <w:tcPr>
            <w:tcW w:w="3234" w:type="dxa"/>
            <w:tcBorders>
              <w:top w:val="single" w:color="000000"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IPS系统软件</w:t>
            </w:r>
          </w:p>
        </w:tc>
        <w:tc>
          <w:tcPr>
            <w:tcW w:w="1791"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b/>
                <w:sz w:val="22"/>
                <w:szCs w:val="22"/>
              </w:rPr>
              <w:t>V4.60以上</w:t>
            </w:r>
          </w:p>
        </w:tc>
      </w:tr>
    </w:tbl>
    <w:p>
      <w:pPr>
        <w:spacing w:beforeLines="0" w:afterLines="0" w:line="360" w:lineRule="auto"/>
        <w:rPr>
          <w:rFonts w:hint="default" w:ascii="宋体" w:hAnsi="宋体" w:eastAsia="宋体" w:cs="宋体"/>
          <w:sz w:val="24"/>
          <w:szCs w:val="24"/>
        </w:rPr>
      </w:pPr>
      <w:r>
        <w:rPr>
          <w:rFonts w:hint="eastAsia" w:ascii="宋体" w:hAnsi="宋体" w:eastAsia="宋体" w:cs="宋体"/>
          <w:sz w:val="24"/>
          <w:szCs w:val="24"/>
          <w:lang w:val="en-US" w:eastAsia="zh-CN"/>
        </w:rPr>
        <w:t>2、</w:t>
      </w:r>
      <w:r>
        <w:rPr>
          <w:rFonts w:hint="default" w:ascii="宋体" w:hAnsi="宋体" w:eastAsia="宋体" w:cs="宋体"/>
          <w:sz w:val="24"/>
          <w:szCs w:val="24"/>
        </w:rPr>
        <w:t>工艺控制柜硬件升级配置（4套）</w:t>
      </w:r>
    </w:p>
    <w:tbl>
      <w:tblPr>
        <w:tblStyle w:val="40"/>
        <w:tblW w:w="50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7"/>
        <w:gridCol w:w="2518"/>
        <w:gridCol w:w="1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b/>
                <w:color w:val="000000"/>
                <w:sz w:val="22"/>
                <w:szCs w:val="22"/>
              </w:rPr>
            </w:pPr>
            <w:r>
              <w:rPr>
                <w:rFonts w:hint="default" w:ascii="宋体" w:hAnsi="宋体" w:eastAsia="宋体" w:cs="宋体"/>
                <w:b/>
                <w:color w:val="000000"/>
                <w:sz w:val="22"/>
                <w:szCs w:val="22"/>
              </w:rPr>
              <w:t>序号</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b/>
                <w:color w:val="000000"/>
                <w:sz w:val="22"/>
                <w:szCs w:val="22"/>
              </w:rPr>
            </w:pPr>
            <w:r>
              <w:rPr>
                <w:rStyle w:val="137"/>
                <w:rFonts w:hint="default"/>
                <w:sz w:val="22"/>
                <w:szCs w:val="22"/>
                <w:lang w:bidi="ar"/>
              </w:rPr>
              <w:t>名    称</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spacing w:beforeLines="0" w:afterLines="0"/>
              <w:jc w:val="center"/>
              <w:rPr>
                <w:rFonts w:hint="default" w:ascii="宋体" w:hAnsi="宋体" w:eastAsia="宋体" w:cs="宋体"/>
                <w:color w:val="000000"/>
                <w:sz w:val="22"/>
                <w:szCs w:val="22"/>
              </w:rPr>
            </w:pPr>
            <w:r>
              <w:rPr>
                <w:rFonts w:hint="default" w:ascii="宋体" w:hAnsi="宋体" w:eastAsia="宋体" w:cs="宋体"/>
                <w:b/>
                <w:color w:val="000000"/>
                <w:kern w:val="0"/>
                <w:sz w:val="22"/>
                <w:szCs w:val="22"/>
                <w:lang w:bidi="ar"/>
              </w:rPr>
              <w:t>备件号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.1</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MCOB-03A板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3HNA025018-001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.2</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SMU-03板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3HNA013638-001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.3</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PIO板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3HNA025019-001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.4</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HVC-02C板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3HNA029043-001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.5</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ACK-02 BOARD板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3HNA029236-002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eastAsia" w:ascii="宋体" w:hAnsi="宋体" w:eastAsia="宋体" w:cs="宋体"/>
                <w:color w:val="000000"/>
                <w:kern w:val="0"/>
                <w:sz w:val="22"/>
                <w:szCs w:val="22"/>
                <w:lang w:val="en-US" w:eastAsia="zh-CN" w:bidi="ar"/>
              </w:rPr>
              <w:t>2</w:t>
            </w:r>
            <w:r>
              <w:rPr>
                <w:rFonts w:hint="default" w:ascii="宋体" w:hAnsi="宋体" w:eastAsia="宋体" w:cs="宋体"/>
                <w:color w:val="000000"/>
                <w:kern w:val="0"/>
                <w:sz w:val="22"/>
                <w:szCs w:val="22"/>
                <w:lang w:bidi="ar"/>
              </w:rPr>
              <w:t>.6</w:t>
            </w:r>
          </w:p>
        </w:tc>
        <w:tc>
          <w:tcPr>
            <w:tcW w:w="25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ACU-01B板</w:t>
            </w:r>
          </w:p>
        </w:tc>
        <w:tc>
          <w:tcPr>
            <w:tcW w:w="1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3HNA024871-001</w:t>
            </w:r>
          </w:p>
        </w:tc>
      </w:tr>
    </w:tbl>
    <w:p>
      <w:pPr>
        <w:spacing w:beforeLines="0" w:afterLines="0" w:line="360" w:lineRule="auto"/>
        <w:rPr>
          <w:rFonts w:hint="default" w:ascii="宋体" w:hAnsi="宋体" w:eastAsia="宋体" w:cs="宋体"/>
          <w:sz w:val="24"/>
          <w:szCs w:val="24"/>
        </w:rPr>
      </w:pPr>
    </w:p>
    <w:p>
      <w:pPr>
        <w:spacing w:beforeLines="0" w:afterLines="0" w:line="360" w:lineRule="auto"/>
        <w:rPr>
          <w:rFonts w:hint="default" w:ascii="宋体" w:hAnsi="宋体" w:eastAsia="宋体" w:cs="宋体"/>
          <w:sz w:val="24"/>
          <w:szCs w:val="24"/>
        </w:rPr>
      </w:pPr>
      <w:r>
        <w:rPr>
          <w:rFonts w:hint="eastAsia" w:ascii="宋体" w:hAnsi="宋体" w:eastAsia="宋体" w:cs="宋体"/>
          <w:sz w:val="24"/>
          <w:szCs w:val="24"/>
          <w:lang w:val="en-US" w:eastAsia="zh-CN"/>
        </w:rPr>
        <w:t>3、</w:t>
      </w:r>
      <w:r>
        <w:rPr>
          <w:rFonts w:hint="default" w:ascii="宋体" w:hAnsi="宋体" w:eastAsia="宋体" w:cs="宋体"/>
          <w:sz w:val="24"/>
          <w:szCs w:val="24"/>
        </w:rPr>
        <w:t>软件调整</w:t>
      </w:r>
    </w:p>
    <w:p>
      <w:pPr>
        <w:spacing w:beforeLines="0" w:afterLines="0"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根据升级后机器人控制系统版本，对原机器人的工艺文件、用户文件文件进行编译，达到原机器人的所有生产工艺功能并与周边设备匹配，满足升级前后作业车型一致（HOWO、T5、A7、黄河、MAX五大系列等15种）；根据升级后机器人控制系统版本，对上位机软件INTOUCH进行匹配，保证机器人、上位机、PLC之间通讯协议一致，通讯无干涉、无异常。</w:t>
      </w:r>
    </w:p>
    <w:tbl>
      <w:tblPr>
        <w:tblStyle w:val="40"/>
        <w:tblW w:w="77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901"/>
        <w:gridCol w:w="1938"/>
        <w:gridCol w:w="1938"/>
        <w:gridCol w:w="1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sz w:val="22"/>
                <w:szCs w:val="22"/>
              </w:rPr>
              <w:t>系列</w:t>
            </w: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sz w:val="22"/>
                <w:szCs w:val="22"/>
              </w:rPr>
              <w:t>车型</w:t>
            </w: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sz w:val="22"/>
                <w:szCs w:val="22"/>
              </w:rPr>
              <w:t>系列</w:t>
            </w:r>
          </w:p>
        </w:tc>
        <w:tc>
          <w:tcPr>
            <w:tcW w:w="19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sz w:val="22"/>
                <w:szCs w:val="22"/>
              </w:rPr>
              <w:t>车型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restart"/>
            <w:tcBorders>
              <w:top w:val="single" w:color="auto" w:sz="4" w:space="0"/>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豪沃系列</w:t>
            </w:r>
          </w:p>
        </w:tc>
        <w:tc>
          <w:tcPr>
            <w:tcW w:w="1938"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豪沃中长</w:t>
            </w:r>
          </w:p>
        </w:tc>
        <w:tc>
          <w:tcPr>
            <w:tcW w:w="1938" w:type="dxa"/>
            <w:vMerge w:val="restart"/>
            <w:tcBorders>
              <w:top w:val="single" w:color="auto" w:sz="4" w:space="0"/>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A7系列</w:t>
            </w:r>
          </w:p>
        </w:tc>
        <w:tc>
          <w:tcPr>
            <w:tcW w:w="19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低地板加长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continue"/>
            <w:tcBorders>
              <w:top w:val="nil"/>
              <w:left w:val="single" w:color="000000" w:sz="4" w:space="0"/>
              <w:bottom w:val="nil"/>
              <w:right w:val="single" w:color="000000" w:sz="4" w:space="0"/>
              <w:tl2br w:val="nil"/>
              <w:tr2bl w:val="nil"/>
            </w:tcBorders>
            <w:noWrap w:val="0"/>
            <w:vAlign w:val="center"/>
          </w:tcPr>
          <w:p>
            <w:pPr>
              <w:spacing w:beforeLines="0" w:afterLines="0"/>
              <w:jc w:val="center"/>
              <w:rPr>
                <w:rFonts w:hint="default" w:ascii="宋体" w:hAnsi="宋体" w:eastAsia="宋体" w:cs="宋体"/>
                <w:color w:val="000000"/>
                <w:sz w:val="22"/>
                <w:szCs w:val="22"/>
              </w:rPr>
            </w:pP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豪沃高顶</w:t>
            </w:r>
          </w:p>
        </w:tc>
        <w:tc>
          <w:tcPr>
            <w:tcW w:w="1938" w:type="dxa"/>
            <w:vMerge w:val="continue"/>
            <w:tcBorders>
              <w:top w:val="nil"/>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kern w:val="0"/>
                <w:sz w:val="22"/>
                <w:szCs w:val="22"/>
                <w:lang w:bidi="ar"/>
              </w:rPr>
            </w:pP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低地板高顶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continue"/>
            <w:tcBorders>
              <w:top w:val="nil"/>
              <w:left w:val="single" w:color="000000" w:sz="4" w:space="0"/>
              <w:bottom w:val="single" w:color="auto" w:sz="4" w:space="0"/>
              <w:right w:val="single" w:color="000000" w:sz="4" w:space="0"/>
              <w:tl2br w:val="nil"/>
              <w:tr2bl w:val="nil"/>
            </w:tcBorders>
            <w:noWrap w:val="0"/>
            <w:vAlign w:val="center"/>
          </w:tcPr>
          <w:p>
            <w:pPr>
              <w:spacing w:beforeLines="0" w:afterLines="0"/>
              <w:jc w:val="center"/>
              <w:rPr>
                <w:rFonts w:hint="default" w:ascii="宋体" w:hAnsi="宋体" w:eastAsia="宋体" w:cs="宋体"/>
                <w:color w:val="000000"/>
                <w:sz w:val="22"/>
                <w:szCs w:val="22"/>
              </w:rPr>
            </w:pP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豪沃短</w:t>
            </w:r>
          </w:p>
        </w:tc>
        <w:tc>
          <w:tcPr>
            <w:tcW w:w="1938" w:type="dxa"/>
            <w:vMerge w:val="continue"/>
            <w:tcBorders>
              <w:top w:val="nil"/>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kern w:val="0"/>
                <w:sz w:val="22"/>
                <w:szCs w:val="22"/>
                <w:lang w:bidi="ar"/>
              </w:rPr>
            </w:pP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高地板加长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restart"/>
            <w:tcBorders>
              <w:top w:val="single" w:color="auto" w:sz="4" w:space="0"/>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T5系列</w:t>
            </w:r>
          </w:p>
        </w:tc>
        <w:tc>
          <w:tcPr>
            <w:tcW w:w="1938"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T5中长</w:t>
            </w:r>
          </w:p>
        </w:tc>
        <w:tc>
          <w:tcPr>
            <w:tcW w:w="1938" w:type="dxa"/>
            <w:vMerge w:val="continue"/>
            <w:tcBorders>
              <w:top w:val="nil"/>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kern w:val="0"/>
                <w:sz w:val="22"/>
                <w:szCs w:val="22"/>
                <w:lang w:bidi="ar"/>
              </w:rPr>
            </w:pPr>
          </w:p>
        </w:tc>
        <w:tc>
          <w:tcPr>
            <w:tcW w:w="1938"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高地板高顶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continue"/>
            <w:tcBorders>
              <w:top w:val="nil"/>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p>
        </w:tc>
        <w:tc>
          <w:tcPr>
            <w:tcW w:w="19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T5高顶</w:t>
            </w:r>
          </w:p>
        </w:tc>
        <w:tc>
          <w:tcPr>
            <w:tcW w:w="1938" w:type="dxa"/>
            <w:vMerge w:val="continue"/>
            <w:tcBorders>
              <w:top w:val="nil"/>
              <w:left w:val="single" w:color="000000" w:sz="4" w:space="0"/>
              <w:bottom w:val="nil"/>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kern w:val="0"/>
                <w:sz w:val="22"/>
                <w:szCs w:val="22"/>
                <w:lang w:bidi="ar"/>
              </w:rPr>
            </w:pPr>
          </w:p>
        </w:tc>
        <w:tc>
          <w:tcPr>
            <w:tcW w:w="19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全鼓包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continue"/>
            <w:tcBorders>
              <w:top w:val="nil"/>
              <w:left w:val="single" w:color="000000" w:sz="4" w:space="0"/>
              <w:bottom w:val="nil"/>
              <w:right w:val="single" w:color="000000" w:sz="4" w:space="0"/>
              <w:tl2br w:val="nil"/>
              <w:tr2bl w:val="nil"/>
            </w:tcBorders>
            <w:noWrap w:val="0"/>
            <w:vAlign w:val="center"/>
          </w:tcPr>
          <w:p>
            <w:pPr>
              <w:spacing w:beforeLines="0" w:afterLines="0"/>
              <w:jc w:val="center"/>
              <w:rPr>
                <w:rFonts w:hint="default" w:ascii="宋体" w:hAnsi="宋体" w:eastAsia="宋体" w:cs="宋体"/>
                <w:color w:val="000000"/>
                <w:sz w:val="22"/>
                <w:szCs w:val="22"/>
              </w:rPr>
            </w:pP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T5短</w:t>
            </w:r>
          </w:p>
        </w:tc>
        <w:tc>
          <w:tcPr>
            <w:tcW w:w="1938" w:type="dxa"/>
            <w:vMerge w:val="continue"/>
            <w:tcBorders>
              <w:top w:val="nil"/>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kern w:val="0"/>
                <w:sz w:val="22"/>
                <w:szCs w:val="22"/>
                <w:lang w:bidi="ar"/>
              </w:rPr>
            </w:pPr>
          </w:p>
        </w:tc>
        <w:tc>
          <w:tcPr>
            <w:tcW w:w="1938"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半鼓包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1901" w:type="dxa"/>
            <w:vMerge w:val="continue"/>
            <w:tcBorders>
              <w:top w:val="nil"/>
              <w:left w:val="single" w:color="000000" w:sz="4" w:space="0"/>
              <w:bottom w:val="single" w:color="auto" w:sz="4" w:space="0"/>
              <w:right w:val="single" w:color="000000" w:sz="4" w:space="0"/>
              <w:tl2br w:val="nil"/>
              <w:tr2bl w:val="nil"/>
            </w:tcBorders>
            <w:noWrap w:val="0"/>
            <w:vAlign w:val="center"/>
          </w:tcPr>
          <w:p>
            <w:pPr>
              <w:spacing w:beforeLines="0" w:afterLines="0"/>
              <w:jc w:val="center"/>
              <w:rPr>
                <w:rFonts w:hint="default" w:ascii="宋体" w:hAnsi="宋体" w:eastAsia="宋体" w:cs="宋体"/>
                <w:color w:val="000000"/>
                <w:sz w:val="22"/>
                <w:szCs w:val="22"/>
              </w:rPr>
            </w:pP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T5超高顶</w:t>
            </w: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黄河系列</w:t>
            </w: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黄河驾驶室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0" w:hRule="atLeast"/>
          <w:jc w:val="center"/>
        </w:trPr>
        <w:tc>
          <w:tcPr>
            <w:tcW w:w="1901"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电车（MAX）系列</w:t>
            </w:r>
          </w:p>
        </w:tc>
        <w:tc>
          <w:tcPr>
            <w:tcW w:w="1938"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spacing w:beforeLines="0" w:afterLines="0"/>
              <w:jc w:val="center"/>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MAX驾驶室</w:t>
            </w:r>
          </w:p>
        </w:tc>
      </w:tr>
    </w:tbl>
    <w:p>
      <w:pPr>
        <w:numPr>
          <w:ilvl w:val="0"/>
          <w:numId w:val="0"/>
        </w:numPr>
        <w:spacing w:beforeLines="0" w:afterLines="0" w:line="360" w:lineRule="auto"/>
        <w:rPr>
          <w:rFonts w:hint="default" w:ascii="宋体" w:hAnsi="宋体" w:eastAsia="宋体" w:cs="宋体"/>
          <w:sz w:val="24"/>
          <w:szCs w:val="24"/>
        </w:rPr>
      </w:pPr>
    </w:p>
    <w:p>
      <w:pPr>
        <w:numPr>
          <w:ilvl w:val="0"/>
          <w:numId w:val="0"/>
        </w:numPr>
        <w:spacing w:beforeLines="0" w:afterLines="0" w:line="360" w:lineRule="auto"/>
        <w:rPr>
          <w:rFonts w:hint="default" w:ascii="宋体" w:hAnsi="宋体" w:eastAsia="宋体" w:cs="宋体"/>
          <w:color w:val="auto"/>
          <w:sz w:val="24"/>
          <w:szCs w:val="24"/>
          <w:lang w:bidi="ar"/>
        </w:rPr>
      </w:pPr>
      <w:r>
        <w:rPr>
          <w:rFonts w:hint="eastAsia" w:ascii="宋体" w:hAnsi="宋体" w:eastAsia="宋体" w:cs="宋体"/>
          <w:sz w:val="24"/>
          <w:szCs w:val="24"/>
          <w:lang w:val="en-US" w:eastAsia="zh-CN"/>
        </w:rPr>
        <w:t>4、</w:t>
      </w:r>
      <w:r>
        <w:rPr>
          <w:rFonts w:hint="default" w:ascii="宋体" w:hAnsi="宋体" w:eastAsia="宋体" w:cs="宋体"/>
          <w:sz w:val="24"/>
          <w:szCs w:val="24"/>
        </w:rPr>
        <w:t>以上承揽方提供</w:t>
      </w:r>
      <w:r>
        <w:rPr>
          <w:rStyle w:val="137"/>
          <w:rFonts w:hint="default"/>
          <w:b w:val="0"/>
          <w:sz w:val="24"/>
          <w:szCs w:val="24"/>
          <w:lang w:bidi="ar"/>
        </w:rPr>
        <w:t>机器人控制柜IRC5P（</w:t>
      </w:r>
      <w:r>
        <w:rPr>
          <w:rFonts w:hint="default" w:ascii="宋体" w:hAnsi="宋体" w:eastAsia="宋体" w:cs="宋体"/>
          <w:color w:val="000000"/>
          <w:kern w:val="0"/>
          <w:sz w:val="24"/>
          <w:szCs w:val="24"/>
          <w:lang w:bidi="ar"/>
        </w:rPr>
        <w:t>3HNA016800-001）</w:t>
      </w:r>
      <w:r>
        <w:rPr>
          <w:rFonts w:hint="default" w:ascii="宋体" w:hAnsi="宋体" w:eastAsia="宋体" w:cs="宋体"/>
          <w:sz w:val="24"/>
          <w:szCs w:val="24"/>
        </w:rPr>
        <w:t>需保证为ABB正品备件，并提供ABB证明</w:t>
      </w:r>
      <w:r>
        <w:rPr>
          <w:rFonts w:hint="default" w:ascii="宋体" w:hAnsi="宋体" w:eastAsia="宋体" w:cs="宋体"/>
          <w:color w:val="FF0000"/>
          <w:sz w:val="24"/>
          <w:szCs w:val="24"/>
        </w:rPr>
        <w:t>（采购合同复印件或本项目合同签订后的发货单等，需注明标的物的序列号）</w:t>
      </w:r>
      <w:r>
        <w:rPr>
          <w:rFonts w:hint="default"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4、其他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4.1投标方需要在招标方规定时间内完</w:t>
      </w:r>
      <w:r>
        <w:rPr>
          <w:rFonts w:hint="eastAsia" w:ascii="宋体" w:hAnsi="宋体" w:eastAsia="宋体" w:cs="宋体"/>
          <w:color w:val="auto"/>
          <w:sz w:val="24"/>
          <w:szCs w:val="24"/>
          <w:highlight w:val="none"/>
          <w:lang w:val="en-US" w:eastAsia="zh-CN"/>
        </w:rPr>
        <w:t>成涂装车间机器人控制系统升级。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4.2项目施工时间根据甲方生产安排分期实施。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4.3项目施工完成后，需提供不少于7天现场陪产，确保项目顺利投产。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4.4本项目需通过整线验证，如不能通过验证的产品，甲方有权退回。</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5、项目施工周期</w:t>
      </w:r>
    </w:p>
    <w:tbl>
      <w:tblPr>
        <w:tblStyle w:val="40"/>
        <w:tblW w:w="7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739"/>
        <w:gridCol w:w="4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2739" w:type="dxa"/>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任务名称</w:t>
            </w:r>
          </w:p>
        </w:tc>
        <w:tc>
          <w:tcPr>
            <w:tcW w:w="4042" w:type="dxa"/>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计划完成时间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739" w:type="dxa"/>
            <w:shd w:val="clear" w:color="auto" w:fill="auto"/>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合同签订</w:t>
            </w:r>
          </w:p>
        </w:tc>
        <w:tc>
          <w:tcPr>
            <w:tcW w:w="4042" w:type="dxa"/>
            <w:vAlign w:val="center"/>
          </w:tcPr>
          <w:p>
            <w:pPr>
              <w:spacing w:line="440" w:lineRule="exact"/>
              <w:ind w:firstLine="240" w:firstLineChars="10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739" w:type="dxa"/>
            <w:shd w:val="clear" w:color="auto" w:fill="auto"/>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到货/进场施工</w:t>
            </w:r>
          </w:p>
        </w:tc>
        <w:tc>
          <w:tcPr>
            <w:tcW w:w="4042" w:type="dxa"/>
            <w:vAlign w:val="center"/>
          </w:tcPr>
          <w:p>
            <w:pPr>
              <w:spacing w:line="440" w:lineRule="exact"/>
              <w:ind w:firstLine="240" w:firstLineChars="10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中标通知书下发后</w:t>
            </w:r>
            <w:r>
              <w:rPr>
                <w:rFonts w:hint="eastAsia" w:ascii="宋体" w:hAnsi="宋体" w:eastAsia="宋体" w:cs="宋体"/>
                <w:color w:val="FF0000"/>
                <w:sz w:val="24"/>
                <w:szCs w:val="24"/>
                <w:highlight w:val="none"/>
                <w:lang w:val="en-US" w:eastAsia="zh-CN"/>
              </w:rPr>
              <w:t>60</w:t>
            </w:r>
            <w:r>
              <w:rPr>
                <w:rFonts w:hint="eastAsia" w:ascii="宋体" w:hAnsi="宋体" w:eastAsia="宋体" w:cs="宋体"/>
                <w:sz w:val="24"/>
                <w:szCs w:val="24"/>
                <w:highlight w:val="none"/>
                <w:lang w:val="en-US" w:eastAsia="zh-CN"/>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739" w:type="dxa"/>
            <w:shd w:val="clear" w:color="auto" w:fill="auto"/>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安装调试/工程竣工</w:t>
            </w:r>
          </w:p>
        </w:tc>
        <w:tc>
          <w:tcPr>
            <w:tcW w:w="4042" w:type="dxa"/>
            <w:vAlign w:val="center"/>
          </w:tcPr>
          <w:p>
            <w:pPr>
              <w:spacing w:line="440" w:lineRule="exact"/>
              <w:ind w:firstLine="240" w:firstLineChars="10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到货后</w:t>
            </w:r>
            <w:r>
              <w:rPr>
                <w:rFonts w:hint="eastAsia" w:ascii="宋体" w:hAnsi="宋体" w:eastAsia="宋体" w:cs="宋体"/>
                <w:color w:val="FF0000"/>
                <w:sz w:val="24"/>
                <w:szCs w:val="24"/>
                <w:highlight w:val="none"/>
                <w:lang w:val="en-US" w:eastAsia="zh-CN"/>
              </w:rPr>
              <w:t>30</w:t>
            </w:r>
            <w:r>
              <w:rPr>
                <w:rFonts w:hint="eastAsia" w:ascii="宋体" w:hAnsi="宋体" w:eastAsia="宋体" w:cs="宋体"/>
                <w:sz w:val="24"/>
                <w:szCs w:val="24"/>
                <w:highlight w:val="none"/>
                <w:lang w:val="en-US" w:eastAsia="zh-CN"/>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739" w:type="dxa"/>
            <w:shd w:val="clear" w:color="auto" w:fill="auto"/>
            <w:vAlign w:val="center"/>
          </w:tcPr>
          <w:p>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试运行/投入使用</w:t>
            </w:r>
          </w:p>
        </w:tc>
        <w:tc>
          <w:tcPr>
            <w:tcW w:w="4042" w:type="dxa"/>
            <w:vAlign w:val="center"/>
          </w:tcPr>
          <w:p>
            <w:pPr>
              <w:spacing w:line="440" w:lineRule="exact"/>
              <w:ind w:firstLine="240" w:firstLineChars="10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试运行</w:t>
            </w:r>
            <w:r>
              <w:rPr>
                <w:rFonts w:hint="eastAsia" w:ascii="宋体" w:hAnsi="宋体" w:eastAsia="宋体" w:cs="宋体"/>
                <w:color w:val="FF0000"/>
                <w:sz w:val="24"/>
                <w:szCs w:val="24"/>
                <w:highlight w:val="none"/>
                <w:lang w:val="en-US" w:eastAsia="zh-CN"/>
              </w:rPr>
              <w:t>10</w:t>
            </w:r>
            <w:r>
              <w:rPr>
                <w:rFonts w:hint="eastAsia" w:ascii="宋体" w:hAnsi="宋体" w:eastAsia="宋体" w:cs="宋体"/>
                <w:sz w:val="24"/>
                <w:szCs w:val="24"/>
                <w:highlight w:val="none"/>
                <w:lang w:val="en-US" w:eastAsia="zh-CN"/>
              </w:rPr>
              <w:t>日</w:t>
            </w:r>
          </w:p>
        </w:tc>
      </w:tr>
    </w:tbl>
    <w:p>
      <w:pPr>
        <w:pStyle w:val="8"/>
        <w:numPr>
          <w:ilvl w:val="0"/>
          <w:numId w:val="0"/>
        </w:numPr>
        <w:rPr>
          <w:rFonts w:hint="eastAsia"/>
          <w:lang w:val="en-US" w:eastAsia="zh-CN"/>
        </w:rPr>
      </w:pP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安装调试</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设备的安装和调试要满足在本技术要求中所描述的各种要求，实现所要求的各种功能。</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根据设备的要求，调试可分空载和负载两个阶段进行；委托方将予以积极配合，协助投标方达到设备的各项技术要求和性能；</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安装调试与验收期间，若投标方提供设备的技术质量等，与投标方外购的设备技术质量等有较大或直接关联时，投标方应能得到其外购设备制造厂商（或供应商）的技术支持，并免费为委托方提供安装使用现场的指导与协调；</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6.4</w:t>
      </w:r>
      <w:r>
        <w:rPr>
          <w:rFonts w:hint="eastAsia" w:ascii="宋体" w:hAnsi="宋体" w:eastAsia="宋体" w:cs="宋体"/>
          <w:sz w:val="24"/>
          <w:szCs w:val="24"/>
          <w:highlight w:val="none"/>
        </w:rPr>
        <w:t>投标方免费负责设备的安装、调试，并接受用户的技术咨询，负责开车调试直到设备的终验收；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6.5</w:t>
      </w:r>
      <w:r>
        <w:rPr>
          <w:rFonts w:hint="eastAsia" w:ascii="宋体" w:hAnsi="宋体" w:eastAsia="宋体" w:cs="宋体"/>
          <w:sz w:val="24"/>
          <w:szCs w:val="24"/>
          <w:highlight w:val="none"/>
        </w:rPr>
        <w:t>投标方是否提供有偿的还是免费的、指导安装调试还是负责安装调试，至少应在投标文件的服务章节中，予以明确说明。</w:t>
      </w:r>
    </w:p>
    <w:p>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6.6</w:t>
      </w:r>
      <w:r>
        <w:rPr>
          <w:rFonts w:hint="eastAsia" w:ascii="宋体" w:hAnsi="宋体" w:eastAsia="宋体" w:cs="宋体"/>
          <w:sz w:val="24"/>
          <w:szCs w:val="24"/>
          <w:highlight w:val="none"/>
        </w:rPr>
        <w:t>投标方负责将设备运抵招标方安装现场，费用计入投标总价</w:t>
      </w:r>
      <w:r>
        <w:rPr>
          <w:rFonts w:hint="eastAsia" w:ascii="宋体" w:hAnsi="宋体" w:eastAsia="宋体" w:cs="宋体"/>
          <w:sz w:val="24"/>
          <w:szCs w:val="24"/>
          <w:highlight w:val="none"/>
          <w:lang w:eastAsia="zh-CN"/>
        </w:rPr>
        <w:t>。</w:t>
      </w:r>
    </w:p>
    <w:p>
      <w:pPr>
        <w:adjustRightInd w:val="0"/>
        <w:snapToGrid w:val="0"/>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6.7项目安装调试安全相关要求</w:t>
      </w:r>
    </w:p>
    <w:p>
      <w:pPr>
        <w:adjustRightInd w:val="0"/>
        <w:snapToGrid w:val="0"/>
        <w:spacing w:line="360" w:lineRule="auto"/>
        <w:ind w:firstLine="480" w:firstLineChars="200"/>
        <w:rPr>
          <w:rFonts w:hint="eastAsia"/>
          <w:lang w:val="en-US" w:eastAsia="zh-CN"/>
        </w:rPr>
      </w:pPr>
      <w:r>
        <w:rPr>
          <w:rFonts w:hint="eastAsia" w:ascii="宋体" w:hAnsi="宋体" w:eastAsia="宋体" w:cs="宋体"/>
          <w:sz w:val="24"/>
          <w:szCs w:val="24"/>
          <w:highlight w:val="none"/>
        </w:rPr>
        <w:t>动火</w:t>
      </w:r>
      <w:r>
        <w:rPr>
          <w:rFonts w:hint="eastAsia" w:ascii="宋体" w:hAnsi="宋体" w:eastAsia="宋体" w:cs="宋体"/>
          <w:sz w:val="24"/>
          <w:szCs w:val="24"/>
          <w:highlight w:val="none"/>
          <w:lang w:val="en-US" w:eastAsia="zh-CN"/>
        </w:rPr>
        <w:t>和登高</w:t>
      </w:r>
      <w:r>
        <w:rPr>
          <w:rFonts w:hint="eastAsia" w:ascii="宋体" w:hAnsi="宋体" w:eastAsia="宋体" w:cs="宋体"/>
          <w:sz w:val="24"/>
          <w:szCs w:val="24"/>
          <w:highlight w:val="none"/>
        </w:rPr>
        <w:t>作业</w:t>
      </w:r>
      <w:r>
        <w:rPr>
          <w:rFonts w:hint="eastAsia" w:ascii="宋体" w:hAnsi="宋体" w:eastAsia="宋体" w:cs="宋体"/>
          <w:sz w:val="24"/>
          <w:szCs w:val="24"/>
          <w:highlight w:val="none"/>
          <w:lang w:val="en-US" w:eastAsia="zh-CN"/>
        </w:rPr>
        <w:t>需注意</w:t>
      </w:r>
      <w:r>
        <w:rPr>
          <w:rFonts w:hint="eastAsia" w:ascii="宋体" w:hAnsi="宋体" w:eastAsia="宋体" w:cs="宋体"/>
          <w:sz w:val="24"/>
          <w:szCs w:val="24"/>
          <w:highlight w:val="none"/>
        </w:rPr>
        <w:t>危险源、风险点：火星引燃易燃物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高处掉落</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作业时需</w:t>
      </w:r>
      <w:r>
        <w:rPr>
          <w:rFonts w:hint="eastAsia" w:ascii="宋体" w:hAnsi="宋体" w:eastAsia="宋体" w:cs="宋体"/>
          <w:sz w:val="24"/>
          <w:szCs w:val="24"/>
          <w:highlight w:val="none"/>
        </w:rPr>
        <w:t>清理周边可燃物。动火作业在车间内部指定安全区域施工。动火作业人员持证上岗，配齐安全帽、灭火器等相应安全保护设施。</w:t>
      </w:r>
      <w:r>
        <w:rPr>
          <w:rFonts w:hint="eastAsia" w:ascii="宋体" w:hAnsi="宋体" w:eastAsia="宋体" w:cs="宋体"/>
          <w:sz w:val="24"/>
          <w:szCs w:val="24"/>
          <w:highlight w:val="none"/>
          <w:lang w:val="en-US" w:eastAsia="zh-CN"/>
        </w:rPr>
        <w:t>登高作业人员需持证上岗，</w:t>
      </w:r>
      <w:r>
        <w:rPr>
          <w:rFonts w:hint="eastAsia" w:ascii="宋体" w:hAnsi="宋体" w:eastAsia="宋体" w:cs="宋体"/>
          <w:sz w:val="24"/>
          <w:szCs w:val="24"/>
          <w:highlight w:val="none"/>
        </w:rPr>
        <w:t>配齐相应安全保护设施</w:t>
      </w:r>
      <w:r>
        <w:rPr>
          <w:rFonts w:hint="eastAsia" w:ascii="宋体" w:hAnsi="宋体" w:eastAsia="宋体" w:cs="宋体"/>
          <w:sz w:val="24"/>
          <w:szCs w:val="24"/>
          <w:highlight w:val="none"/>
          <w:lang w:val="en-US" w:eastAsia="zh-CN"/>
        </w:rPr>
        <w:t>。危险作业需要甲方审批后实施作业。</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技术资料</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1投标方须负责在预验收前，提供设备（或材料）各部分的功能描述文件</w:t>
      </w:r>
      <w:r>
        <w:rPr>
          <w:rFonts w:hint="eastAsia" w:ascii="宋体" w:hAnsi="宋体" w:eastAsia="宋体" w:cs="宋体"/>
          <w:sz w:val="24"/>
          <w:szCs w:val="24"/>
          <w:highlight w:val="none"/>
          <w:lang w:val="en-US" w:eastAsia="zh-CN"/>
        </w:rPr>
        <w:t>及说明书、软件安装包、程序备份</w:t>
      </w:r>
      <w:r>
        <w:rPr>
          <w:rFonts w:hint="eastAsia" w:ascii="宋体" w:hAnsi="宋体" w:eastAsia="宋体" w:cs="宋体"/>
          <w:sz w:val="24"/>
          <w:szCs w:val="24"/>
          <w:highlight w:val="none"/>
        </w:rPr>
        <w:t>；</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2投标方须负责在终验收前，提供包括设备（或材料）的操作维护手册，保养维修手册、操作和安全事项的使用说明书</w:t>
      </w:r>
      <w:r>
        <w:rPr>
          <w:rFonts w:hint="eastAsia" w:ascii="宋体" w:hAnsi="宋体" w:eastAsia="宋体" w:cs="宋体"/>
          <w:sz w:val="24"/>
          <w:szCs w:val="24"/>
          <w:highlight w:val="none"/>
          <w:lang w:val="en-US" w:eastAsia="zh-CN"/>
        </w:rPr>
        <w:t>、软件安装包、程序备份</w:t>
      </w:r>
      <w:r>
        <w:rPr>
          <w:rFonts w:hint="eastAsia" w:ascii="宋体" w:hAnsi="宋体" w:eastAsia="宋体" w:cs="宋体"/>
          <w:sz w:val="24"/>
          <w:szCs w:val="24"/>
          <w:highlight w:val="none"/>
        </w:rPr>
        <w:t>等有关的资料；</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3本“技术资料范围”所列的技术资料、图等，卖方应各提供纸质资料、电子资料（U盘）各</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套</w:t>
      </w:r>
      <w:r>
        <w:rPr>
          <w:rFonts w:hint="eastAsia" w:ascii="宋体" w:hAnsi="宋体" w:eastAsia="宋体" w:cs="宋体"/>
          <w:sz w:val="24"/>
          <w:szCs w:val="24"/>
          <w:highlight w:val="none"/>
          <w:lang w:val="en-US" w:eastAsia="zh-CN"/>
        </w:rPr>
        <w:t>/台</w:t>
      </w:r>
      <w:r>
        <w:rPr>
          <w:rFonts w:hint="eastAsia" w:ascii="宋体" w:hAnsi="宋体" w:eastAsia="宋体" w:cs="宋体"/>
          <w:sz w:val="24"/>
          <w:szCs w:val="24"/>
          <w:highlight w:val="none"/>
        </w:rPr>
        <w:t>，每份技术文件应装有目录清单；</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投标方须提供完整的所有设备和部件的中文技术资料，技术资料应包含以下内容：</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.1设备描述；</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.2使用说明书（含机械、电气部分）；</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.3产品合格证书；</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.4各种校准纪录和精度检验报告；</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.5装箱单；</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.6零部件和备件清单；</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.7消耗材料和易损件清单；</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.8机械图纸、电气电路图、接线图等；</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.9维修和保养手册；</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.10安装图纸（包括地基图和施工指南）；</w:t>
      </w:r>
    </w:p>
    <w:p>
      <w:pPr>
        <w:pStyle w:val="32"/>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8.11</w:t>
      </w:r>
      <w:r>
        <w:rPr>
          <w:rFonts w:hint="eastAsia" w:ascii="宋体" w:hAnsi="宋体" w:eastAsia="宋体" w:cs="宋体"/>
          <w:sz w:val="24"/>
          <w:szCs w:val="24"/>
          <w:highlight w:val="none"/>
        </w:rPr>
        <w:t>提供软件安装包备份文件。</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验收服务</w:t>
      </w:r>
    </w:p>
    <w:p>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1投标方在招标方现场进行的、指导或负责的、设备（或材料）的预验收和终验收，应当是免费的；</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2设备（或材料）验收时，若投标方提供设备（或材料）的技术质量等，与投标方外购的设备（或材料）技术质量等有较大或直接关联时，投标方应能得到其外购设备（或材料）制造厂商（或供应商）的技术支持，并免费提供其必要的现场指导与协调；</w:t>
      </w:r>
    </w:p>
    <w:p>
      <w:pPr>
        <w:pStyle w:val="32"/>
        <w:spacing w:line="440" w:lineRule="exact"/>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3在投标方所提供设备需要得到招标方建设项目所在地政府或行业主管部门的查验、试验、验收时，投标方应当免费协助招标方完成所需要的工作、材料和服务等。</w:t>
      </w:r>
    </w:p>
    <w:p>
      <w:pPr>
        <w:rPr>
          <w:rFonts w:hint="eastAsia"/>
        </w:rPr>
      </w:pPr>
    </w:p>
    <w:p>
      <w:pPr>
        <w:keepNext/>
        <w:keepLines/>
        <w:ind w:firstLine="3092" w:firstLineChars="1100"/>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第三章供货范围及供货方式</w:t>
      </w:r>
    </w:p>
    <w:p>
      <w:pPr>
        <w:rPr>
          <w:highlight w:val="none"/>
        </w:rPr>
      </w:pPr>
    </w:p>
    <w:p>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第一节供货范围</w:t>
      </w:r>
    </w:p>
    <w:p>
      <w:pPr>
        <w:spacing w:line="420" w:lineRule="exact"/>
        <w:ind w:firstLine="482" w:firstLineChars="200"/>
        <w:outlineLvl w:val="3"/>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一、供货范围（按照组成项目主要构成一览表的所有最小单元逐一列示，要涵盖培训等内容）</w:t>
      </w:r>
      <w:r>
        <w:rPr>
          <w:rFonts w:hint="eastAsia" w:ascii="宋体" w:hAnsi="宋体" w:eastAsia="宋体" w:cs="宋体"/>
          <w:b/>
          <w:bCs/>
          <w:sz w:val="24"/>
          <w:szCs w:val="24"/>
          <w:highlight w:val="none"/>
          <w:lang w:eastAsia="zh-CN"/>
        </w:rPr>
        <w:t>，</w:t>
      </w:r>
      <w:r>
        <w:rPr>
          <w:rFonts w:hint="eastAsia" w:ascii="宋体" w:hAnsi="宋体" w:eastAsia="宋体" w:cs="宋体"/>
          <w:b/>
          <w:bCs/>
          <w:color w:val="FF0000"/>
          <w:sz w:val="24"/>
          <w:szCs w:val="24"/>
          <w:highlight w:val="none"/>
          <w:lang w:val="en-US" w:eastAsia="zh-CN"/>
        </w:rPr>
        <w:t>包含但不限于以下配置明细：</w:t>
      </w:r>
    </w:p>
    <w:tbl>
      <w:tblPr>
        <w:tblStyle w:val="40"/>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0"/>
        <w:gridCol w:w="2248"/>
        <w:gridCol w:w="3029"/>
        <w:gridCol w:w="846"/>
        <w:gridCol w:w="1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770" w:type="dxa"/>
            <w:tcBorders>
              <w:top w:val="single" w:color="auto" w:sz="4" w:space="0"/>
              <w:left w:val="single" w:color="000000" w:sz="8"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18"/>
                <w:szCs w:val="18"/>
                <w:bdr w:val="single" w:color="000000" w:sz="8" w:space="0"/>
                <w:lang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8890</wp:posOffset>
                  </wp:positionV>
                  <wp:extent cx="1597660" cy="635"/>
                  <wp:effectExtent l="0" t="0" r="0" b="0"/>
                  <wp:wrapNone/>
                  <wp:docPr id="57" name="Picture_33"/>
                  <wp:cNvGraphicFramePr/>
                  <a:graphic xmlns:a="http://schemas.openxmlformats.org/drawingml/2006/main">
                    <a:graphicData uri="http://schemas.openxmlformats.org/drawingml/2006/picture">
                      <pic:pic xmlns:pic="http://schemas.openxmlformats.org/drawingml/2006/picture">
                        <pic:nvPicPr>
                          <pic:cNvPr id="57" name="Picture_33"/>
                          <pic:cNvPicPr/>
                        </pic:nvPicPr>
                        <pic:blipFill>
                          <a:blip r:embed="rId45"/>
                          <a:stretch>
                            <a:fillRect/>
                          </a:stretch>
                        </pic:blipFill>
                        <pic:spPr>
                          <a:xfrm>
                            <a:off x="0" y="0"/>
                            <a:ext cx="1597660" cy="635"/>
                          </a:xfrm>
                          <a:prstGeom prst="rect">
                            <a:avLst/>
                          </a:prstGeom>
                          <a:noFill/>
                          <a:ln>
                            <a:noFill/>
                          </a:ln>
                        </pic:spPr>
                      </pic:pic>
                    </a:graphicData>
                  </a:graphic>
                </wp:anchor>
              </w:drawing>
            </w:r>
            <w:r>
              <w:rPr>
                <w:rFonts w:hint="default" w:ascii="宋体" w:hAnsi="宋体" w:eastAsia="宋体" w:cs="宋体"/>
                <w:b/>
                <w:color w:val="000000"/>
                <w:kern w:val="0"/>
                <w:sz w:val="18"/>
                <w:szCs w:val="18"/>
                <w:lang w:bidi="ar"/>
              </w:rPr>
              <w:t>序号</w:t>
            </w:r>
          </w:p>
        </w:tc>
        <w:tc>
          <w:tcPr>
            <w:tcW w:w="2248"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备件号</w:t>
            </w:r>
          </w:p>
        </w:tc>
        <w:tc>
          <w:tcPr>
            <w:tcW w:w="3029"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Style w:val="137"/>
                <w:rFonts w:hint="default"/>
                <w:sz w:val="18"/>
                <w:szCs w:val="18"/>
                <w:lang w:bidi="ar"/>
              </w:rPr>
              <w:t>名称描述</w:t>
            </w:r>
            <w:r>
              <w:rPr>
                <w:rStyle w:val="138"/>
                <w:rFonts w:hint="eastAsia"/>
                <w:sz w:val="18"/>
                <w:szCs w:val="18"/>
                <w:lang w:bidi="ar"/>
              </w:rPr>
              <w:t>(</w:t>
            </w:r>
            <w:r>
              <w:rPr>
                <w:rStyle w:val="137"/>
                <w:rFonts w:hint="default"/>
                <w:sz w:val="18"/>
                <w:szCs w:val="18"/>
                <w:lang w:bidi="ar"/>
              </w:rPr>
              <w:t>英/中</w:t>
            </w:r>
            <w:r>
              <w:rPr>
                <w:rStyle w:val="138"/>
                <w:rFonts w:hint="eastAsia"/>
                <w:sz w:val="18"/>
                <w:szCs w:val="18"/>
                <w:lang w:bidi="ar"/>
              </w:rPr>
              <w:t>)</w:t>
            </w:r>
          </w:p>
        </w:tc>
        <w:tc>
          <w:tcPr>
            <w:tcW w:w="846"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eastAsia" w:ascii="宋体" w:hAnsi="宋体" w:eastAsia="宋体" w:cs="宋体"/>
                <w:b/>
                <w:color w:val="000000"/>
                <w:kern w:val="0"/>
                <w:sz w:val="20"/>
                <w:szCs w:val="20"/>
                <w:lang w:val="en-US" w:eastAsia="zh-CN" w:bidi="ar"/>
              </w:rPr>
            </w:pPr>
            <w:r>
              <w:rPr>
                <w:rFonts w:hint="eastAsia" w:ascii="宋体" w:hAnsi="宋体" w:eastAsia="宋体" w:cs="宋体"/>
                <w:b/>
                <w:color w:val="000000"/>
                <w:kern w:val="0"/>
                <w:sz w:val="20"/>
                <w:szCs w:val="20"/>
                <w:lang w:val="en-US" w:eastAsia="zh-CN" w:bidi="ar"/>
              </w:rPr>
              <w:t>数量</w:t>
            </w:r>
          </w:p>
        </w:tc>
        <w:tc>
          <w:tcPr>
            <w:tcW w:w="1629" w:type="dxa"/>
            <w:tcBorders>
              <w:top w:val="single" w:color="auto"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color w:val="000000"/>
                <w:sz w:val="20"/>
                <w:szCs w:val="20"/>
              </w:rPr>
            </w:pPr>
            <w:r>
              <w:rPr>
                <w:rFonts w:hint="default" w:ascii="宋体" w:hAnsi="宋体" w:eastAsia="宋体" w:cs="宋体"/>
                <w:b/>
                <w:color w:val="000000"/>
                <w:kern w:val="0"/>
                <w:sz w:val="20"/>
                <w:szCs w:val="20"/>
                <w:lang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jc w:val="center"/>
        </w:trPr>
        <w:tc>
          <w:tcPr>
            <w:tcW w:w="770" w:type="dxa"/>
            <w:tcBorders>
              <w:top w:val="single" w:color="auto" w:sz="4" w:space="0"/>
              <w:left w:val="single" w:color="000000" w:sz="8"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18"/>
                <w:szCs w:val="18"/>
                <w:bdr w:val="single" w:color="000000" w:sz="8" w:space="0"/>
                <w:lang w:bidi="ar"/>
              </w:rPr>
            </w:pPr>
            <w:r>
              <w:rPr>
                <w:rFonts w:hint="default" w:ascii="宋体" w:hAnsi="宋体" w:eastAsia="宋体" w:cs="宋体"/>
                <w:b/>
                <w:bCs/>
                <w:color w:val="000000"/>
                <w:kern w:val="0"/>
                <w:sz w:val="22"/>
                <w:szCs w:val="22"/>
                <w:lang w:bidi="ar"/>
              </w:rPr>
              <w:t>1</w:t>
            </w:r>
          </w:p>
        </w:tc>
        <w:tc>
          <w:tcPr>
            <w:tcW w:w="2248"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bidi="ar"/>
              </w:rPr>
            </w:pPr>
            <w:r>
              <w:rPr>
                <w:rFonts w:hint="default" w:ascii="宋体" w:hAnsi="宋体" w:eastAsia="宋体" w:cs="宋体"/>
                <w:b/>
                <w:bCs/>
                <w:color w:val="000000"/>
                <w:kern w:val="0"/>
                <w:sz w:val="20"/>
                <w:szCs w:val="20"/>
                <w:lang w:bidi="ar"/>
              </w:rPr>
              <w:t>3HNA016800-001</w:t>
            </w:r>
          </w:p>
        </w:tc>
        <w:tc>
          <w:tcPr>
            <w:tcW w:w="30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Style w:val="137"/>
                <w:rFonts w:hint="default"/>
                <w:b/>
                <w:bCs/>
                <w:sz w:val="18"/>
                <w:szCs w:val="18"/>
                <w:lang w:bidi="ar"/>
              </w:rPr>
            </w:pPr>
            <w:r>
              <w:rPr>
                <w:rStyle w:val="137"/>
                <w:rFonts w:hint="default"/>
                <w:b/>
                <w:bCs/>
                <w:sz w:val="18"/>
                <w:szCs w:val="18"/>
                <w:lang w:bidi="ar"/>
              </w:rPr>
              <w:t>机器人控制柜IRC5P</w:t>
            </w:r>
          </w:p>
        </w:tc>
        <w:tc>
          <w:tcPr>
            <w:tcW w:w="846"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7套</w:t>
            </w:r>
          </w:p>
        </w:tc>
        <w:tc>
          <w:tcPr>
            <w:tcW w:w="16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center"/>
              <w:textAlignment w:val="center"/>
              <w:rPr>
                <w:rFonts w:hint="default" w:ascii="宋体" w:hAnsi="宋体" w:eastAsia="宋体" w:cs="宋体"/>
                <w:b/>
                <w:bCs/>
                <w:color w:val="000000"/>
                <w:kern w:val="0"/>
                <w:sz w:val="20"/>
                <w:szCs w:val="20"/>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3HAC024144-001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Reactor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传感器单元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3HAC029157-001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DSQC668 Axis Computer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轴计算机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3HAC029818-001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DSQC663 HV MDU Power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高压单元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3HAC048858-001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DSQC1015 Safety Module</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安全模块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1.5</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3HAC058366-001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DSQC1024 Computer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计算机板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1.6</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3HAC061416-003</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Mass memory w.boot loader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eastAsia" w:ascii="宋体" w:hAnsi="宋体" w:eastAsia="宋体" w:cs="宋体"/>
                <w:color w:val="000000"/>
                <w:sz w:val="22"/>
                <w:szCs w:val="22"/>
                <w:lang w:val="en-US" w:eastAsia="zh-CN"/>
              </w:rPr>
            </w:pPr>
            <w:r>
              <w:rPr>
                <w:rFonts w:hint="default" w:ascii="宋体" w:hAnsi="宋体" w:eastAsia="宋体" w:cs="宋体"/>
                <w:color w:val="000000"/>
                <w:kern w:val="0"/>
                <w:sz w:val="22"/>
                <w:szCs w:val="22"/>
                <w:lang w:bidi="ar"/>
              </w:rPr>
              <w:t>内存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1.7</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3HAC046408-001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DSQC1003 Expansion Board</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扩展板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1.8</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3HNA019457-001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HPB-02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1.9</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3HNA023282-001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PIB-03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1.10</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3HNA030713-001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MIB-03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3HNA031165-001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SIB-02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3HNA031006-001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PDB-03</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3HAC025562-001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DSQC655 Capacitor Unit</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电容单元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3HNA013242-001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Power Relays I-Drives Pumps</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功率继电器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1.15</w:t>
            </w:r>
          </w:p>
        </w:tc>
        <w:tc>
          <w:tcPr>
            <w:tcW w:w="2248"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3HNA006149-001</w:t>
            </w:r>
          </w:p>
        </w:tc>
        <w:tc>
          <w:tcPr>
            <w:tcW w:w="30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TIB-01</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1.16</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3HNA009326-001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SERVO</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伺服风扇单元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1.17</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3HNA009327-001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FAN UNIT DOOR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风扇单元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1.18</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3HNA009409-001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CBM-01,TOP ASSEMBLY</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1.19</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3HNA025488-001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SCB-02</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1.20</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3HNA030000-001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CABLE UNIT IRC5P</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电缆单元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1.21</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3HNE06227-1</w:t>
            </w:r>
          </w:p>
        </w:tc>
        <w:tc>
          <w:tcPr>
            <w:tcW w:w="3029" w:type="dxa"/>
            <w:tcBorders>
              <w:top w:val="single" w:color="000000" w:sz="4" w:space="0"/>
              <w:left w:val="single" w:color="000000" w:sz="4" w:space="0"/>
              <w:bottom w:val="single" w:color="auto"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ALED-02</w:t>
            </w:r>
          </w:p>
        </w:tc>
        <w:tc>
          <w:tcPr>
            <w:tcW w:w="846" w:type="dxa"/>
            <w:tcBorders>
              <w:top w:val="single" w:color="000000" w:sz="4" w:space="0"/>
              <w:left w:val="single" w:color="000000" w:sz="4" w:space="0"/>
              <w:bottom w:val="single" w:color="auto" w:sz="4" w:space="0"/>
              <w:right w:val="single" w:color="000000" w:sz="4" w:space="0"/>
              <w:tl2br w:val="nil"/>
              <w:tr2bl w:val="nil"/>
            </w:tcBorders>
            <w:noWrap/>
            <w:vAlign w:val="bottom"/>
          </w:tcPr>
          <w:p>
            <w:pPr>
              <w:spacing w:beforeLines="0" w:afterLines="0"/>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w:t>
            </w:r>
          </w:p>
        </w:tc>
        <w:tc>
          <w:tcPr>
            <w:tcW w:w="1629" w:type="dxa"/>
            <w:tcBorders>
              <w:top w:val="single" w:color="000000" w:sz="4" w:space="0"/>
              <w:left w:val="single" w:color="000000" w:sz="4" w:space="0"/>
              <w:bottom w:val="single" w:color="auto" w:sz="4" w:space="0"/>
              <w:right w:val="single" w:color="000000" w:sz="4" w:space="0"/>
              <w:tl2br w:val="nil"/>
              <w:tr2bl w:val="nil"/>
            </w:tcBorders>
            <w:noWrap/>
            <w:vAlign w:val="bottom"/>
          </w:tcPr>
          <w:p>
            <w:pPr>
              <w:spacing w:beforeLines="0" w:afterLines="0"/>
              <w:jc w:val="left"/>
              <w:rPr>
                <w:rFonts w:hint="default" w:ascii="宋体" w:hAnsi="宋体" w:eastAsia="宋体" w:cs="宋体"/>
                <w:color w:val="000000"/>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3HNA024941-001</w:t>
            </w:r>
          </w:p>
        </w:tc>
        <w:tc>
          <w:tcPr>
            <w:tcW w:w="3029" w:type="dxa"/>
            <w:tcBorders>
              <w:top w:val="single" w:color="auto"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PAINT TEACH PENDANT</w:t>
            </w:r>
          </w:p>
        </w:tc>
        <w:tc>
          <w:tcPr>
            <w:tcW w:w="846" w:type="dxa"/>
            <w:tcBorders>
              <w:top w:val="single" w:color="auto"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auto"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示教器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1.23</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3HAC16831-1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Battery pack</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电池包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70"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1.24</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3HNA09885-001</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MO_EQ FILTER</w:t>
            </w:r>
          </w:p>
        </w:tc>
        <w:tc>
          <w:tcPr>
            <w:tcW w:w="846"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w:t>
            </w:r>
          </w:p>
        </w:tc>
        <w:tc>
          <w:tcPr>
            <w:tcW w:w="1629" w:type="dxa"/>
            <w:tcBorders>
              <w:top w:val="single" w:color="000000" w:sz="4" w:space="0"/>
              <w:left w:val="single" w:color="000000" w:sz="4" w:space="0"/>
              <w:bottom w:val="nil"/>
              <w:right w:val="single" w:color="000000" w:sz="4" w:space="0"/>
              <w:tl2br w:val="nil"/>
              <w:tr2bl w:val="nil"/>
            </w:tcBorders>
            <w:noWrap/>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滤波器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1.25</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color w:val="000000"/>
                <w:sz w:val="22"/>
                <w:szCs w:val="22"/>
              </w:rPr>
              <w:t>/</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color w:val="000000"/>
                <w:sz w:val="22"/>
                <w:szCs w:val="22"/>
              </w:rPr>
            </w:pPr>
            <w:r>
              <w:rPr>
                <w:rFonts w:hint="default" w:ascii="宋体" w:hAnsi="宋体" w:eastAsia="宋体" w:cs="宋体"/>
                <w:color w:val="000000"/>
                <w:kern w:val="0"/>
                <w:sz w:val="22"/>
                <w:szCs w:val="22"/>
                <w:lang w:bidi="ar"/>
              </w:rPr>
              <w:t>IPS系统软件</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eastAsia" w:ascii="宋体" w:hAnsi="宋体" w:eastAsia="宋体" w:cs="宋体"/>
                <w:b/>
                <w:sz w:val="22"/>
                <w:szCs w:val="22"/>
                <w:lang w:val="en-US" w:eastAsia="zh-CN"/>
              </w:rPr>
            </w:pPr>
            <w:r>
              <w:rPr>
                <w:rFonts w:hint="eastAsia" w:ascii="宋体" w:hAnsi="宋体" w:eastAsia="宋体" w:cs="宋体"/>
                <w:b/>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color w:val="000000"/>
                <w:sz w:val="22"/>
                <w:szCs w:val="22"/>
              </w:rPr>
            </w:pPr>
            <w:r>
              <w:rPr>
                <w:rFonts w:hint="default" w:ascii="宋体" w:hAnsi="宋体" w:eastAsia="宋体" w:cs="宋体"/>
                <w:b/>
                <w:sz w:val="22"/>
                <w:szCs w:val="22"/>
              </w:rPr>
              <w:t>V4.60以上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2</w:t>
            </w:r>
          </w:p>
        </w:tc>
        <w:tc>
          <w:tcPr>
            <w:tcW w:w="2248"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eastAsia" w:ascii="宋体" w:hAnsi="宋体" w:eastAsia="宋体" w:cs="宋体"/>
                <w:b/>
                <w:bCs/>
                <w:color w:val="000000"/>
                <w:sz w:val="22"/>
                <w:szCs w:val="22"/>
                <w:lang w:val="en-US" w:eastAsia="zh-CN"/>
              </w:rPr>
            </w:pPr>
            <w:r>
              <w:rPr>
                <w:rFonts w:hint="eastAsia" w:ascii="宋体" w:hAnsi="宋体" w:eastAsia="宋体" w:cs="宋体"/>
                <w:b/>
                <w:bCs/>
                <w:color w:val="000000"/>
                <w:sz w:val="22"/>
                <w:szCs w:val="22"/>
                <w:lang w:val="en-US" w:eastAsia="zh-CN"/>
              </w:rPr>
              <w:t>/</w:t>
            </w:r>
          </w:p>
        </w:tc>
        <w:tc>
          <w:tcPr>
            <w:tcW w:w="3029"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jc w:val="left"/>
              <w:textAlignment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工艺控制柜</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4套</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bCs/>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2.1</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MCOB-03A板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3HNA025018-001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2.2</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SMU-03板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3HNA013638-001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2.3</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PIO板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3HNA025019-001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2.4</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HVC-02C板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3HNA029043-001</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000000"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2.5</w:t>
            </w:r>
          </w:p>
        </w:tc>
        <w:tc>
          <w:tcPr>
            <w:tcW w:w="2248"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ACK-02 BOARD板</w:t>
            </w:r>
          </w:p>
        </w:tc>
        <w:tc>
          <w:tcPr>
            <w:tcW w:w="302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3HNA029236-002</w:t>
            </w:r>
          </w:p>
        </w:tc>
        <w:tc>
          <w:tcPr>
            <w:tcW w:w="846"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000000"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70" w:type="dxa"/>
            <w:tcBorders>
              <w:top w:val="single" w:color="000000" w:sz="4" w:space="0"/>
              <w:left w:val="single" w:color="auto" w:sz="4" w:space="0"/>
              <w:bottom w:val="single" w:color="auto" w:sz="4" w:space="0"/>
              <w:right w:val="single" w:color="000000" w:sz="4" w:space="0"/>
              <w:tl2br w:val="nil"/>
              <w:tr2bl w:val="nil"/>
            </w:tcBorders>
            <w:noWrap/>
            <w:vAlign w:val="bottom"/>
          </w:tcPr>
          <w:p>
            <w:pPr>
              <w:widowControl/>
              <w:spacing w:beforeLines="0" w:afterLines="0"/>
              <w:jc w:val="center"/>
              <w:textAlignment w:val="bottom"/>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2.6</w:t>
            </w:r>
          </w:p>
        </w:tc>
        <w:tc>
          <w:tcPr>
            <w:tcW w:w="2248" w:type="dxa"/>
            <w:tcBorders>
              <w:top w:val="single" w:color="000000" w:sz="4" w:space="0"/>
              <w:left w:val="single" w:color="000000" w:sz="4" w:space="0"/>
              <w:bottom w:val="single" w:color="auto" w:sz="4" w:space="0"/>
              <w:right w:val="single" w:color="000000" w:sz="4" w:space="0"/>
              <w:tl2br w:val="nil"/>
              <w:tr2bl w:val="nil"/>
            </w:tcBorders>
            <w:shd w:val="clear" w:color="auto" w:fill="auto"/>
            <w:noWrap w:val="0"/>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ACU-01B板</w:t>
            </w:r>
          </w:p>
        </w:tc>
        <w:tc>
          <w:tcPr>
            <w:tcW w:w="3029" w:type="dxa"/>
            <w:tcBorders>
              <w:top w:val="single" w:color="000000" w:sz="4" w:space="0"/>
              <w:left w:val="single" w:color="000000" w:sz="4" w:space="0"/>
              <w:bottom w:val="single" w:color="auto" w:sz="4" w:space="0"/>
              <w:right w:val="single" w:color="000000" w:sz="4" w:space="0"/>
              <w:tl2br w:val="nil"/>
              <w:tr2bl w:val="nil"/>
            </w:tcBorders>
            <w:shd w:val="clear" w:color="auto" w:fill="auto"/>
            <w:noWrap/>
            <w:vAlign w:val="center"/>
          </w:tcPr>
          <w:p>
            <w:pPr>
              <w:widowControl/>
              <w:spacing w:beforeLines="0" w:afterLines="0"/>
              <w:jc w:val="left"/>
              <w:textAlignment w:val="center"/>
              <w:rPr>
                <w:rFonts w:hint="default" w:ascii="宋体" w:hAnsi="宋体" w:eastAsia="宋体" w:cs="宋体"/>
                <w:color w:val="000000"/>
                <w:kern w:val="2"/>
                <w:sz w:val="22"/>
                <w:szCs w:val="22"/>
                <w:lang w:val="en-US" w:eastAsia="zh-CN" w:bidi="ar-SA"/>
              </w:rPr>
            </w:pPr>
            <w:r>
              <w:rPr>
                <w:rFonts w:hint="default" w:ascii="宋体" w:hAnsi="宋体" w:eastAsia="宋体" w:cs="宋体"/>
                <w:color w:val="000000"/>
                <w:kern w:val="0"/>
                <w:sz w:val="22"/>
                <w:szCs w:val="22"/>
                <w:lang w:bidi="ar"/>
              </w:rPr>
              <w:t>3HNA024871-001</w:t>
            </w:r>
          </w:p>
        </w:tc>
        <w:tc>
          <w:tcPr>
            <w:tcW w:w="846"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center"/>
              <w:textAlignment w:val="bottom"/>
              <w:rPr>
                <w:rFonts w:hint="default"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w:t>
            </w:r>
          </w:p>
        </w:tc>
        <w:tc>
          <w:tcPr>
            <w:tcW w:w="1629" w:type="dxa"/>
            <w:tcBorders>
              <w:top w:val="single" w:color="000000" w:sz="4" w:space="0"/>
              <w:left w:val="single" w:color="000000" w:sz="4" w:space="0"/>
              <w:bottom w:val="single" w:color="auto" w:sz="4" w:space="0"/>
              <w:right w:val="single" w:color="000000" w:sz="4" w:space="0"/>
              <w:tl2br w:val="nil"/>
              <w:tr2bl w:val="nil"/>
            </w:tcBorders>
            <w:noWrap w:val="0"/>
            <w:vAlign w:val="bottom"/>
          </w:tcPr>
          <w:p>
            <w:pPr>
              <w:widowControl/>
              <w:spacing w:beforeLines="0" w:afterLines="0"/>
              <w:jc w:val="left"/>
              <w:textAlignment w:val="bottom"/>
              <w:rPr>
                <w:rFonts w:hint="default" w:ascii="宋体" w:hAnsi="宋体" w:eastAsia="宋体" w:cs="宋体"/>
                <w:b/>
                <w:sz w:val="22"/>
                <w:szCs w:val="22"/>
              </w:rPr>
            </w:pPr>
          </w:p>
        </w:tc>
      </w:tr>
    </w:tbl>
    <w:p>
      <w:pPr>
        <w:rPr>
          <w:highlight w:val="none"/>
        </w:rPr>
      </w:pPr>
    </w:p>
    <w:p>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（一）一般界定</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（二）供货范围边界界定</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1、买方提供货物所需的建筑物（如厂房等）和构筑物（如混凝土池、砼基础等），包含正常安装施工所需的预埋件（如穿管、预埋螺栓、螺母及垫片）。</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4、以“交钥匙”方式采购的货物，在满足技术标书本节上述要求之外，同时包括货物正常运行、使用所需要的过桥、护栏、防护网、盖板等辅助设施。</w:t>
      </w:r>
    </w:p>
    <w:p>
      <w:pPr>
        <w:keepNext/>
        <w:keepLines/>
        <w:jc w:val="center"/>
        <w:outlineLvl w:val="1"/>
        <w:rPr>
          <w:rFonts w:ascii="Times New Roman" w:hAnsi="Times New Roman" w:eastAsia="黑体"/>
          <w:bCs/>
          <w:sz w:val="28"/>
          <w:szCs w:val="30"/>
          <w:highlight w:val="none"/>
        </w:rPr>
      </w:pPr>
    </w:p>
    <w:p>
      <w:pPr>
        <w:keepNext/>
        <w:keepLines/>
        <w:jc w:val="center"/>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第二节供货方式</w:t>
      </w:r>
    </w:p>
    <w:p>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一、供货方式</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黑体" w:cs="Times New Roman"/>
          <w:color w:val="000000"/>
          <w:sz w:val="24"/>
          <w:szCs w:val="20"/>
          <w:highlight w:val="none"/>
        </w:rPr>
        <w:t>二、供货地点：</w:t>
      </w:r>
      <w:r>
        <w:rPr>
          <w:rFonts w:hint="eastAsia" w:ascii="宋体" w:hAnsi="宋体" w:eastAsia="宋体" w:cs="宋体"/>
          <w:color w:val="000000"/>
          <w:sz w:val="24"/>
          <w:szCs w:val="24"/>
          <w:highlight w:val="none"/>
          <w:u w:val="single"/>
          <w:lang w:val="en-US" w:eastAsia="zh-CN"/>
        </w:rPr>
        <w:t>党家庄</w:t>
      </w:r>
      <w:r>
        <w:rPr>
          <w:rFonts w:hint="eastAsia" w:ascii="宋体" w:hAnsi="宋体" w:eastAsia="宋体" w:cs="宋体"/>
          <w:color w:val="000000"/>
          <w:sz w:val="24"/>
          <w:szCs w:val="24"/>
          <w:highlight w:val="none"/>
          <w:u w:val="single"/>
        </w:rPr>
        <w:t>工厂</w:t>
      </w:r>
      <w:r>
        <w:rPr>
          <w:rFonts w:hint="eastAsia" w:ascii="宋体" w:hAnsi="宋体" w:eastAsia="宋体" w:cs="宋体"/>
          <w:color w:val="000000"/>
          <w:sz w:val="24"/>
          <w:szCs w:val="24"/>
          <w:highlight w:val="none"/>
          <w:u w:val="single"/>
          <w:lang w:val="en-US" w:eastAsia="zh-CN"/>
        </w:rPr>
        <w:t>车身二部涂装</w:t>
      </w:r>
      <w:r>
        <w:rPr>
          <w:rFonts w:hint="eastAsia" w:ascii="宋体" w:hAnsi="宋体" w:eastAsia="宋体" w:cs="宋体"/>
          <w:color w:val="000000"/>
          <w:sz w:val="24"/>
          <w:szCs w:val="24"/>
          <w:highlight w:val="none"/>
          <w:u w:val="single"/>
        </w:rPr>
        <w:t>车间</w:t>
      </w:r>
      <w:r>
        <w:rPr>
          <w:rFonts w:ascii="Times New Roman" w:hAnsi="Times New Roman" w:eastAsia="宋体" w:cs="Times New Roman"/>
          <w:color w:val="000000"/>
          <w:sz w:val="24"/>
          <w:szCs w:val="20"/>
          <w:highlight w:val="none"/>
        </w:rPr>
        <w:t>。</w:t>
      </w:r>
    </w:p>
    <w:p>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三、供货时间</w:t>
      </w:r>
    </w:p>
    <w:p>
      <w:pPr>
        <w:pStyle w:val="19"/>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FF0000"/>
          <w:sz w:val="24"/>
          <w:szCs w:val="24"/>
          <w:highlight w:val="none"/>
          <w:lang w:val="en-US" w:eastAsia="zh-CN"/>
        </w:rPr>
        <w:t>3个月</w:t>
      </w:r>
      <w:r>
        <w:rPr>
          <w:rFonts w:hint="eastAsia" w:hAnsi="宋体" w:eastAsia="宋体" w:cs="宋体"/>
          <w:color w:val="000000"/>
          <w:sz w:val="24"/>
          <w:szCs w:val="24"/>
          <w:highlight w:val="none"/>
          <w:lang w:val="en-US" w:eastAsia="zh-CN"/>
        </w:rPr>
        <w:t>内</w:t>
      </w:r>
      <w:r>
        <w:rPr>
          <w:rFonts w:hint="eastAsia" w:hAnsi="宋体" w:eastAsia="宋体" w:cs="宋体"/>
          <w:color w:val="000000"/>
          <w:sz w:val="24"/>
          <w:szCs w:val="24"/>
          <w:highlight w:val="none"/>
        </w:rPr>
        <w:t>完成现场安装调试及培训服务。</w:t>
      </w:r>
    </w:p>
    <w:p>
      <w:pPr>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ascii="宋体" w:hAnsi="宋体" w:eastAsia="宋体" w:cs="宋体"/>
          <w:color w:val="000000"/>
          <w:sz w:val="24"/>
          <w:szCs w:val="24"/>
          <w:highlight w:val="none"/>
        </w:rPr>
        <w:t>投标人应当随标书提供详细的安装调试工期计划。</w:t>
      </w:r>
    </w:p>
    <w:p>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4、应对包装件做必要的加固和固定，以防止运输可能造成的损坏。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8、包装箱应连续编号，不应出现重复编号。</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9、在不受到外界破坏情况下，包装应保证自交货日起一年内货物（或设备）完好无损。</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五、运输</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1、应负责将货物（或设备）运到目的地，并必须做到货物（或设备）在任何运输过程中不受损坏和遗失。</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2、同批货物（或设备）应统一包装、编号运输。</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5、货物（或设备）运抵交货地点后，应负责货物（或设备）的卸货、搬运、保管等事宜；或按照合同约定。</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四</w:t>
      </w:r>
      <w:r>
        <w:rPr>
          <w:rFonts w:ascii="宋体" w:hAnsi="宋体" w:eastAsia="宋体"/>
          <w:b/>
          <w:color w:val="000000"/>
          <w:kern w:val="44"/>
          <w:sz w:val="30"/>
          <w:szCs w:val="24"/>
          <w:highlight w:val="none"/>
        </w:rPr>
        <w:t>章质保期及售后服务</w:t>
      </w:r>
    </w:p>
    <w:p>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一、质保期及质保要求</w:t>
      </w:r>
    </w:p>
    <w:p>
      <w:pPr>
        <w:spacing w:line="420" w:lineRule="exact"/>
        <w:ind w:firstLine="482" w:firstLineChars="200"/>
        <w:jc w:val="left"/>
        <w:rPr>
          <w:rFonts w:ascii="Times New Roman" w:hAnsi="Times New Roman" w:eastAsia="宋体" w:cs="Times New Roman"/>
          <w:b/>
          <w:bCs/>
          <w:color w:val="000000"/>
          <w:sz w:val="24"/>
          <w:szCs w:val="20"/>
          <w:highlight w:val="none"/>
        </w:rPr>
      </w:pPr>
      <w:r>
        <w:rPr>
          <w:rFonts w:ascii="Times New Roman" w:hAnsi="Times New Roman" w:eastAsia="宋体" w:cs="Times New Roman"/>
          <w:b/>
          <w:bCs/>
          <w:color w:val="000000"/>
          <w:sz w:val="24"/>
          <w:szCs w:val="20"/>
          <w:highlight w:val="none"/>
        </w:rPr>
        <w:t>1、全部供货范围内的设备、材料、零配件和</w:t>
      </w:r>
      <w:r>
        <w:rPr>
          <w:rFonts w:hint="eastAsia" w:ascii="Times New Roman" w:hAnsi="Times New Roman" w:eastAsia="宋体" w:cs="Times New Roman"/>
          <w:b/>
          <w:bCs/>
          <w:color w:val="000000"/>
          <w:sz w:val="24"/>
          <w:szCs w:val="20"/>
          <w:highlight w:val="none"/>
          <w:lang w:val="en-US" w:eastAsia="zh-CN"/>
        </w:rPr>
        <w:t>设备</w:t>
      </w:r>
      <w:r>
        <w:rPr>
          <w:rFonts w:ascii="Times New Roman" w:hAnsi="Times New Roman" w:eastAsia="宋体" w:cs="Times New Roman"/>
          <w:b/>
          <w:bCs/>
          <w:color w:val="000000"/>
          <w:sz w:val="24"/>
          <w:szCs w:val="20"/>
          <w:highlight w:val="none"/>
        </w:rPr>
        <w:t>等，除合同特别约定外，其质保期均自终验收签字生效之日起</w:t>
      </w:r>
      <w:r>
        <w:rPr>
          <w:rFonts w:ascii="Times New Roman" w:hAnsi="Times New Roman" w:eastAsia="宋体" w:cs="Times New Roman"/>
          <w:b/>
          <w:bCs/>
          <w:color w:val="000000"/>
          <w:sz w:val="24"/>
          <w:szCs w:val="20"/>
          <w:highlight w:val="none"/>
          <w:u w:val="single"/>
        </w:rPr>
        <w:t>12</w:t>
      </w:r>
      <w:r>
        <w:rPr>
          <w:rFonts w:ascii="Times New Roman" w:hAnsi="Times New Roman" w:eastAsia="宋体" w:cs="Times New Roman"/>
          <w:b/>
          <w:bCs/>
          <w:color w:val="000000"/>
          <w:sz w:val="24"/>
          <w:szCs w:val="20"/>
          <w:highlight w:val="none"/>
        </w:rPr>
        <w:t>个月。</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投标货物或涉及的关键总成和零件，如果有更长时间质保期，允许更改并说明，此将有利于投标方。</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设计使用寿命短于质保期的易损件除外，但属于易损件的，应当有明确说明。</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2</w:t>
      </w:r>
      <w:r>
        <w:rPr>
          <w:rFonts w:ascii="Times New Roman" w:hAnsi="Times New Roman" w:eastAsia="宋体" w:cs="Times New Roman"/>
          <w:color w:val="000000"/>
          <w:sz w:val="24"/>
          <w:szCs w:val="20"/>
          <w:highlight w:val="none"/>
        </w:rPr>
        <w:t>、质保期内免费提供零部件和及时有效的服务。质保期内因货物本身缺陷造成的各种故障，卖方应负责免费维修和服务。</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3、</w:t>
      </w:r>
      <w:r>
        <w:rPr>
          <w:rFonts w:hint="default" w:ascii="Times New Roman" w:hAnsi="Times New Roman" w:eastAsia="宋体" w:cs="Times New Roman"/>
          <w:color w:val="000000"/>
          <w:sz w:val="24"/>
          <w:szCs w:val="20"/>
          <w:highlight w:val="none"/>
        </w:rPr>
        <w:t>保修期结束后，投标方必须向中国重汽集团济南卡车股份有限公司提供设备终身有偿服务。保修期从设备终验收之日开始算起。</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二、技术及培训服务</w:t>
      </w:r>
    </w:p>
    <w:p>
      <w:pPr>
        <w:adjustRightInd w:val="0"/>
        <w:snapToGrid w:val="0"/>
        <w:spacing w:line="420" w:lineRule="exact"/>
        <w:ind w:firstLine="480" w:firstLineChars="200"/>
        <w:rPr>
          <w:rFonts w:hint="eastAsia" w:ascii="Times New Roman" w:hAnsi="Times New Roman" w:eastAsia="宋体" w:cs="Times New Roman"/>
          <w:color w:val="auto"/>
          <w:sz w:val="24"/>
          <w:szCs w:val="20"/>
          <w:highlight w:val="none"/>
          <w:lang w:eastAsia="zh-CN"/>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、应负责在买方货物使用现场，对技术、维修和操作人员提供免费的理论、技术和操作、维修等方面的技术指导和培训，并接受买方有关人员的技术咨询</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FF0000"/>
          <w:sz w:val="24"/>
          <w:szCs w:val="20"/>
          <w:highlight w:val="none"/>
          <w:lang w:val="en-US" w:eastAsia="zh-CN"/>
        </w:rPr>
        <w:t>2</w:t>
      </w:r>
      <w:r>
        <w:rPr>
          <w:rFonts w:hint="eastAsia" w:ascii="Times New Roman" w:hAnsi="Times New Roman" w:eastAsia="宋体" w:cs="Times New Roman"/>
          <w:color w:val="auto"/>
          <w:sz w:val="24"/>
          <w:szCs w:val="20"/>
          <w:highlight w:val="none"/>
        </w:rPr>
        <w:t>个工作日</w:t>
      </w:r>
      <w:r>
        <w:rPr>
          <w:rFonts w:hint="eastAsia" w:ascii="Times New Roman" w:hAnsi="Times New Roman" w:eastAsia="宋体" w:cs="Times New Roman"/>
          <w:color w:val="auto"/>
          <w:sz w:val="24"/>
          <w:szCs w:val="20"/>
          <w:highlight w:val="none"/>
          <w:lang w:eastAsia="zh-CN"/>
        </w:rPr>
        <w:t>；</w:t>
      </w:r>
    </w:p>
    <w:p>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lang w:eastAsia="zh-CN"/>
        </w:rPr>
      </w:pPr>
      <w:r>
        <w:rPr>
          <w:rFonts w:hint="eastAsia" w:ascii="Times New Roman" w:hAnsi="Times New Roman" w:eastAsia="宋体" w:cs="Times New Roman"/>
          <w:color w:val="000000"/>
          <w:sz w:val="24"/>
          <w:szCs w:val="20"/>
          <w:highlight w:val="none"/>
        </w:rPr>
        <w:t>应用培训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设备实际操作、维护等专业岗位操作技能等</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FF0000"/>
          <w:sz w:val="24"/>
          <w:szCs w:val="20"/>
          <w:highlight w:val="none"/>
          <w:lang w:val="en-US" w:eastAsia="zh-CN"/>
        </w:rPr>
        <w:t>2</w:t>
      </w:r>
      <w:r>
        <w:rPr>
          <w:rFonts w:hint="eastAsia" w:ascii="Times New Roman" w:hAnsi="Times New Roman" w:eastAsia="宋体" w:cs="Times New Roman"/>
          <w:color w:val="000000"/>
          <w:sz w:val="24"/>
          <w:szCs w:val="20"/>
          <w:highlight w:val="none"/>
        </w:rPr>
        <w:t>个工作日</w:t>
      </w:r>
      <w:r>
        <w:rPr>
          <w:rFonts w:hint="eastAsia" w:ascii="Times New Roman" w:hAnsi="Times New Roman" w:eastAsia="宋体" w:cs="Times New Roman"/>
          <w:color w:val="000000"/>
          <w:sz w:val="24"/>
          <w:szCs w:val="20"/>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2、应免费提供一定数量的培训资料。</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三、安装调试及验收服务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6、服务缺陷视同货物缺陷和履约延期。</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四、售后服务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2、如发现所提供的货物存在问题，需要卖方解决或配合解决时：在质保期之内，应在接到通知后</w:t>
      </w:r>
      <w:r>
        <w:rPr>
          <w:rFonts w:ascii="Times New Roman" w:hAnsi="Times New Roman" w:eastAsia="宋体" w:cs="Times New Roman"/>
          <w:color w:val="000000"/>
          <w:sz w:val="24"/>
          <w:szCs w:val="20"/>
          <w:highlight w:val="none"/>
          <w:u w:val="single"/>
          <w:shd w:val="pct10" w:color="auto" w:fill="FFFFFF"/>
        </w:rPr>
        <w:t>24</w:t>
      </w:r>
      <w:r>
        <w:rPr>
          <w:rFonts w:ascii="Times New Roman" w:hAnsi="Times New Roman" w:eastAsia="宋体" w:cs="Times New Roman"/>
          <w:color w:val="000000"/>
          <w:sz w:val="24"/>
          <w:szCs w:val="20"/>
          <w:highlight w:val="none"/>
        </w:rPr>
        <w:t>小时内派有关人员到达现场；在质保期之外，应在接到通知后</w:t>
      </w:r>
      <w:r>
        <w:rPr>
          <w:rFonts w:ascii="Times New Roman" w:hAnsi="Times New Roman" w:eastAsia="宋体" w:cs="Times New Roman"/>
          <w:color w:val="000000"/>
          <w:sz w:val="24"/>
          <w:szCs w:val="20"/>
          <w:highlight w:val="none"/>
          <w:u w:val="single"/>
          <w:shd w:val="pct10" w:color="auto" w:fill="FFFFFF"/>
        </w:rPr>
        <w:t>72</w:t>
      </w:r>
      <w:r>
        <w:rPr>
          <w:rFonts w:ascii="Times New Roman" w:hAnsi="Times New Roman" w:eastAsia="宋体" w:cs="Times New Roman"/>
          <w:color w:val="000000"/>
          <w:sz w:val="24"/>
          <w:szCs w:val="20"/>
          <w:highlight w:val="none"/>
        </w:rPr>
        <w:t>小时内派有关人员到达现场。</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五、其它服务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1、若卖方所提供货物有需要进口的，卖方一般应自行、自费办理；必要时，买卖双方共同办理。</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2、除招标文件、投标文件、答疑文件、技术协议、合同等约定之外，卖方应免费负责必要的或强制性的货物的检验、试验、化验等直接费用。</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3、本章节条款所列“免费”，并非指定不可收费，而是指招标文件、投标文件、答疑文件、技术交流文件、技术协议书和合同等范围之外，投标方不可另行收取的费用。</w:t>
      </w: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五</w:t>
      </w:r>
      <w:r>
        <w:rPr>
          <w:rFonts w:ascii="宋体" w:hAnsi="宋体" w:eastAsia="宋体"/>
          <w:b/>
          <w:color w:val="000000"/>
          <w:kern w:val="44"/>
          <w:sz w:val="30"/>
          <w:szCs w:val="24"/>
          <w:highlight w:val="none"/>
        </w:rPr>
        <w:t>章预验收和终验收</w:t>
      </w:r>
    </w:p>
    <w:p>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一、验收依据和验收标准</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二、检验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1、国产货物的检验一般由买卖双方共同进行或按照合同要求进行。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2、进口货物的检验，卖方需要按照下述要求进行：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2.1进口货物发货前，应对货物的质量、型号、规格、性能和数量/重量作精密、全面的检验，并出具证明书，证明所供货物符合合同规定。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2.2应依据合同规定的要求，提供买卖双方达成一致的货物的验收标准和装箱单，作为买方检验的依据。</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三、验收基本条件</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买卖双方按照合同约定执行了合同，同时货物完成了试运行并经检验合格，则具备验收条件。</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1、预验收一般条件（本项目无需预验收）</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1.1卖方已经按照“供货范围”要求提供了预验收资料，并且资料齐全、完整和有效。</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货物应完整且所有的零部件应该安装牢固，外观无损伤，所有的焊缝饱满、无残渣等缺陷。</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一般情况下，所有的管路和线缆等，接头应完全正确、可靠地联接；应排列有序（正确、牢固、整齐），有必要的防护，无皱褶、收缩和裂缝等不良现象。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4</w:t>
      </w:r>
      <w:r>
        <w:rPr>
          <w:rFonts w:hint="eastAsia" w:ascii="Times New Roman" w:hAnsi="Times New Roman" w:eastAsia="宋体" w:cs="Times New Roman"/>
          <w:color w:val="000000"/>
          <w:sz w:val="24"/>
          <w:szCs w:val="20"/>
          <w:highlight w:val="none"/>
        </w:rPr>
        <w:t>使用的压力容器、电气等应具备合格证（如果有压力容器）。</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5</w:t>
      </w:r>
      <w:r>
        <w:rPr>
          <w:rFonts w:hint="eastAsia" w:ascii="Times New Roman" w:hAnsi="Times New Roman" w:eastAsia="宋体" w:cs="Times New Roman"/>
          <w:color w:val="000000"/>
          <w:sz w:val="24"/>
          <w:szCs w:val="20"/>
          <w:highlight w:val="none"/>
        </w:rPr>
        <w:t>货物的油漆质量应饱满、有光泽，无掉漆、无色差、无“桔皮”等不良现象（特殊标志除外）。</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6</w:t>
      </w:r>
      <w:r>
        <w:rPr>
          <w:rFonts w:hint="eastAsia" w:ascii="Times New Roman" w:hAnsi="Times New Roman" w:eastAsia="宋体" w:cs="Times New Roman"/>
          <w:color w:val="000000"/>
          <w:sz w:val="24"/>
          <w:szCs w:val="20"/>
          <w:highlight w:val="none"/>
        </w:rPr>
        <w:t>货物标牌完整、清晰、明确。</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1.7货物的安全要求符合中国最新的相关法律、法规、标准和规范以及合同要求。</w:t>
      </w:r>
    </w:p>
    <w:p>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、预验收基本要求</w:t>
      </w:r>
    </w:p>
    <w:p>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2.1</w:t>
      </w:r>
      <w:r>
        <w:rPr>
          <w:rFonts w:hint="eastAsia" w:ascii="宋体" w:hAnsi="宋体" w:eastAsia="宋体" w:cs="Times New Roman"/>
          <w:sz w:val="24"/>
          <w:szCs w:val="24"/>
          <w:highlight w:val="none"/>
        </w:rPr>
        <w:t>设备构成、备件齐全</w:t>
      </w:r>
    </w:p>
    <w:p>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2.2</w:t>
      </w:r>
      <w:r>
        <w:rPr>
          <w:rFonts w:hint="eastAsia" w:ascii="宋体" w:hAnsi="宋体" w:eastAsia="宋体" w:cs="Times New Roman"/>
          <w:sz w:val="24"/>
          <w:szCs w:val="24"/>
          <w:highlight w:val="none"/>
        </w:rPr>
        <w:t>设备技术原理符合标书要求</w:t>
      </w:r>
    </w:p>
    <w:p>
      <w:pPr>
        <w:adjustRightInd w:val="0"/>
        <w:snapToGrid w:val="0"/>
        <w:spacing w:line="420" w:lineRule="exact"/>
        <w:ind w:firstLine="480" w:firstLineChars="200"/>
        <w:rPr>
          <w:highlight w:val="none"/>
        </w:rPr>
      </w:pPr>
      <w:r>
        <w:rPr>
          <w:rFonts w:hint="eastAsia" w:ascii="宋体" w:hAnsi="宋体" w:eastAsia="宋体" w:cs="Times New Roman"/>
          <w:sz w:val="24"/>
          <w:szCs w:val="24"/>
          <w:highlight w:val="none"/>
        </w:rPr>
        <w:t>2.3预验收原则上要求一次完成。若一次验收不成功，最多允许两次；如果出现第三次验收失败，重新作价或退货；</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、终验收一般条件</w:t>
      </w:r>
    </w:p>
    <w:p>
      <w:pPr>
        <w:spacing w:line="520" w:lineRule="exact"/>
        <w:ind w:firstLine="480" w:firstLineChars="200"/>
        <w:rPr>
          <w:rFonts w:ascii="宋体" w:hAnsi="宋体" w:eastAsia="宋体" w:cs="宋体"/>
          <w:sz w:val="24"/>
          <w:szCs w:val="24"/>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.1</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pPr>
        <w:adjustRightInd w:val="0"/>
        <w:snapToGrid w:val="0"/>
        <w:spacing w:line="360" w:lineRule="auto"/>
        <w:ind w:firstLine="480" w:firstLineChars="200"/>
        <w:rPr>
          <w:highlight w:val="none"/>
        </w:rPr>
      </w:pPr>
      <w:r>
        <w:rPr>
          <w:rFonts w:hint="eastAsia" w:ascii="宋体" w:hAnsi="宋体" w:eastAsia="宋体" w:cs="宋体"/>
          <w:sz w:val="24"/>
          <w:szCs w:val="24"/>
          <w:highlight w:val="none"/>
        </w:rPr>
        <w:t>3.2出现下列问题之一，视作验收失败：</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3.4终验收原则上要求一次完成。若一次验收不成功，最多允许两次；如果出现第三次验收失败，重新作价或退货；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3.5终验收通过后买卖双方共同签署终验收报告，并移交、核对全部供货范围内物品。</w:t>
      </w:r>
    </w:p>
    <w:p>
      <w:pPr>
        <w:pStyle w:val="13"/>
        <w:ind w:firstLine="480"/>
        <w:rPr>
          <w:rFonts w:ascii="宋体" w:hAnsi="宋体" w:eastAsia="宋体"/>
          <w:b/>
          <w:color w:val="000000"/>
          <w:kern w:val="44"/>
          <w:sz w:val="30"/>
          <w:szCs w:val="24"/>
          <w:highlight w:val="none"/>
        </w:rPr>
      </w:pPr>
      <w:r>
        <w:rPr>
          <w:rFonts w:hint="eastAsia" w:eastAsia="宋体" w:cs="宋体"/>
          <w:color w:val="000000"/>
          <w:sz w:val="24"/>
          <w:szCs w:val="24"/>
          <w:highlight w:val="none"/>
        </w:rPr>
        <w:t>3.</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rPr>
        <w:t>终验收要求设备达到设计节拍稳定运行1个月以后进行。</w:t>
      </w:r>
    </w:p>
    <w:p>
      <w:pPr>
        <w:pStyle w:val="13"/>
        <w:rPr>
          <w:highlight w:val="none"/>
        </w:rPr>
      </w:pPr>
    </w:p>
    <w:p>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六</w:t>
      </w:r>
      <w:r>
        <w:rPr>
          <w:rFonts w:ascii="宋体" w:hAnsi="宋体" w:eastAsia="宋体"/>
          <w:b/>
          <w:color w:val="000000"/>
          <w:kern w:val="44"/>
          <w:sz w:val="30"/>
          <w:szCs w:val="24"/>
          <w:highlight w:val="none"/>
        </w:rPr>
        <w:t>章投标技术文件一般要求</w:t>
      </w:r>
    </w:p>
    <w:p>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一、技术文件一般内容要求</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1、投标方应认真阅读招标文件和本技术标书，并按要求编写投标技术文件。</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2、投标技术文件至少应对投标货物的功能用途、技术性能、质量标准、技术参数等作出详细说明。</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3、投标技术文件至少应根据投标货物的关键设备、总成、零部件或系统作出满足或优于招标文件要求的详细说明。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4、投标技术文件至少应按照招标文件要求（或投标方建议）列明备品备件、易损件和专用耗材明细。</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5、投标方应当而且必须分别说明所列备品备件、易损件和专用耗材的使用寿命（以有效工作小时数说明）。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6</w:t>
      </w:r>
      <w:r>
        <w:rPr>
          <w:rFonts w:hint="eastAsia" w:ascii="Times New Roman" w:hAnsi="Times New Roman" w:eastAsia="宋体" w:cs="Times New Roman"/>
          <w:color w:val="000000"/>
          <w:sz w:val="24"/>
          <w:szCs w:val="24"/>
          <w:highlight w:val="none"/>
        </w:rPr>
        <w:t>、</w:t>
      </w:r>
      <w:r>
        <w:rPr>
          <w:rFonts w:ascii="Times New Roman" w:hAnsi="Times New Roman" w:eastAsia="宋体" w:cs="Times New Roman"/>
          <w:color w:val="000000"/>
          <w:sz w:val="24"/>
          <w:szCs w:val="24"/>
          <w:highlight w:val="none"/>
        </w:rPr>
        <w:t>“开标一览表”和“明细表”仅作为投标方编制投标技术文件的一般格式。其中序号编写应当便于招标方了解分类或分项货物之间的所属关系，如1、1.1、1.2。</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7、</w:t>
      </w:r>
      <w:r>
        <w:rPr>
          <w:rFonts w:ascii="Times New Roman" w:hAnsi="Times New Roman" w:eastAsia="宋体" w:cs="Times New Roman"/>
          <w:color w:val="000000"/>
          <w:sz w:val="24"/>
          <w:szCs w:val="24"/>
          <w:highlight w:val="none"/>
        </w:rPr>
        <w:t>应当尽可能将货物的配置列全、列细，这将有助于投标方胜出。</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8、</w:t>
      </w:r>
      <w:r>
        <w:rPr>
          <w:rFonts w:ascii="Times New Roman" w:hAnsi="Times New Roman" w:eastAsia="宋体" w:cs="Times New Roman"/>
          <w:color w:val="000000"/>
          <w:sz w:val="24"/>
          <w:szCs w:val="24"/>
          <w:highlight w:val="none"/>
        </w:rPr>
        <w:t>单价与总价之间、总价与分类小计价之间、分类小计价与合计价之间数据应当齐全而且准确。</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9、</w:t>
      </w:r>
      <w:r>
        <w:rPr>
          <w:rFonts w:ascii="Times New Roman" w:hAnsi="Times New Roman" w:eastAsia="宋体" w:cs="Times New Roman"/>
          <w:color w:val="000000"/>
          <w:sz w:val="24"/>
          <w:szCs w:val="24"/>
          <w:highlight w:val="none"/>
        </w:rPr>
        <w:t>本条款表格中的制造商，应当为全称或公认的简称。</w:t>
      </w:r>
    </w:p>
    <w:p>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二、技术文件中货物报价格式要求</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2、如果投标总报价与其它价格出现错误或不一致，将有可能导致废标。</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w:t>
      </w:r>
      <w:r>
        <w:rPr>
          <w:rFonts w:ascii="Times New Roman" w:hAnsi="Times New Roman" w:eastAsia="宋体" w:cs="Times New Roman"/>
          <w:color w:val="000000"/>
          <w:sz w:val="24"/>
          <w:szCs w:val="20"/>
          <w:highlight w:val="none"/>
        </w:rPr>
        <w:t>、要求投标总报价、分项报价、明细报价之间应当具有相互间对应关系以及填报分项和明细报价，仅为便于评标而不妨碍投标人以最合适的形式签署合同。</w:t>
      </w:r>
    </w:p>
    <w:p>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三、验收标准及内容要求</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pPr>
        <w:keepNext/>
        <w:keepLines/>
        <w:spacing w:before="120" w:after="120" w:line="480" w:lineRule="exact"/>
        <w:jc w:val="center"/>
        <w:outlineLvl w:val="0"/>
        <w:rPr>
          <w:rFonts w:ascii="Times New Roman" w:hAnsi="Times New Roman" w:eastAsia="黑体" w:cs="Times New Roman"/>
          <w:bCs/>
          <w:color w:val="000000"/>
          <w:kern w:val="44"/>
          <w:sz w:val="24"/>
          <w:szCs w:val="24"/>
          <w:highlight w:val="none"/>
        </w:rPr>
        <w:sectPr>
          <w:pgSz w:w="11906" w:h="16838"/>
          <w:pgMar w:top="1588" w:right="1418" w:bottom="1134" w:left="1418" w:header="851" w:footer="992" w:gutter="0"/>
          <w:pgNumType w:fmt="numberInDash"/>
          <w:cols w:space="720" w:num="1"/>
          <w:titlePg/>
          <w:docGrid w:type="lines" w:linePitch="312" w:charSpace="0"/>
        </w:sectPr>
      </w:pPr>
    </w:p>
    <w:p>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七</w:t>
      </w:r>
      <w:r>
        <w:rPr>
          <w:rFonts w:ascii="宋体" w:hAnsi="宋体" w:eastAsia="宋体"/>
          <w:b/>
          <w:color w:val="000000"/>
          <w:kern w:val="44"/>
          <w:sz w:val="30"/>
          <w:szCs w:val="24"/>
          <w:highlight w:val="none"/>
        </w:rPr>
        <w:t>章其它要求及说明</w:t>
      </w:r>
    </w:p>
    <w:p>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一、要求</w:t>
      </w:r>
    </w:p>
    <w:p>
      <w:pPr>
        <w:spacing w:after="120" w:line="420" w:lineRule="exact"/>
        <w:ind w:left="420" w:left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2、投标方应当是通过有关资格认证的法人。应当在投标文件中提供有效期内的资格认证证书，如：ISO9001、</w:t>
      </w:r>
      <w:r>
        <w:rPr>
          <w:rFonts w:ascii="Times New Roman" w:hAnsi="Times New Roman" w:eastAsia="宋体" w:cs="Times New Roman"/>
          <w:color w:val="auto"/>
          <w:sz w:val="24"/>
          <w:szCs w:val="20"/>
          <w:highlight w:val="none"/>
        </w:rPr>
        <w:t>VDA6.1、</w:t>
      </w:r>
      <w:r>
        <w:rPr>
          <w:rFonts w:ascii="Times New Roman" w:hAnsi="Times New Roman" w:eastAsia="宋体" w:cs="Times New Roman"/>
          <w:color w:val="000000"/>
          <w:sz w:val="24"/>
          <w:szCs w:val="20"/>
          <w:highlight w:val="none"/>
        </w:rPr>
        <w:t>QS9000等。</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3、国产设备应附有采购货物（或设备）涉及的由“中国质量认证中心”颁发的《中国国家强制性产品认证证书》（CCC证书）。</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4、应附有其它与投标单位、采购货物有关的荣誉证书或资料。</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5.1国家相关机构颁发的有效期之内所必需的《生产许可证》。</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5.2产品（或技术）鉴定报告/证书、专利证书或专利许可证书、新技术成果证书等。</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5.3产品相关检验、试验报告，如：型式试验检验报告、安全试验检验报告、电弧效应试验报告、噪声检测报告等</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5.4其它能够证明所供货物的质量水平、技术水平、安全性水平、节能性水平、环保性水平等相关的其它证明文件或资料、报告等。</w:t>
      </w:r>
    </w:p>
    <w:p>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5.5该类报告或证明材料对于投标方胜出乃至中标极为重要！</w:t>
      </w:r>
    </w:p>
    <w:p>
      <w:pPr>
        <w:spacing w:line="420" w:lineRule="exact"/>
        <w:ind w:firstLine="479" w:firstLineChars="199"/>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6、必须附有：</w:t>
      </w:r>
      <w:r>
        <w:rPr>
          <w:rFonts w:hint="eastAsia" w:ascii="Times New Roman" w:hAnsi="Times New Roman" w:eastAsia="宋体" w:cs="Times New Roman"/>
          <w:b/>
          <w:color w:val="000000"/>
          <w:sz w:val="24"/>
          <w:szCs w:val="20"/>
          <w:highlight w:val="none"/>
        </w:rPr>
        <w:t>202</w:t>
      </w:r>
      <w:r>
        <w:rPr>
          <w:rFonts w:hint="eastAsia" w:ascii="Times New Roman" w:hAnsi="Times New Roman" w:eastAsia="宋体" w:cs="Times New Roman"/>
          <w:b/>
          <w:color w:val="000000"/>
          <w:sz w:val="24"/>
          <w:szCs w:val="20"/>
          <w:highlight w:val="none"/>
          <w:lang w:val="en-US" w:eastAsia="zh-CN"/>
        </w:rPr>
        <w:t>1</w:t>
      </w:r>
      <w:r>
        <w:rPr>
          <w:rFonts w:hint="eastAsia" w:ascii="Times New Roman" w:hAnsi="Times New Roman" w:eastAsia="宋体" w:cs="Times New Roman"/>
          <w:b/>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二、说明</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、招标文件、投标文件、答疑文件、技术交流文件、技术协议书等，在采购过程全部为有效文件，如有差异，以对招标方最有利的条款为准。</w:t>
      </w:r>
    </w:p>
    <w:p>
      <w:pPr>
        <w:adjustRightInd w:val="0"/>
        <w:snapToGrid w:val="0"/>
        <w:spacing w:line="420" w:lineRule="exact"/>
        <w:ind w:firstLine="480" w:firstLineChars="200"/>
        <w:rPr>
          <w:rFonts w:hint="eastAsia" w:ascii="宋体" w:hAnsi="宋体" w:eastAsia="宋体" w:cs="宋体"/>
          <w:b w:val="0"/>
          <w:sz w:val="24"/>
          <w:szCs w:val="24"/>
          <w:highlight w:val="none"/>
          <w:lang w:eastAsia="zh-CN"/>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r>
        <w:rPr>
          <w:rFonts w:hint="eastAsia" w:ascii="Times New Roman" w:hAnsi="Times New Roman" w:eastAsia="宋体" w:cs="Times New Roman"/>
          <w:color w:val="000000"/>
          <w:sz w:val="24"/>
          <w:szCs w:val="20"/>
          <w:highlight w:val="none"/>
          <w:lang w:eastAsia="zh-CN"/>
        </w:rPr>
        <w:t>。</w:t>
      </w:r>
    </w:p>
    <w:bookmarkEnd w:id="33"/>
    <w:p>
      <w:pPr>
        <w:pStyle w:val="19"/>
      </w:pPr>
    </w:p>
    <w:p>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35" w:name="_Toc283814116"/>
      <w:bookmarkStart w:id="36" w:name="_Toc29691"/>
      <w:r>
        <w:rPr>
          <w:rFonts w:hint="eastAsia" w:ascii="仿宋_GB2312" w:hAnsi="仿宋_GB2312" w:eastAsia="仿宋_GB2312" w:cs="仿宋_GB2312"/>
          <w:w w:val="90"/>
          <w:sz w:val="24"/>
          <w:szCs w:val="24"/>
          <w:lang w:val="en-US" w:eastAsia="zh-CN"/>
        </w:rPr>
        <w:t xml:space="preserve"> </w:t>
      </w:r>
    </w:p>
    <w:p>
      <w:pPr>
        <w:spacing w:line="360" w:lineRule="auto"/>
        <w:jc w:val="center"/>
        <w:rPr>
          <w:rFonts w:hint="eastAsia" w:ascii="方正小标宋简体" w:hAnsi="方正小标宋简体" w:eastAsia="方正小标宋简体" w:cs="方正小标宋简体"/>
          <w:w w:val="90"/>
          <w:sz w:val="44"/>
          <w:szCs w:val="44"/>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both"/>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2"/>
        <w:tabs>
          <w:tab w:val="right" w:leader="dot" w:pos="9061"/>
        </w:tabs>
        <w:ind w:left="0" w:firstLine="480" w:firstLineChars="200"/>
        <w:jc w:val="both"/>
        <w:rPr>
          <w:rFonts w:ascii="黑体" w:hAnsi="黑体" w:eastAsia="黑体" w:cs="黑体"/>
          <w:b w:val="0"/>
          <w:sz w:val="24"/>
          <w:szCs w:val="24"/>
        </w:rPr>
      </w:pPr>
      <w:bookmarkStart w:id="37" w:name="_Toc11930"/>
      <w:bookmarkStart w:id="38" w:name="_Toc16330018"/>
      <w:bookmarkStart w:id="39" w:name="_Toc11823"/>
      <w:bookmarkStart w:id="40" w:name="_Toc17619"/>
      <w:r>
        <w:rPr>
          <w:rFonts w:hint="eastAsia" w:ascii="黑体" w:hAnsi="黑体" w:eastAsia="黑体" w:cs="黑体"/>
          <w:b w:val="0"/>
          <w:sz w:val="24"/>
          <w:szCs w:val="24"/>
        </w:rPr>
        <w:t>1 合同设备</w:t>
      </w:r>
      <w:bookmarkEnd w:id="37"/>
      <w:bookmarkEnd w:id="38"/>
      <w:bookmarkEnd w:id="39"/>
      <w:bookmarkEnd w:id="4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1" w:name="_Toc29026"/>
      <w:bookmarkStart w:id="42" w:name="_Toc22800"/>
      <w:bookmarkStart w:id="43" w:name="_Toc32510"/>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2"/>
        <w:tabs>
          <w:tab w:val="right" w:leader="dot" w:pos="9061"/>
        </w:tabs>
        <w:ind w:left="0" w:firstLine="480" w:firstLineChars="200"/>
        <w:jc w:val="both"/>
        <w:rPr>
          <w:rFonts w:ascii="黑体" w:hAnsi="黑体" w:eastAsia="黑体" w:cs="黑体"/>
          <w:b w:val="0"/>
          <w:sz w:val="24"/>
          <w:szCs w:val="24"/>
        </w:rPr>
      </w:pPr>
      <w:bookmarkStart w:id="44" w:name="_Toc16330019"/>
      <w:r>
        <w:rPr>
          <w:rFonts w:hint="eastAsia" w:ascii="黑体" w:hAnsi="黑体" w:eastAsia="黑体" w:cs="黑体"/>
          <w:b w:val="0"/>
          <w:sz w:val="24"/>
          <w:szCs w:val="24"/>
        </w:rPr>
        <w:t>2 包装</w:t>
      </w:r>
      <w:bookmarkEnd w:id="41"/>
      <w:bookmarkEnd w:id="42"/>
      <w:bookmarkEnd w:id="43"/>
      <w:bookmarkEnd w:id="4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2"/>
        <w:tabs>
          <w:tab w:val="right" w:leader="dot" w:pos="9061"/>
        </w:tabs>
        <w:ind w:left="0" w:firstLine="480" w:firstLineChars="200"/>
        <w:jc w:val="both"/>
        <w:rPr>
          <w:rFonts w:ascii="黑体" w:hAnsi="黑体" w:eastAsia="黑体" w:cs="黑体"/>
          <w:b w:val="0"/>
          <w:sz w:val="24"/>
          <w:szCs w:val="24"/>
        </w:rPr>
      </w:pPr>
      <w:bookmarkStart w:id="45" w:name="_Toc2833"/>
      <w:bookmarkStart w:id="46" w:name="_Toc27453"/>
      <w:bookmarkStart w:id="47" w:name="_Toc27144"/>
      <w:bookmarkStart w:id="48" w:name="_Toc16330020"/>
      <w:r>
        <w:rPr>
          <w:rFonts w:hint="eastAsia" w:ascii="黑体" w:hAnsi="黑体" w:eastAsia="黑体" w:cs="黑体"/>
          <w:b w:val="0"/>
          <w:sz w:val="24"/>
          <w:szCs w:val="24"/>
        </w:rPr>
        <w:t>3 运输标记</w:t>
      </w:r>
      <w:bookmarkEnd w:id="45"/>
      <w:bookmarkEnd w:id="46"/>
      <w:bookmarkEnd w:id="47"/>
      <w:bookmarkEnd w:id="4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ind w:left="0" w:firstLine="480" w:firstLineChars="200"/>
        <w:jc w:val="both"/>
        <w:rPr>
          <w:rFonts w:ascii="黑体" w:hAnsi="黑体" w:eastAsia="黑体" w:cs="黑体"/>
          <w:b w:val="0"/>
          <w:sz w:val="24"/>
          <w:szCs w:val="24"/>
        </w:rPr>
      </w:pPr>
      <w:bookmarkStart w:id="49" w:name="_Toc7431"/>
      <w:bookmarkStart w:id="50" w:name="_Toc16330021"/>
      <w:bookmarkStart w:id="51" w:name="_Toc16133"/>
      <w:bookmarkStart w:id="52" w:name="_Toc10630"/>
      <w:r>
        <w:rPr>
          <w:rFonts w:hint="eastAsia" w:ascii="黑体" w:hAnsi="黑体" w:eastAsia="黑体" w:cs="黑体"/>
          <w:b w:val="0"/>
          <w:sz w:val="24"/>
          <w:szCs w:val="24"/>
        </w:rPr>
        <w:t>4 检验</w:t>
      </w:r>
      <w:bookmarkEnd w:id="49"/>
      <w:bookmarkEnd w:id="50"/>
      <w:bookmarkEnd w:id="51"/>
      <w:bookmarkEnd w:id="5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2"/>
        <w:tabs>
          <w:tab w:val="right" w:leader="dot" w:pos="9061"/>
        </w:tabs>
        <w:ind w:left="0" w:firstLine="480" w:firstLineChars="200"/>
        <w:jc w:val="both"/>
        <w:rPr>
          <w:rFonts w:ascii="黑体" w:hAnsi="黑体" w:eastAsia="黑体" w:cs="黑体"/>
          <w:b w:val="0"/>
          <w:sz w:val="24"/>
          <w:szCs w:val="24"/>
        </w:rPr>
      </w:pPr>
      <w:bookmarkStart w:id="53" w:name="_Toc19850"/>
      <w:bookmarkStart w:id="54" w:name="_Toc24467"/>
      <w:bookmarkStart w:id="55" w:name="_Toc16330022"/>
      <w:bookmarkStart w:id="56" w:name="_Toc11217"/>
      <w:r>
        <w:rPr>
          <w:rFonts w:hint="eastAsia" w:ascii="黑体" w:hAnsi="黑体" w:eastAsia="黑体" w:cs="黑体"/>
          <w:b w:val="0"/>
          <w:sz w:val="24"/>
          <w:szCs w:val="24"/>
        </w:rPr>
        <w:t>5 权利担保</w:t>
      </w:r>
      <w:bookmarkEnd w:id="53"/>
      <w:bookmarkEnd w:id="54"/>
      <w:bookmarkEnd w:id="55"/>
      <w:bookmarkEnd w:id="5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ind w:left="0" w:firstLine="480" w:firstLineChars="200"/>
        <w:jc w:val="both"/>
        <w:rPr>
          <w:rFonts w:ascii="黑体" w:hAnsi="黑体" w:eastAsia="黑体" w:cs="黑体"/>
          <w:b w:val="0"/>
          <w:sz w:val="24"/>
          <w:szCs w:val="24"/>
        </w:rPr>
      </w:pPr>
      <w:bookmarkStart w:id="57" w:name="_Toc27500"/>
      <w:bookmarkStart w:id="58" w:name="_Toc14809"/>
      <w:bookmarkStart w:id="59" w:name="_Toc11759"/>
      <w:bookmarkStart w:id="60" w:name="_Toc16330023"/>
      <w:r>
        <w:rPr>
          <w:rFonts w:hint="eastAsia" w:ascii="黑体" w:hAnsi="黑体" w:eastAsia="黑体" w:cs="黑体"/>
          <w:b w:val="0"/>
          <w:sz w:val="24"/>
          <w:szCs w:val="24"/>
        </w:rPr>
        <w:t>6 交货</w:t>
      </w:r>
      <w:bookmarkEnd w:id="57"/>
      <w:bookmarkEnd w:id="58"/>
      <w:bookmarkEnd w:id="59"/>
      <w:bookmarkEnd w:id="6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ind w:left="0" w:firstLine="480" w:firstLineChars="200"/>
        <w:jc w:val="both"/>
        <w:rPr>
          <w:rFonts w:ascii="黑体" w:hAnsi="黑体" w:eastAsia="黑体" w:cs="黑体"/>
          <w:b w:val="0"/>
          <w:sz w:val="24"/>
          <w:szCs w:val="24"/>
        </w:rPr>
      </w:pPr>
      <w:bookmarkStart w:id="61" w:name="_Toc16330024"/>
      <w:bookmarkStart w:id="62" w:name="_Toc25510"/>
      <w:bookmarkStart w:id="63" w:name="_Toc8024"/>
      <w:bookmarkStart w:id="64" w:name="_Toc2984"/>
      <w:r>
        <w:rPr>
          <w:rFonts w:hint="eastAsia" w:ascii="黑体" w:hAnsi="黑体" w:eastAsia="黑体" w:cs="黑体"/>
          <w:b w:val="0"/>
          <w:sz w:val="24"/>
          <w:szCs w:val="24"/>
        </w:rPr>
        <w:t>7 安装、调试</w:t>
      </w:r>
      <w:bookmarkEnd w:id="61"/>
      <w:bookmarkEnd w:id="62"/>
      <w:bookmarkEnd w:id="63"/>
      <w:bookmarkEnd w:id="6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2"/>
        <w:tabs>
          <w:tab w:val="right" w:leader="dot" w:pos="9061"/>
        </w:tabs>
        <w:ind w:left="0" w:firstLine="480" w:firstLineChars="200"/>
        <w:jc w:val="both"/>
        <w:rPr>
          <w:rFonts w:ascii="黑体" w:hAnsi="黑体" w:eastAsia="黑体" w:cs="黑体"/>
          <w:b w:val="0"/>
          <w:sz w:val="24"/>
          <w:szCs w:val="24"/>
        </w:rPr>
      </w:pPr>
      <w:bookmarkStart w:id="65" w:name="_Toc14260"/>
      <w:bookmarkStart w:id="66" w:name="_Toc14098"/>
      <w:bookmarkStart w:id="67" w:name="_Toc6350"/>
      <w:bookmarkStart w:id="68" w:name="_Toc16330025"/>
      <w:r>
        <w:rPr>
          <w:rFonts w:hint="eastAsia" w:ascii="黑体" w:hAnsi="黑体" w:eastAsia="黑体" w:cs="黑体"/>
          <w:b w:val="0"/>
          <w:sz w:val="24"/>
          <w:szCs w:val="24"/>
        </w:rPr>
        <w:t>8 价款与支付</w:t>
      </w:r>
      <w:bookmarkEnd w:id="65"/>
      <w:bookmarkEnd w:id="66"/>
      <w:bookmarkEnd w:id="67"/>
      <w:bookmarkEnd w:id="6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2"/>
        <w:tabs>
          <w:tab w:val="right" w:leader="dot" w:pos="9061"/>
        </w:tabs>
        <w:ind w:left="0" w:firstLine="480" w:firstLineChars="200"/>
        <w:jc w:val="both"/>
        <w:rPr>
          <w:rFonts w:ascii="黑体" w:hAnsi="黑体" w:eastAsia="黑体" w:cs="黑体"/>
          <w:b w:val="0"/>
          <w:sz w:val="24"/>
          <w:szCs w:val="24"/>
        </w:rPr>
      </w:pPr>
      <w:bookmarkStart w:id="69" w:name="_Toc25708"/>
      <w:bookmarkStart w:id="70" w:name="_Toc24085"/>
      <w:bookmarkStart w:id="71" w:name="_Toc16330026"/>
      <w:bookmarkStart w:id="72" w:name="_Toc6726"/>
      <w:r>
        <w:rPr>
          <w:rFonts w:hint="eastAsia" w:ascii="黑体" w:hAnsi="黑体" w:eastAsia="黑体" w:cs="黑体"/>
          <w:b w:val="0"/>
          <w:sz w:val="24"/>
          <w:szCs w:val="24"/>
        </w:rPr>
        <w:t>9 质量保证及售后服务</w:t>
      </w:r>
      <w:bookmarkEnd w:id="69"/>
      <w:bookmarkEnd w:id="70"/>
      <w:bookmarkEnd w:id="71"/>
      <w:bookmarkEnd w:id="7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73" w:name="_Toc16330027"/>
      <w:bookmarkStart w:id="74" w:name="_Toc15570"/>
      <w:bookmarkStart w:id="75" w:name="_Toc12927"/>
      <w:bookmarkStart w:id="76" w:name="_Toc10359"/>
      <w:r>
        <w:rPr>
          <w:rFonts w:hint="eastAsia" w:ascii="黑体" w:hAnsi="黑体" w:eastAsia="黑体" w:cs="黑体"/>
          <w:b w:val="0"/>
          <w:sz w:val="24"/>
          <w:szCs w:val="24"/>
        </w:rPr>
        <w:t>10法定责任</w:t>
      </w:r>
      <w:bookmarkEnd w:id="73"/>
      <w:bookmarkEnd w:id="74"/>
      <w:bookmarkEnd w:id="75"/>
      <w:bookmarkEnd w:id="76"/>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2"/>
        <w:tabs>
          <w:tab w:val="right" w:leader="dot" w:pos="9061"/>
        </w:tabs>
        <w:ind w:left="0" w:firstLine="480" w:firstLineChars="200"/>
        <w:jc w:val="both"/>
        <w:rPr>
          <w:rFonts w:ascii="黑体" w:hAnsi="黑体" w:eastAsia="黑体" w:cs="黑体"/>
          <w:b w:val="0"/>
          <w:sz w:val="24"/>
          <w:szCs w:val="24"/>
        </w:rPr>
      </w:pPr>
      <w:bookmarkStart w:id="77" w:name="_Toc27314"/>
      <w:bookmarkStart w:id="78" w:name="_Toc9708"/>
      <w:bookmarkStart w:id="79" w:name="_Toc30381"/>
      <w:bookmarkStart w:id="80" w:name="_Toc16330028"/>
      <w:r>
        <w:rPr>
          <w:rFonts w:hint="eastAsia" w:ascii="黑体" w:hAnsi="黑体" w:eastAsia="黑体" w:cs="黑体"/>
          <w:b w:val="0"/>
          <w:sz w:val="24"/>
          <w:szCs w:val="24"/>
        </w:rPr>
        <w:t>11 违约责任</w:t>
      </w:r>
      <w:bookmarkEnd w:id="77"/>
      <w:bookmarkEnd w:id="78"/>
      <w:bookmarkEnd w:id="79"/>
      <w:bookmarkEnd w:id="8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2"/>
        <w:tabs>
          <w:tab w:val="right" w:leader="dot" w:pos="9061"/>
        </w:tabs>
        <w:ind w:left="0" w:firstLine="480" w:firstLineChars="200"/>
        <w:jc w:val="both"/>
        <w:rPr>
          <w:rFonts w:ascii="黑体" w:hAnsi="黑体" w:eastAsia="黑体" w:cs="黑体"/>
          <w:b w:val="0"/>
          <w:sz w:val="24"/>
          <w:szCs w:val="24"/>
        </w:rPr>
      </w:pPr>
      <w:bookmarkStart w:id="81" w:name="_Toc1827"/>
      <w:bookmarkStart w:id="82" w:name="_Toc31554"/>
      <w:bookmarkStart w:id="83" w:name="_Toc9172"/>
      <w:bookmarkStart w:id="84" w:name="_Toc16330029"/>
      <w:r>
        <w:rPr>
          <w:rFonts w:hint="eastAsia" w:ascii="黑体" w:hAnsi="黑体" w:eastAsia="黑体" w:cs="黑体"/>
          <w:b w:val="0"/>
          <w:sz w:val="24"/>
          <w:szCs w:val="24"/>
        </w:rPr>
        <w:t>12 合同的终止与解除</w:t>
      </w:r>
      <w:bookmarkEnd w:id="81"/>
      <w:bookmarkEnd w:id="82"/>
      <w:bookmarkEnd w:id="83"/>
      <w:bookmarkEnd w:id="8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2"/>
        <w:tabs>
          <w:tab w:val="right" w:leader="dot" w:pos="9061"/>
        </w:tabs>
        <w:ind w:left="0" w:firstLine="480" w:firstLineChars="200"/>
        <w:jc w:val="both"/>
        <w:rPr>
          <w:rFonts w:ascii="黑体" w:hAnsi="黑体" w:eastAsia="黑体" w:cs="黑体"/>
          <w:b w:val="0"/>
          <w:sz w:val="24"/>
          <w:szCs w:val="24"/>
        </w:rPr>
      </w:pPr>
      <w:bookmarkStart w:id="85" w:name="_Toc13671"/>
      <w:bookmarkStart w:id="86" w:name="_Toc8620"/>
      <w:bookmarkStart w:id="87" w:name="_Toc31945"/>
      <w:bookmarkStart w:id="88" w:name="_Toc16330030"/>
      <w:r>
        <w:rPr>
          <w:rFonts w:hint="eastAsia" w:ascii="黑体" w:hAnsi="黑体" w:eastAsia="黑体" w:cs="黑体"/>
          <w:b w:val="0"/>
          <w:sz w:val="24"/>
          <w:szCs w:val="24"/>
        </w:rPr>
        <w:t>13 不可抗力</w:t>
      </w:r>
      <w:bookmarkEnd w:id="85"/>
      <w:bookmarkEnd w:id="86"/>
      <w:bookmarkEnd w:id="87"/>
      <w:bookmarkEnd w:id="8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2"/>
        <w:tabs>
          <w:tab w:val="right" w:leader="dot" w:pos="9061"/>
        </w:tabs>
        <w:ind w:left="0" w:firstLine="480" w:firstLineChars="200"/>
        <w:jc w:val="both"/>
        <w:rPr>
          <w:rFonts w:ascii="黑体" w:hAnsi="黑体" w:eastAsia="黑体" w:cs="黑体"/>
          <w:b w:val="0"/>
          <w:sz w:val="24"/>
          <w:szCs w:val="24"/>
        </w:rPr>
      </w:pPr>
      <w:bookmarkStart w:id="89" w:name="_Toc31243"/>
      <w:bookmarkStart w:id="90" w:name="_Toc637"/>
      <w:bookmarkStart w:id="91" w:name="_Toc30389"/>
      <w:bookmarkStart w:id="92" w:name="_Toc16330031"/>
      <w:r>
        <w:rPr>
          <w:rFonts w:hint="eastAsia" w:ascii="黑体" w:hAnsi="黑体" w:eastAsia="黑体" w:cs="黑体"/>
          <w:b w:val="0"/>
          <w:sz w:val="24"/>
          <w:szCs w:val="24"/>
        </w:rPr>
        <w:t>14 通讯</w:t>
      </w:r>
      <w:bookmarkEnd w:id="89"/>
      <w:bookmarkEnd w:id="90"/>
      <w:bookmarkEnd w:id="91"/>
      <w:bookmarkEnd w:id="9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2"/>
        <w:tabs>
          <w:tab w:val="right" w:leader="dot" w:pos="9061"/>
        </w:tabs>
        <w:ind w:left="0" w:firstLine="480" w:firstLineChars="200"/>
        <w:jc w:val="both"/>
        <w:rPr>
          <w:rFonts w:ascii="黑体" w:hAnsi="黑体" w:eastAsia="黑体" w:cs="黑体"/>
          <w:b w:val="0"/>
          <w:sz w:val="24"/>
          <w:szCs w:val="24"/>
        </w:rPr>
      </w:pPr>
      <w:bookmarkStart w:id="93" w:name="_Toc9915"/>
      <w:bookmarkStart w:id="94" w:name="_Toc16330032"/>
      <w:bookmarkStart w:id="95" w:name="_Toc12984"/>
      <w:bookmarkStart w:id="96" w:name="_Toc11290"/>
      <w:r>
        <w:rPr>
          <w:rFonts w:hint="eastAsia" w:ascii="黑体" w:hAnsi="黑体" w:eastAsia="黑体" w:cs="黑体"/>
          <w:b w:val="0"/>
          <w:sz w:val="24"/>
          <w:szCs w:val="24"/>
        </w:rPr>
        <w:t>15 适用法律及争议解决</w:t>
      </w:r>
      <w:bookmarkEnd w:id="93"/>
      <w:bookmarkEnd w:id="94"/>
      <w:bookmarkEnd w:id="95"/>
      <w:bookmarkEnd w:id="9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ind w:left="0" w:firstLine="480" w:firstLineChars="200"/>
        <w:jc w:val="both"/>
        <w:rPr>
          <w:rFonts w:ascii="黑体" w:hAnsi="黑体" w:eastAsia="黑体" w:cs="黑体"/>
          <w:b w:val="0"/>
          <w:sz w:val="24"/>
          <w:szCs w:val="24"/>
        </w:rPr>
      </w:pPr>
      <w:bookmarkStart w:id="97" w:name="_Toc23765"/>
      <w:bookmarkStart w:id="98" w:name="_Toc16330033"/>
      <w:bookmarkStart w:id="99" w:name="_Toc23906"/>
      <w:bookmarkStart w:id="100" w:name="_Toc18207"/>
      <w:r>
        <w:rPr>
          <w:rFonts w:hint="eastAsia" w:ascii="黑体" w:hAnsi="黑体" w:eastAsia="黑体" w:cs="黑体"/>
          <w:b w:val="0"/>
          <w:sz w:val="24"/>
          <w:szCs w:val="24"/>
        </w:rPr>
        <w:t>16 附件</w:t>
      </w:r>
      <w:bookmarkEnd w:id="97"/>
      <w:bookmarkEnd w:id="98"/>
      <w:bookmarkEnd w:id="99"/>
      <w:bookmarkEnd w:id="10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2"/>
        <w:tabs>
          <w:tab w:val="right" w:leader="dot" w:pos="9061"/>
        </w:tabs>
        <w:ind w:left="0" w:firstLine="480" w:firstLineChars="200"/>
        <w:jc w:val="both"/>
        <w:rPr>
          <w:rFonts w:ascii="黑体" w:hAnsi="黑体" w:eastAsia="黑体" w:cs="黑体"/>
          <w:b w:val="0"/>
          <w:sz w:val="24"/>
          <w:szCs w:val="24"/>
        </w:rPr>
      </w:pPr>
      <w:bookmarkStart w:id="101" w:name="_Toc31331"/>
      <w:bookmarkStart w:id="102" w:name="_Toc16330034"/>
      <w:bookmarkStart w:id="103" w:name="_Toc27202"/>
      <w:bookmarkStart w:id="104" w:name="_Toc17656"/>
      <w:r>
        <w:rPr>
          <w:rFonts w:hint="eastAsia" w:ascii="黑体" w:hAnsi="黑体" w:eastAsia="黑体" w:cs="黑体"/>
          <w:b w:val="0"/>
          <w:sz w:val="24"/>
          <w:szCs w:val="24"/>
        </w:rPr>
        <w:t>17 其他规定</w:t>
      </w:r>
      <w:bookmarkEnd w:id="101"/>
      <w:bookmarkEnd w:id="102"/>
      <w:bookmarkEnd w:id="103"/>
      <w:bookmarkEnd w:id="10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105" w:name="_Toc16330035"/>
      <w:bookmarkStart w:id="106" w:name="_Toc29136"/>
      <w:bookmarkStart w:id="107" w:name="_Toc19077"/>
      <w:bookmarkStart w:id="108"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5"/>
      <w:bookmarkEnd w:id="106"/>
      <w:bookmarkEnd w:id="107"/>
      <w:bookmarkEnd w:id="10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9"/>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9"/>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9"/>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bookmarkEnd w:id="35"/>
    </w:tbl>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09" w:name="_Toc14341849"/>
    </w:p>
    <w:p>
      <w:pPr>
        <w:ind w:right="480"/>
        <w:jc w:val="center"/>
        <w:rPr>
          <w:sz w:val="24"/>
          <w:szCs w:val="24"/>
        </w:rPr>
      </w:pPr>
      <w:r>
        <w:rPr>
          <w:rFonts w:hint="eastAsia" w:ascii="楷体_GB2312" w:hAnsi="宋体" w:eastAsia="楷体_GB2312"/>
          <w:sz w:val="24"/>
        </w:rPr>
        <w:t xml:space="preserve">                                    </w:t>
      </w:r>
    </w:p>
    <w:bookmarkEnd w:id="109"/>
    <w:p>
      <w:pPr>
        <w:rPr>
          <w:rFonts w:hint="eastAsia" w:ascii="方正小标宋简体" w:hAnsi="方正小标宋简体" w:eastAsia="方正小标宋简体" w:cs="方正小标宋简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14"/>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4"/>
        <w:spacing w:before="9"/>
        <w:ind w:left="0" w:firstLine="0"/>
        <w:rPr>
          <w:rFonts w:ascii="楷体" w:hAnsi="楷体" w:eastAsia="楷体" w:cs="楷体"/>
          <w:sz w:val="40"/>
          <w:szCs w:val="28"/>
        </w:rPr>
      </w:pPr>
    </w:p>
    <w:p>
      <w:pPr>
        <w:pStyle w:val="14"/>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4"/>
        <w:ind w:left="0" w:firstLine="0"/>
        <w:rPr>
          <w:rFonts w:ascii="楷体" w:hAnsi="楷体" w:eastAsia="楷体" w:cs="楷体"/>
          <w:b/>
          <w:sz w:val="24"/>
          <w:szCs w:val="28"/>
        </w:rPr>
      </w:pPr>
    </w:p>
    <w:p>
      <w:pPr>
        <w:pStyle w:val="14"/>
        <w:ind w:left="0" w:firstLine="0"/>
        <w:rPr>
          <w:rFonts w:ascii="楷体" w:hAnsi="楷体" w:eastAsia="楷体" w:cs="楷体"/>
          <w:b/>
          <w:sz w:val="24"/>
          <w:szCs w:val="28"/>
        </w:rPr>
      </w:pPr>
    </w:p>
    <w:p>
      <w:pPr>
        <w:pStyle w:val="14"/>
        <w:ind w:left="0" w:firstLine="0"/>
        <w:rPr>
          <w:rFonts w:ascii="楷体" w:hAnsi="楷体" w:eastAsia="楷体" w:cs="楷体"/>
          <w:b/>
          <w:sz w:val="24"/>
          <w:szCs w:val="28"/>
        </w:rPr>
      </w:pPr>
    </w:p>
    <w:p>
      <w:pPr>
        <w:pStyle w:val="14"/>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6"/>
    </w:p>
    <w:p>
      <w:pPr>
        <w:keepNext/>
        <w:keepLines/>
        <w:outlineLvl w:val="9"/>
        <w:rPr>
          <w:rFonts w:hint="eastAsia" w:ascii="Times New Roman" w:hAnsi="Times New Roman" w:eastAsia="宋体" w:cs="Times New Roman"/>
          <w:b/>
          <w:bCs/>
          <w:color w:val="000000"/>
          <w:sz w:val="24"/>
          <w:szCs w:val="24"/>
        </w:rPr>
      </w:pPr>
    </w:p>
    <w:p>
      <w:pPr>
        <w:pStyle w:val="19"/>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9"/>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0" w:name="_Toc25811"/>
      <w:bookmarkStart w:id="111" w:name="_Toc353881012"/>
      <w:bookmarkStart w:id="112" w:name="_Toc212369550"/>
      <w:bookmarkStart w:id="113"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0"/>
      <w:bookmarkEnd w:id="111"/>
      <w:bookmarkEnd w:id="112"/>
      <w:bookmarkEnd w:id="11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济南卡车制造公司车身二部涂装车间机器人控制系统升级项目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涂装车间机器人控制系统升级项目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9"/>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9"/>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pStyle w:val="13"/>
      </w:pPr>
    </w:p>
    <w:tbl>
      <w:tblPr>
        <w:tblStyle w:val="131"/>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590"/>
        <w:gridCol w:w="2591"/>
        <w:gridCol w:w="1545"/>
        <w:gridCol w:w="2111"/>
        <w:gridCol w:w="1596"/>
        <w:gridCol w:w="27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77"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90"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591"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4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111"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96"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706"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77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9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1"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4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11"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96"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706"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1</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机器人控制柜IRC5P</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3HNA016800-001</w:t>
            </w:r>
          </w:p>
        </w:tc>
        <w:tc>
          <w:tcPr>
            <w:tcW w:w="1545" w:type="dxa"/>
            <w:shd w:val="clear" w:color="auto" w:fill="auto"/>
            <w:vAlign w:val="center"/>
          </w:tcPr>
          <w:p>
            <w:pPr>
              <w:spacing w:line="240" w:lineRule="auto"/>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7</w:t>
            </w:r>
          </w:p>
        </w:tc>
        <w:tc>
          <w:tcPr>
            <w:tcW w:w="2111" w:type="dxa"/>
            <w:shd w:val="clear" w:color="auto" w:fill="auto"/>
            <w:vAlign w:val="center"/>
          </w:tcPr>
          <w:p>
            <w:pPr>
              <w:spacing w:line="240" w:lineRule="auto"/>
              <w:jc w:val="center"/>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套</w:t>
            </w:r>
          </w:p>
        </w:tc>
        <w:tc>
          <w:tcPr>
            <w:tcW w:w="1596" w:type="dxa"/>
            <w:tcBorders>
              <w:left w:val="single" w:color="000000" w:sz="4" w:space="0"/>
            </w:tcBorders>
            <w:vAlign w:val="center"/>
          </w:tcPr>
          <w:p>
            <w:pPr>
              <w:spacing w:line="240" w:lineRule="auto"/>
              <w:jc w:val="center"/>
              <w:rPr>
                <w:rFonts w:ascii="Arial"/>
                <w:b/>
                <w:bCs/>
                <w:sz w:val="24"/>
                <w:szCs w:val="24"/>
              </w:rPr>
            </w:pPr>
          </w:p>
        </w:tc>
        <w:tc>
          <w:tcPr>
            <w:tcW w:w="2706" w:type="dxa"/>
            <w:shd w:val="clear" w:color="auto" w:fill="auto"/>
            <w:vAlign w:val="center"/>
          </w:tcPr>
          <w:p>
            <w:pPr>
              <w:widowControl/>
              <w:spacing w:beforeLines="0" w:afterLines="0" w:line="160" w:lineRule="exact"/>
              <w:jc w:val="left"/>
              <w:textAlignment w:val="center"/>
              <w:rPr>
                <w:rFonts w:hint="default"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6"/>
                <w:szCs w:val="16"/>
                <w:lang w:bidi="ar"/>
              </w:rPr>
              <w:t>074201-004968/074201-004969/074201-004970/074201-004971/074201-004972/074201-004973/074201-004974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Reactor unit</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3HAC024144-001</w:t>
            </w:r>
          </w:p>
        </w:tc>
        <w:tc>
          <w:tcPr>
            <w:tcW w:w="1545" w:type="dxa"/>
            <w:shd w:val="clear" w:color="auto" w:fill="auto"/>
            <w:vAlign w:val="center"/>
          </w:tcPr>
          <w:p>
            <w:pPr>
              <w:spacing w:line="240" w:lineRule="auto"/>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Borders>
              <w:left w:val="single" w:color="000000" w:sz="4" w:space="0"/>
            </w:tcBorders>
            <w:vAlign w:val="center"/>
          </w:tcPr>
          <w:p>
            <w:pPr>
              <w:spacing w:line="240" w:lineRule="auto"/>
              <w:jc w:val="center"/>
              <w:rPr>
                <w:rFonts w:ascii="Arial"/>
                <w:sz w:val="24"/>
                <w:szCs w:val="24"/>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传感器单元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DSQC668 Axis Computer</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3HAC029157-001</w:t>
            </w:r>
          </w:p>
        </w:tc>
        <w:tc>
          <w:tcPr>
            <w:tcW w:w="1545"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Borders>
              <w:left w:val="single" w:color="000000" w:sz="4" w:space="0"/>
            </w:tcBorders>
            <w:vAlign w:val="center"/>
          </w:tcPr>
          <w:p>
            <w:pPr>
              <w:spacing w:line="240" w:lineRule="auto"/>
              <w:jc w:val="center"/>
              <w:rPr>
                <w:rFonts w:ascii="Arial"/>
                <w:sz w:val="24"/>
                <w:szCs w:val="24"/>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轴计算机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1.3</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DSQC663 HV MDU Power unit</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3HAC029818-001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Borders>
              <w:left w:val="single" w:color="000000" w:sz="4" w:space="0"/>
            </w:tcBorders>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高压单元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1.4</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DSQC1015 Safety Module</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3HAC048858-001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安全模块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1.5</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DSQC1024 Computer</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3HAC058366-001</w:t>
            </w:r>
          </w:p>
        </w:tc>
        <w:tc>
          <w:tcPr>
            <w:tcW w:w="1545"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计算机板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1.6</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Mass memory w.boot loader</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3HAC061416-003</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内存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1.7</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DSQC1003 Expansion Board</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3HAC046408-001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扩展板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1.8</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HPB-02</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3HNA019457-001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1.9</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PIB-03</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3HNA023282-001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1.10</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MIB-03</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3HNA030713-001</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1.11</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SIB-02</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3HNA031165-001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1.12</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PDB-03</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3HNA031006-001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1.13</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DSQC655 Capacitor Unit</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3HAC025562-001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电容单元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bidi="ar"/>
              </w:rPr>
              <w:t>1.14</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0"/>
                <w:sz w:val="18"/>
                <w:szCs w:val="18"/>
                <w:lang w:val="en-US" w:eastAsia="zh-CN" w:bidi="ar"/>
              </w:rPr>
            </w:pPr>
            <w:r>
              <w:rPr>
                <w:rFonts w:hint="default" w:ascii="宋体" w:hAnsi="宋体" w:eastAsia="宋体" w:cs="宋体"/>
                <w:color w:val="000000"/>
                <w:kern w:val="0"/>
                <w:sz w:val="18"/>
                <w:szCs w:val="18"/>
                <w:lang w:bidi="ar"/>
              </w:rPr>
              <w:t>Power Relays I-Drives Pumps</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3HNA013242-001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功率继电器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1.15</w:t>
            </w:r>
          </w:p>
        </w:tc>
        <w:tc>
          <w:tcPr>
            <w:tcW w:w="2590" w:type="dxa"/>
            <w:shd w:val="clear" w:color="auto" w:fill="auto"/>
            <w:vAlign w:val="bottom"/>
          </w:tcPr>
          <w:p>
            <w:pPr>
              <w:widowControl/>
              <w:spacing w:beforeLines="0" w:afterLines="0"/>
              <w:jc w:val="left"/>
              <w:textAlignment w:val="bottom"/>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TIB-01</w:t>
            </w:r>
          </w:p>
        </w:tc>
        <w:tc>
          <w:tcPr>
            <w:tcW w:w="2591" w:type="dxa"/>
            <w:shd w:val="clear" w:color="auto" w:fill="auto"/>
            <w:vAlign w:val="bottom"/>
          </w:tcPr>
          <w:p>
            <w:pPr>
              <w:widowControl/>
              <w:spacing w:beforeLines="0" w:afterLines="0"/>
              <w:jc w:val="center"/>
              <w:textAlignment w:val="bottom"/>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3HNA006149-001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1.16</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FAN UNIT SERVO</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3HNA009326-001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伺服风扇单元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1.17</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FAN UNIT DOOR</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3HNA009327-001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门风扇单元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1.18</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CBM-01,TOP ASSEMBLY</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3HNA009409-001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1.19</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SCB-02</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3HNA025488-001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1.20</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CABLE UNIT IRC5P</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3HNA030000-001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电缆单元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1.21</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ALED-02</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3HNE06227-1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1.22</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PAINT TEACH PENDANT</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3HNA024941-001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示教器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1.23</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Battery pack</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3HAC16831-1</w:t>
            </w:r>
          </w:p>
        </w:tc>
        <w:tc>
          <w:tcPr>
            <w:tcW w:w="1545"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电池包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1.24</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MO_EQ FILTER</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3HNA09885-001</w:t>
            </w:r>
          </w:p>
        </w:tc>
        <w:tc>
          <w:tcPr>
            <w:tcW w:w="1545"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widowControl/>
              <w:spacing w:beforeLines="0" w:afterLines="0"/>
              <w:jc w:val="left"/>
              <w:textAlignment w:val="bottom"/>
              <w:rPr>
                <w:rFonts w:hint="eastAsia" w:ascii="等线" w:hAnsi="等线" w:eastAsia="等线" w:cs="等线"/>
                <w:color w:val="000000"/>
                <w:kern w:val="2"/>
                <w:sz w:val="18"/>
                <w:szCs w:val="18"/>
                <w:lang w:val="en-US" w:eastAsia="zh-CN" w:bidi="ar-SA"/>
              </w:rPr>
            </w:pPr>
            <w:r>
              <w:rPr>
                <w:rFonts w:hint="eastAsia" w:ascii="等线" w:hAnsi="等线" w:eastAsia="等线" w:cs="等线"/>
                <w:color w:val="000000"/>
                <w:kern w:val="0"/>
                <w:sz w:val="18"/>
                <w:szCs w:val="18"/>
                <w:lang w:bidi="ar"/>
              </w:rPr>
              <w:t>滤波器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1.25</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IPS系统软件</w:t>
            </w:r>
          </w:p>
        </w:tc>
        <w:tc>
          <w:tcPr>
            <w:tcW w:w="2591" w:type="dxa"/>
            <w:shd w:val="clear" w:color="auto" w:fill="auto"/>
            <w:vAlign w:val="bottom"/>
          </w:tcPr>
          <w:p>
            <w:pPr>
              <w:widowControl/>
              <w:spacing w:beforeLines="0" w:afterLines="0"/>
              <w:jc w:val="center"/>
              <w:textAlignment w:val="bottom"/>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w:t>
            </w:r>
          </w:p>
        </w:tc>
        <w:tc>
          <w:tcPr>
            <w:tcW w:w="154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shd w:val="clear" w:color="auto" w:fill="auto"/>
            <w:vAlign w:val="bottom"/>
          </w:tcPr>
          <w:p>
            <w:pPr>
              <w:spacing w:beforeLines="0" w:afterLines="0"/>
              <w:jc w:val="left"/>
              <w:rPr>
                <w:rFonts w:hint="eastAsia" w:ascii="等线" w:hAnsi="等线" w:eastAsia="等线" w:cs="等线"/>
                <w:color w:val="000000"/>
                <w:kern w:val="2"/>
                <w:sz w:val="18"/>
                <w:szCs w:val="18"/>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vAlign w:val="center"/>
          </w:tcPr>
          <w:p>
            <w:pPr>
              <w:spacing w:beforeLines="0" w:afterLines="0" w:line="24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w:t>
            </w:r>
          </w:p>
        </w:tc>
        <w:tc>
          <w:tcPr>
            <w:tcW w:w="2590" w:type="dxa"/>
            <w:vAlign w:val="center"/>
          </w:tcPr>
          <w:p>
            <w:pPr>
              <w:spacing w:beforeLines="0" w:afterLines="0" w:line="240" w:lineRule="auto"/>
              <w:jc w:val="both"/>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工艺控制柜</w:t>
            </w:r>
          </w:p>
        </w:tc>
        <w:tc>
          <w:tcPr>
            <w:tcW w:w="2591" w:type="dxa"/>
            <w:vAlign w:val="center"/>
          </w:tcPr>
          <w:p>
            <w:pPr>
              <w:spacing w:beforeLines="0" w:afterLines="0" w:line="240" w:lineRule="auto"/>
              <w:jc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w:t>
            </w:r>
          </w:p>
        </w:tc>
        <w:tc>
          <w:tcPr>
            <w:tcW w:w="1545" w:type="dxa"/>
            <w:vAlign w:val="center"/>
          </w:tcPr>
          <w:p>
            <w:pPr>
              <w:spacing w:line="240" w:lineRule="auto"/>
              <w:jc w:val="center"/>
              <w:textAlignment w:val="center"/>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w:t>
            </w:r>
          </w:p>
        </w:tc>
        <w:tc>
          <w:tcPr>
            <w:tcW w:w="2111" w:type="dxa"/>
            <w:vAlign w:val="center"/>
          </w:tcPr>
          <w:p>
            <w:pPr>
              <w:jc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套</w:t>
            </w:r>
          </w:p>
        </w:tc>
        <w:tc>
          <w:tcPr>
            <w:tcW w:w="1596" w:type="dxa"/>
          </w:tcPr>
          <w:p>
            <w:pPr>
              <w:rPr>
                <w:rFonts w:ascii="Arial"/>
                <w:b/>
                <w:bCs/>
              </w:rPr>
            </w:pPr>
          </w:p>
        </w:tc>
        <w:tc>
          <w:tcPr>
            <w:tcW w:w="2706" w:type="dxa"/>
          </w:tcPr>
          <w:p>
            <w:pPr>
              <w:rPr>
                <w:rFonts w:ascii="Arial"/>
                <w:b/>
                <w:bCs/>
              </w:rPr>
            </w:pPr>
            <w:r>
              <w:rPr>
                <w:rFonts w:hint="default" w:ascii="宋体" w:hAnsi="宋体" w:eastAsia="宋体" w:cs="宋体"/>
                <w:b/>
                <w:color w:val="000000"/>
                <w:sz w:val="16"/>
                <w:szCs w:val="16"/>
              </w:rPr>
              <w:t>074201-004967/074201-004968/074201-004973/074201-004974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2.1</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MCOB-03A板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3HNA025018-001</w:t>
            </w:r>
          </w:p>
        </w:tc>
        <w:tc>
          <w:tcPr>
            <w:tcW w:w="1545"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2.2</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SMU-03板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3HNA013638-001</w:t>
            </w:r>
          </w:p>
        </w:tc>
        <w:tc>
          <w:tcPr>
            <w:tcW w:w="1545"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2.3</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PIO板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3HNA025019-001</w:t>
            </w:r>
          </w:p>
        </w:tc>
        <w:tc>
          <w:tcPr>
            <w:tcW w:w="1545"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2.4</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HVC-02C板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3HNA029043-001</w:t>
            </w:r>
          </w:p>
        </w:tc>
        <w:tc>
          <w:tcPr>
            <w:tcW w:w="154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2.5</w:t>
            </w:r>
          </w:p>
        </w:tc>
        <w:tc>
          <w:tcPr>
            <w:tcW w:w="2590" w:type="dxa"/>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ACK-02 BOARD板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3HNA029236-002</w:t>
            </w:r>
          </w:p>
        </w:tc>
        <w:tc>
          <w:tcPr>
            <w:tcW w:w="1545"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77"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sz w:val="18"/>
                <w:szCs w:val="18"/>
              </w:rPr>
              <w:t>2.6</w:t>
            </w:r>
          </w:p>
        </w:tc>
        <w:tc>
          <w:tcPr>
            <w:tcW w:w="2590" w:type="dxa"/>
            <w:shd w:val="clear" w:color="auto" w:fill="auto"/>
            <w:vAlign w:val="center"/>
          </w:tcPr>
          <w:p>
            <w:pPr>
              <w:spacing w:beforeLines="0" w:afterLines="0" w:line="240" w:lineRule="auto"/>
              <w:jc w:val="left"/>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ACU-01B板</w:t>
            </w:r>
          </w:p>
        </w:tc>
        <w:tc>
          <w:tcPr>
            <w:tcW w:w="2591"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r>
              <w:rPr>
                <w:rFonts w:hint="default" w:ascii="宋体" w:hAnsi="宋体" w:eastAsia="宋体" w:cs="宋体"/>
                <w:color w:val="000000"/>
                <w:kern w:val="0"/>
                <w:sz w:val="18"/>
                <w:szCs w:val="18"/>
                <w:lang w:bidi="ar"/>
              </w:rPr>
              <w:t>3HNA024871-001</w:t>
            </w:r>
          </w:p>
        </w:tc>
        <w:tc>
          <w:tcPr>
            <w:tcW w:w="154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2111"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1596" w:type="dxa"/>
          </w:tcPr>
          <w:p>
            <w:pPr>
              <w:rPr>
                <w:rFonts w:ascii="Arial"/>
              </w:rPr>
            </w:pPr>
          </w:p>
        </w:tc>
        <w:tc>
          <w:tcPr>
            <w:tcW w:w="270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77" w:type="dxa"/>
            <w:vAlign w:val="center"/>
          </w:tcPr>
          <w:p>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590" w:type="dxa"/>
            <w:vAlign w:val="center"/>
          </w:tcPr>
          <w:p>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以上投标设备不足之处</w:t>
            </w:r>
          </w:p>
          <w:p>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请往下添加序号自行补</w:t>
            </w:r>
          </w:p>
          <w:p>
            <w:pPr>
              <w:spacing w:beforeLines="0" w:afterLines="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充</w:t>
            </w:r>
          </w:p>
        </w:tc>
        <w:tc>
          <w:tcPr>
            <w:tcW w:w="2591" w:type="dxa"/>
            <w:vAlign w:val="center"/>
          </w:tcPr>
          <w:p>
            <w:pPr>
              <w:spacing w:beforeLines="0" w:afterLines="0" w:line="240" w:lineRule="auto"/>
              <w:jc w:val="center"/>
              <w:rPr>
                <w:rFonts w:hint="eastAsia" w:ascii="宋体" w:hAnsi="宋体" w:eastAsia="宋体" w:cs="宋体"/>
                <w:sz w:val="21"/>
                <w:szCs w:val="21"/>
                <w:lang w:val="en-US" w:eastAsia="zh-CN"/>
              </w:rPr>
            </w:pPr>
          </w:p>
        </w:tc>
        <w:tc>
          <w:tcPr>
            <w:tcW w:w="1545" w:type="dxa"/>
            <w:vAlign w:val="center"/>
          </w:tcPr>
          <w:p>
            <w:pPr>
              <w:spacing w:line="240" w:lineRule="auto"/>
              <w:jc w:val="center"/>
              <w:rPr>
                <w:rFonts w:hint="eastAsia" w:ascii="宋体" w:hAnsi="宋体" w:eastAsia="宋体" w:cs="宋体"/>
                <w:kern w:val="2"/>
                <w:sz w:val="21"/>
                <w:szCs w:val="21"/>
                <w:highlight w:val="none"/>
                <w:lang w:val="en-US" w:eastAsia="zh-CN" w:bidi="ar-SA"/>
              </w:rPr>
            </w:pPr>
          </w:p>
        </w:tc>
        <w:tc>
          <w:tcPr>
            <w:tcW w:w="2111" w:type="dxa"/>
            <w:vAlign w:val="center"/>
          </w:tcPr>
          <w:p>
            <w:pPr>
              <w:jc w:val="center"/>
              <w:rPr>
                <w:rFonts w:hint="eastAsia" w:ascii="宋体" w:hAnsi="宋体" w:eastAsia="宋体" w:cs="宋体"/>
                <w:sz w:val="21"/>
                <w:szCs w:val="21"/>
                <w:highlight w:val="none"/>
                <w:lang w:val="en-US" w:eastAsia="zh-CN"/>
              </w:rPr>
            </w:pPr>
          </w:p>
        </w:tc>
        <w:tc>
          <w:tcPr>
            <w:tcW w:w="1596" w:type="dxa"/>
          </w:tcPr>
          <w:p>
            <w:pPr>
              <w:rPr>
                <w:rFonts w:ascii="Arial"/>
              </w:rPr>
            </w:pPr>
          </w:p>
        </w:tc>
        <w:tc>
          <w:tcPr>
            <w:tcW w:w="2706"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7"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pP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23</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济南卡车制造公司车身二部涂装车间机器人控制系统升级项目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r>
        <w:rPr>
          <w:rFonts w:ascii="宋体" w:hAnsi="宋体" w:eastAsia="宋体" w:cs="Times New Roman"/>
          <w:color w:val="000000"/>
          <w:sz w:val="24"/>
          <w:szCs w:val="24"/>
        </w:rPr>
        <w:t xml:space="preserve">                                                        </w:t>
      </w:r>
    </w:p>
    <w:tbl>
      <w:tblPr>
        <w:tblStyle w:val="40"/>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济南卡车制造公司车身二部涂装车间机器人控制系统升级项目</w:t>
            </w:r>
          </w:p>
        </w:tc>
        <w:tc>
          <w:tcPr>
            <w:tcW w:w="883"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pPr>
              <w:jc w:val="center"/>
              <w:rPr>
                <w:rFonts w:ascii="Times New Roman" w:hAnsi="Times New Roman" w:eastAsia="宋体" w:cs="Times New Roman"/>
                <w:b/>
                <w:szCs w:val="20"/>
              </w:rPr>
            </w:pPr>
          </w:p>
        </w:tc>
        <w:tc>
          <w:tcPr>
            <w:tcW w:w="1261" w:type="dxa"/>
            <w:vAlign w:val="center"/>
          </w:tcPr>
          <w:p>
            <w:pPr>
              <w:jc w:val="center"/>
              <w:rPr>
                <w:rFonts w:ascii="Times New Roman" w:hAnsi="Times New Roman" w:eastAsia="宋体" w:cs="Times New Roman"/>
                <w:b/>
                <w:szCs w:val="20"/>
              </w:rPr>
            </w:pPr>
          </w:p>
        </w:tc>
        <w:tc>
          <w:tcPr>
            <w:tcW w:w="974" w:type="dxa"/>
            <w:vAlign w:val="center"/>
          </w:tcPr>
          <w:p>
            <w:pPr>
              <w:jc w:val="center"/>
              <w:rPr>
                <w:rFonts w:ascii="Times New Roman" w:hAnsi="Times New Roman" w:eastAsia="宋体" w:cs="Times New Roman"/>
                <w:b/>
                <w:szCs w:val="20"/>
              </w:rPr>
            </w:pPr>
          </w:p>
        </w:tc>
        <w:tc>
          <w:tcPr>
            <w:tcW w:w="950"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9"/>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9"/>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line="36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spacing w:line="360" w:lineRule="auto"/>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42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423"/>
        <w:gridCol w:w="1685"/>
        <w:gridCol w:w="2109"/>
        <w:gridCol w:w="1055"/>
        <w:gridCol w:w="1055"/>
        <w:gridCol w:w="1142"/>
        <w:gridCol w:w="1759"/>
        <w:gridCol w:w="1663"/>
        <w:gridCol w:w="26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632" w:type="dxa"/>
            <w:vAlign w:val="top"/>
          </w:tcPr>
          <w:p>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108" w:type="dxa"/>
            <w:gridSpan w:val="2"/>
            <w:vAlign w:val="top"/>
          </w:tcPr>
          <w:p>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9" w:type="dxa"/>
            <w:vAlign w:val="top"/>
          </w:tcPr>
          <w:p>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55" w:type="dxa"/>
            <w:vAlign w:val="top"/>
          </w:tcPr>
          <w:p>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55"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142" w:type="dxa"/>
            <w:vAlign w:val="top"/>
          </w:tcPr>
          <w:p>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759" w:type="dxa"/>
            <w:tcBorders>
              <w:right w:val="single" w:color="000000" w:sz="4" w:space="0"/>
            </w:tcBorders>
            <w:vAlign w:val="top"/>
          </w:tcPr>
          <w:p>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663" w:type="dxa"/>
            <w:tcBorders>
              <w:left w:val="single" w:color="000000" w:sz="4" w:space="0"/>
            </w:tcBorders>
            <w:vAlign w:val="top"/>
          </w:tcPr>
          <w:p>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2692" w:type="dxa"/>
            <w:vAlign w:val="top"/>
          </w:tcPr>
          <w:p>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63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108" w:type="dxa"/>
            <w:gridSpan w:val="2"/>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0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55"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055"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14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75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663"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69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shd w:val="clear" w:color="auto" w:fill="auto"/>
            <w:vAlign w:val="center"/>
          </w:tcPr>
          <w:p>
            <w:pPr>
              <w:widowControl/>
              <w:spacing w:beforeLines="0" w:afterLines="0"/>
              <w:jc w:val="center"/>
              <w:textAlignment w:val="center"/>
              <w:rPr>
                <w:rFonts w:hint="default"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1</w:t>
            </w:r>
          </w:p>
        </w:tc>
        <w:tc>
          <w:tcPr>
            <w:tcW w:w="2108" w:type="dxa"/>
            <w:gridSpan w:val="2"/>
            <w:shd w:val="clear" w:color="auto" w:fill="auto"/>
            <w:vAlign w:val="center"/>
          </w:tcPr>
          <w:p>
            <w:pPr>
              <w:widowControl/>
              <w:spacing w:beforeLines="0" w:afterLines="0"/>
              <w:jc w:val="left"/>
              <w:textAlignment w:val="center"/>
              <w:rPr>
                <w:rFonts w:hint="eastAsia"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机器人控制柜IRC5P</w:t>
            </w:r>
          </w:p>
        </w:tc>
        <w:tc>
          <w:tcPr>
            <w:tcW w:w="2109" w:type="dxa"/>
            <w:shd w:val="clear" w:color="auto" w:fill="auto"/>
            <w:vAlign w:val="center"/>
          </w:tcPr>
          <w:p>
            <w:pPr>
              <w:widowControl/>
              <w:spacing w:beforeLines="0" w:afterLines="0"/>
              <w:jc w:val="center"/>
              <w:textAlignment w:val="center"/>
              <w:rPr>
                <w:rFonts w:hint="eastAsia"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8"/>
                <w:szCs w:val="18"/>
                <w:lang w:bidi="ar"/>
              </w:rPr>
              <w:t>3HNA016800-001</w:t>
            </w:r>
          </w:p>
        </w:tc>
        <w:tc>
          <w:tcPr>
            <w:tcW w:w="1055" w:type="dxa"/>
            <w:shd w:val="clear" w:color="auto" w:fill="auto"/>
            <w:vAlign w:val="center"/>
          </w:tcPr>
          <w:p>
            <w:pPr>
              <w:spacing w:line="240" w:lineRule="auto"/>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套</w:t>
            </w:r>
          </w:p>
        </w:tc>
        <w:tc>
          <w:tcPr>
            <w:tcW w:w="1055" w:type="dxa"/>
            <w:shd w:val="clear" w:color="auto" w:fill="auto"/>
            <w:vAlign w:val="center"/>
          </w:tcPr>
          <w:p>
            <w:pPr>
              <w:spacing w:line="240" w:lineRule="auto"/>
              <w:jc w:val="center"/>
              <w:textAlignment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7</w:t>
            </w:r>
          </w:p>
        </w:tc>
        <w:tc>
          <w:tcPr>
            <w:tcW w:w="1142" w:type="dxa"/>
          </w:tcPr>
          <w:p>
            <w:pPr>
              <w:rPr>
                <w:rFonts w:ascii="Arial"/>
              </w:rPr>
            </w:pPr>
          </w:p>
        </w:tc>
        <w:tc>
          <w:tcPr>
            <w:tcW w:w="1759" w:type="dxa"/>
            <w:tcBorders>
              <w:right w:val="single" w:color="000000" w:sz="4" w:space="0"/>
            </w:tcBorders>
          </w:tcPr>
          <w:p>
            <w:pPr>
              <w:rPr>
                <w:rFonts w:ascii="Arial"/>
              </w:rPr>
            </w:pPr>
          </w:p>
        </w:tc>
        <w:tc>
          <w:tcPr>
            <w:tcW w:w="1663" w:type="dxa"/>
            <w:tcBorders>
              <w:left w:val="single" w:color="000000" w:sz="4" w:space="0"/>
            </w:tcBorders>
          </w:tcPr>
          <w:p>
            <w:pPr>
              <w:rPr>
                <w:rFonts w:ascii="Arial"/>
              </w:rPr>
            </w:pPr>
          </w:p>
        </w:tc>
        <w:tc>
          <w:tcPr>
            <w:tcW w:w="2692" w:type="dxa"/>
            <w:shd w:val="clear" w:color="auto" w:fill="auto"/>
            <w:vAlign w:val="center"/>
          </w:tcPr>
          <w:p>
            <w:pPr>
              <w:widowControl/>
              <w:spacing w:beforeLines="0" w:afterLines="0" w:line="160" w:lineRule="exact"/>
              <w:jc w:val="left"/>
              <w:textAlignment w:val="center"/>
              <w:rPr>
                <w:rFonts w:hint="default" w:ascii="宋体" w:hAnsi="宋体" w:eastAsia="宋体" w:cs="宋体"/>
                <w:b/>
                <w:bCs/>
                <w:color w:val="000000"/>
                <w:kern w:val="2"/>
                <w:sz w:val="18"/>
                <w:szCs w:val="18"/>
                <w:lang w:val="en-US" w:eastAsia="zh-CN" w:bidi="ar-SA"/>
              </w:rPr>
            </w:pPr>
            <w:r>
              <w:rPr>
                <w:rFonts w:hint="default" w:ascii="宋体" w:hAnsi="宋体" w:eastAsia="宋体" w:cs="宋体"/>
                <w:b/>
                <w:bCs/>
                <w:color w:val="000000"/>
                <w:kern w:val="0"/>
                <w:sz w:val="16"/>
                <w:szCs w:val="16"/>
                <w:lang w:bidi="ar"/>
              </w:rPr>
              <w:t>074201-004968/074201-004969/074201-004970/074201-004971/074201-004972/074201-004973/074201-004974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shd w:val="clear" w:color="auto" w:fill="auto"/>
            <w:vAlign w:val="center"/>
          </w:tcPr>
          <w:p>
            <w:pPr>
              <w:spacing w:beforeLines="0" w:afterLines="0"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2</w:t>
            </w:r>
          </w:p>
        </w:tc>
        <w:tc>
          <w:tcPr>
            <w:tcW w:w="2108" w:type="dxa"/>
            <w:gridSpan w:val="2"/>
            <w:shd w:val="clear" w:color="auto" w:fill="auto"/>
            <w:vAlign w:val="center"/>
          </w:tcPr>
          <w:p>
            <w:pPr>
              <w:spacing w:beforeLines="0" w:afterLines="0" w:line="240" w:lineRule="auto"/>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工艺控制柜</w:t>
            </w:r>
          </w:p>
        </w:tc>
        <w:tc>
          <w:tcPr>
            <w:tcW w:w="2109" w:type="dxa"/>
            <w:shd w:val="clear" w:color="auto" w:fill="auto"/>
            <w:vAlign w:val="center"/>
          </w:tcPr>
          <w:p>
            <w:pPr>
              <w:spacing w:beforeLines="0" w:afterLines="0"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w:t>
            </w:r>
          </w:p>
        </w:tc>
        <w:tc>
          <w:tcPr>
            <w:tcW w:w="1055" w:type="dxa"/>
            <w:shd w:val="clear" w:color="auto" w:fill="auto"/>
            <w:vAlign w:val="center"/>
          </w:tcPr>
          <w:p>
            <w:pPr>
              <w:spacing w:line="240" w:lineRule="auto"/>
              <w:jc w:val="center"/>
              <w:textAlignment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lang w:val="en-US" w:eastAsia="zh-CN"/>
              </w:rPr>
              <w:t>套</w:t>
            </w:r>
          </w:p>
        </w:tc>
        <w:tc>
          <w:tcPr>
            <w:tcW w:w="1055" w:type="dxa"/>
            <w:shd w:val="clear" w:color="auto" w:fill="auto"/>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w:t>
            </w:r>
          </w:p>
        </w:tc>
        <w:tc>
          <w:tcPr>
            <w:tcW w:w="1142" w:type="dxa"/>
            <w:shd w:val="clear" w:color="auto" w:fill="auto"/>
            <w:vAlign w:val="top"/>
          </w:tcPr>
          <w:p>
            <w:pPr>
              <w:rPr>
                <w:rFonts w:ascii="Arial" w:hAnsiTheme="minorHAnsi" w:eastAsiaTheme="minorEastAsia" w:cstheme="minorBidi"/>
                <w:kern w:val="2"/>
                <w:sz w:val="21"/>
                <w:szCs w:val="22"/>
                <w:lang w:val="en-US" w:eastAsia="zh-CN" w:bidi="ar-SA"/>
              </w:rPr>
            </w:pPr>
          </w:p>
        </w:tc>
        <w:tc>
          <w:tcPr>
            <w:tcW w:w="1759" w:type="dxa"/>
            <w:tcBorders>
              <w:right w:val="single" w:color="000000" w:sz="4" w:space="0"/>
            </w:tcBorders>
            <w:shd w:val="clear" w:color="auto" w:fill="auto"/>
            <w:vAlign w:val="top"/>
          </w:tcPr>
          <w:p>
            <w:pPr>
              <w:rPr>
                <w:rFonts w:ascii="Arial" w:hAnsiTheme="minorHAnsi" w:eastAsiaTheme="minorEastAsia" w:cstheme="minorBidi"/>
                <w:kern w:val="2"/>
                <w:sz w:val="21"/>
                <w:szCs w:val="22"/>
                <w:lang w:val="en-US" w:eastAsia="zh-CN" w:bidi="ar-SA"/>
              </w:rPr>
            </w:pPr>
          </w:p>
        </w:tc>
        <w:tc>
          <w:tcPr>
            <w:tcW w:w="1663" w:type="dxa"/>
            <w:tcBorders>
              <w:left w:val="single" w:color="000000" w:sz="4" w:space="0"/>
            </w:tcBorders>
            <w:shd w:val="clear" w:color="auto" w:fill="auto"/>
            <w:vAlign w:val="top"/>
          </w:tcPr>
          <w:p>
            <w:pPr>
              <w:rPr>
                <w:rFonts w:ascii="Arial" w:hAnsiTheme="minorHAnsi" w:eastAsiaTheme="minorEastAsia" w:cstheme="minorBidi"/>
                <w:kern w:val="2"/>
                <w:sz w:val="21"/>
                <w:szCs w:val="22"/>
                <w:lang w:val="en-US" w:eastAsia="zh-CN" w:bidi="ar-SA"/>
              </w:rPr>
            </w:pPr>
          </w:p>
        </w:tc>
        <w:tc>
          <w:tcPr>
            <w:tcW w:w="2692" w:type="dxa"/>
            <w:shd w:val="clear" w:color="auto" w:fill="auto"/>
            <w:vAlign w:val="top"/>
          </w:tcPr>
          <w:p>
            <w:pPr>
              <w:rPr>
                <w:rFonts w:hint="eastAsia" w:ascii="Arial" w:hAnsiTheme="minorHAnsi" w:eastAsiaTheme="minorEastAsia" w:cstheme="minorBidi"/>
                <w:b/>
                <w:bCs/>
                <w:kern w:val="2"/>
                <w:sz w:val="21"/>
                <w:szCs w:val="22"/>
                <w:lang w:val="en-US" w:eastAsia="zh-CN" w:bidi="ar-SA"/>
              </w:rPr>
            </w:pPr>
            <w:r>
              <w:rPr>
                <w:rFonts w:hint="default" w:ascii="宋体" w:hAnsi="宋体" w:eastAsia="宋体" w:cs="宋体"/>
                <w:b/>
                <w:color w:val="000000"/>
                <w:sz w:val="16"/>
                <w:szCs w:val="16"/>
              </w:rPr>
              <w:t>074201-004967/074201-004968/074201-004973/074201-004974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shd w:val="clear" w:color="auto" w:fill="auto"/>
            <w:vAlign w:val="center"/>
          </w:tcPr>
          <w:p>
            <w:pPr>
              <w:widowControl/>
              <w:spacing w:beforeLines="0" w:afterLines="0"/>
              <w:jc w:val="center"/>
              <w:textAlignment w:val="center"/>
              <w:rPr>
                <w:rFonts w:hint="default" w:ascii="宋体" w:hAnsi="宋体" w:eastAsia="宋体" w:cs="宋体"/>
                <w:color w:val="000000"/>
                <w:kern w:val="2"/>
                <w:sz w:val="18"/>
                <w:szCs w:val="18"/>
                <w:lang w:val="en-US" w:eastAsia="zh-CN" w:bidi="ar-SA"/>
              </w:rPr>
            </w:pPr>
          </w:p>
        </w:tc>
        <w:tc>
          <w:tcPr>
            <w:tcW w:w="2108" w:type="dxa"/>
            <w:gridSpan w:val="2"/>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p>
        </w:tc>
        <w:tc>
          <w:tcPr>
            <w:tcW w:w="2109"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42" w:type="dxa"/>
          </w:tcPr>
          <w:p>
            <w:pPr>
              <w:rPr>
                <w:rFonts w:ascii="Arial"/>
              </w:rPr>
            </w:pPr>
          </w:p>
        </w:tc>
        <w:tc>
          <w:tcPr>
            <w:tcW w:w="1759" w:type="dxa"/>
            <w:tcBorders>
              <w:right w:val="single" w:color="000000" w:sz="4" w:space="0"/>
            </w:tcBorders>
          </w:tcPr>
          <w:p>
            <w:pPr>
              <w:rPr>
                <w:rFonts w:ascii="Arial"/>
              </w:rPr>
            </w:pPr>
          </w:p>
        </w:tc>
        <w:tc>
          <w:tcPr>
            <w:tcW w:w="1663" w:type="dxa"/>
            <w:tcBorders>
              <w:left w:val="single" w:color="000000" w:sz="4" w:space="0"/>
            </w:tcBorders>
          </w:tcPr>
          <w:p>
            <w:pPr>
              <w:rPr>
                <w:rFonts w:ascii="Arial"/>
              </w:rPr>
            </w:pPr>
          </w:p>
        </w:tc>
        <w:tc>
          <w:tcPr>
            <w:tcW w:w="2692" w:type="dxa"/>
            <w:shd w:val="clear" w:color="auto" w:fill="auto"/>
            <w:vAlign w:val="top"/>
          </w:tcPr>
          <w:p>
            <w:pPr>
              <w:rPr>
                <w:rFonts w:ascii="Arial" w:hAnsiTheme="minorHAnsi" w:eastAsiaTheme="minorEastAsia" w:cstheme="minorBidi"/>
                <w:kern w:val="2"/>
                <w:sz w:val="21"/>
                <w:szCs w:val="22"/>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shd w:val="clear" w:color="auto" w:fill="auto"/>
            <w:vAlign w:val="center"/>
          </w:tcPr>
          <w:p>
            <w:pPr>
              <w:widowControl/>
              <w:spacing w:beforeLines="0" w:afterLines="0"/>
              <w:jc w:val="center"/>
              <w:textAlignment w:val="center"/>
              <w:rPr>
                <w:rFonts w:hint="default" w:ascii="宋体" w:hAnsi="宋体" w:eastAsia="宋体" w:cs="宋体"/>
                <w:color w:val="000000"/>
                <w:kern w:val="2"/>
                <w:sz w:val="18"/>
                <w:szCs w:val="18"/>
                <w:lang w:val="en-US" w:eastAsia="zh-CN" w:bidi="ar-SA"/>
              </w:rPr>
            </w:pPr>
          </w:p>
        </w:tc>
        <w:tc>
          <w:tcPr>
            <w:tcW w:w="2108" w:type="dxa"/>
            <w:gridSpan w:val="2"/>
            <w:shd w:val="clear" w:color="auto" w:fill="auto"/>
            <w:vAlign w:val="center"/>
          </w:tcPr>
          <w:p>
            <w:pPr>
              <w:widowControl/>
              <w:spacing w:beforeLines="0" w:afterLines="0"/>
              <w:jc w:val="left"/>
              <w:textAlignment w:val="center"/>
              <w:rPr>
                <w:rFonts w:hint="eastAsia" w:ascii="宋体" w:hAnsi="宋体" w:eastAsia="宋体" w:cs="宋体"/>
                <w:color w:val="000000"/>
                <w:kern w:val="2"/>
                <w:sz w:val="18"/>
                <w:szCs w:val="18"/>
                <w:lang w:val="en-US" w:eastAsia="zh-CN" w:bidi="ar-SA"/>
              </w:rPr>
            </w:pPr>
          </w:p>
        </w:tc>
        <w:tc>
          <w:tcPr>
            <w:tcW w:w="2109"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42" w:type="dxa"/>
          </w:tcPr>
          <w:p>
            <w:pPr>
              <w:rPr>
                <w:rFonts w:ascii="Arial"/>
              </w:rPr>
            </w:pPr>
          </w:p>
        </w:tc>
        <w:tc>
          <w:tcPr>
            <w:tcW w:w="1759" w:type="dxa"/>
            <w:tcBorders>
              <w:right w:val="single" w:color="000000" w:sz="4" w:space="0"/>
            </w:tcBorders>
          </w:tcPr>
          <w:p>
            <w:pPr>
              <w:rPr>
                <w:rFonts w:ascii="Arial"/>
              </w:rPr>
            </w:pPr>
          </w:p>
        </w:tc>
        <w:tc>
          <w:tcPr>
            <w:tcW w:w="1663" w:type="dxa"/>
            <w:tcBorders>
              <w:left w:val="single" w:color="000000" w:sz="4" w:space="0"/>
            </w:tcBorders>
          </w:tcPr>
          <w:p>
            <w:pPr>
              <w:rPr>
                <w:rFonts w:ascii="Arial"/>
              </w:rPr>
            </w:pPr>
          </w:p>
        </w:tc>
        <w:tc>
          <w:tcPr>
            <w:tcW w:w="2692" w:type="dxa"/>
            <w:shd w:val="clear" w:color="auto" w:fill="auto"/>
            <w:vAlign w:val="top"/>
          </w:tcPr>
          <w:p>
            <w:pPr>
              <w:rPr>
                <w:rFonts w:ascii="Arial" w:hAnsiTheme="minorHAnsi" w:eastAsiaTheme="minorEastAsia" w:cstheme="minorBidi"/>
                <w:kern w:val="2"/>
                <w:sz w:val="21"/>
                <w:szCs w:val="22"/>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32" w:type="dxa"/>
            <w:shd w:val="clear" w:color="auto" w:fill="auto"/>
            <w:vAlign w:val="center"/>
          </w:tcPr>
          <w:p>
            <w:pPr>
              <w:widowControl/>
              <w:spacing w:beforeLines="0" w:afterLines="0"/>
              <w:jc w:val="center"/>
              <w:textAlignment w:val="center"/>
              <w:rPr>
                <w:rFonts w:hint="default" w:ascii="宋体" w:hAnsi="宋体" w:eastAsia="宋体" w:cs="宋体"/>
                <w:color w:val="000000"/>
                <w:kern w:val="2"/>
                <w:sz w:val="18"/>
                <w:szCs w:val="18"/>
                <w:lang w:val="en-US" w:eastAsia="zh-CN" w:bidi="ar-SA"/>
              </w:rPr>
            </w:pPr>
          </w:p>
        </w:tc>
        <w:tc>
          <w:tcPr>
            <w:tcW w:w="2108" w:type="dxa"/>
            <w:gridSpan w:val="2"/>
            <w:shd w:val="clear" w:color="auto" w:fill="auto"/>
            <w:vAlign w:val="center"/>
          </w:tcPr>
          <w:p>
            <w:pPr>
              <w:spacing w:beforeLines="0" w:afterLines="0" w:line="240" w:lineRule="auto"/>
              <w:jc w:val="left"/>
              <w:rPr>
                <w:rFonts w:hint="eastAsia" w:ascii="宋体" w:hAnsi="宋体" w:eastAsia="宋体" w:cs="宋体"/>
                <w:color w:val="000000"/>
                <w:kern w:val="2"/>
                <w:sz w:val="18"/>
                <w:szCs w:val="18"/>
                <w:lang w:val="en-US" w:eastAsia="zh-CN" w:bidi="ar-SA"/>
              </w:rPr>
            </w:pPr>
          </w:p>
        </w:tc>
        <w:tc>
          <w:tcPr>
            <w:tcW w:w="2109" w:type="dxa"/>
            <w:shd w:val="clear" w:color="auto" w:fill="auto"/>
            <w:vAlign w:val="center"/>
          </w:tcPr>
          <w:p>
            <w:pPr>
              <w:widowControl/>
              <w:spacing w:beforeLines="0" w:afterLines="0"/>
              <w:jc w:val="center"/>
              <w:textAlignment w:val="center"/>
              <w:rPr>
                <w:rFonts w:hint="eastAsia" w:ascii="宋体" w:hAnsi="宋体" w:eastAsia="宋体" w:cs="宋体"/>
                <w:color w:val="000000"/>
                <w:kern w:val="2"/>
                <w:sz w:val="18"/>
                <w:szCs w:val="18"/>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055" w:type="dxa"/>
            <w:shd w:val="clear" w:color="auto" w:fill="auto"/>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42" w:type="dxa"/>
          </w:tcPr>
          <w:p>
            <w:pPr>
              <w:rPr>
                <w:rFonts w:ascii="Arial"/>
              </w:rPr>
            </w:pPr>
          </w:p>
        </w:tc>
        <w:tc>
          <w:tcPr>
            <w:tcW w:w="1759" w:type="dxa"/>
            <w:tcBorders>
              <w:right w:val="single" w:color="000000" w:sz="4" w:space="0"/>
            </w:tcBorders>
          </w:tcPr>
          <w:p>
            <w:pPr>
              <w:rPr>
                <w:rFonts w:ascii="Arial"/>
              </w:rPr>
            </w:pPr>
          </w:p>
        </w:tc>
        <w:tc>
          <w:tcPr>
            <w:tcW w:w="1663" w:type="dxa"/>
            <w:tcBorders>
              <w:left w:val="single" w:color="000000" w:sz="4" w:space="0"/>
            </w:tcBorders>
          </w:tcPr>
          <w:p>
            <w:pPr>
              <w:rPr>
                <w:rFonts w:ascii="Arial"/>
              </w:rPr>
            </w:pPr>
          </w:p>
        </w:tc>
        <w:tc>
          <w:tcPr>
            <w:tcW w:w="2692" w:type="dxa"/>
            <w:shd w:val="clear" w:color="auto" w:fill="auto"/>
            <w:vAlign w:val="top"/>
          </w:tcPr>
          <w:p>
            <w:pPr>
              <w:rPr>
                <w:rFonts w:ascii="Arial" w:hAnsiTheme="minorHAnsi" w:eastAsiaTheme="minorEastAsia" w:cstheme="minorBidi"/>
                <w:kern w:val="2"/>
                <w:sz w:val="21"/>
                <w:szCs w:val="22"/>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632" w:type="dxa"/>
          </w:tcPr>
          <w:p>
            <w:pPr>
              <w:spacing w:before="79" w:line="284" w:lineRule="exact"/>
              <w:ind w:left="249"/>
              <w:jc w:val="center"/>
              <w:rPr>
                <w:rFonts w:ascii="宋体" w:hAnsi="宋体" w:eastAsia="宋体" w:cs="宋体"/>
                <w:szCs w:val="21"/>
              </w:rPr>
            </w:pPr>
            <w:r>
              <w:rPr>
                <w:rFonts w:ascii="宋体" w:hAnsi="宋体" w:eastAsia="宋体" w:cs="宋体"/>
                <w:position w:val="1"/>
                <w:szCs w:val="21"/>
              </w:rPr>
              <w:t>…</w:t>
            </w:r>
          </w:p>
        </w:tc>
        <w:tc>
          <w:tcPr>
            <w:tcW w:w="2108" w:type="dxa"/>
            <w:gridSpan w:val="2"/>
          </w:tcPr>
          <w:p>
            <w:pPr>
              <w:jc w:val="center"/>
              <w:rPr>
                <w:rFonts w:ascii="Arial"/>
              </w:rPr>
            </w:pPr>
            <w:r>
              <w:rPr>
                <w:rFonts w:hint="eastAsia" w:ascii="宋体" w:hAnsi="宋体" w:eastAsia="宋体" w:cs="宋体"/>
              </w:rPr>
              <w:t>以上投标设备不足之处请往下添加序号自行补充</w:t>
            </w:r>
          </w:p>
        </w:tc>
        <w:tc>
          <w:tcPr>
            <w:tcW w:w="2109" w:type="dxa"/>
          </w:tcPr>
          <w:p>
            <w:pPr>
              <w:jc w:val="center"/>
              <w:rPr>
                <w:rFonts w:ascii="Arial"/>
              </w:rPr>
            </w:pPr>
          </w:p>
        </w:tc>
        <w:tc>
          <w:tcPr>
            <w:tcW w:w="1055" w:type="dxa"/>
          </w:tcPr>
          <w:p>
            <w:pPr>
              <w:jc w:val="center"/>
              <w:rPr>
                <w:rFonts w:ascii="Arial"/>
              </w:rPr>
            </w:pPr>
          </w:p>
        </w:tc>
        <w:tc>
          <w:tcPr>
            <w:tcW w:w="1055" w:type="dxa"/>
          </w:tcPr>
          <w:p>
            <w:pPr>
              <w:jc w:val="center"/>
              <w:rPr>
                <w:rFonts w:ascii="Arial"/>
              </w:rPr>
            </w:pPr>
          </w:p>
        </w:tc>
        <w:tc>
          <w:tcPr>
            <w:tcW w:w="1142" w:type="dxa"/>
          </w:tcPr>
          <w:p>
            <w:pPr>
              <w:rPr>
                <w:rFonts w:ascii="Arial"/>
              </w:rPr>
            </w:pPr>
          </w:p>
        </w:tc>
        <w:tc>
          <w:tcPr>
            <w:tcW w:w="1759" w:type="dxa"/>
            <w:tcBorders>
              <w:right w:val="single" w:color="000000" w:sz="4" w:space="0"/>
            </w:tcBorders>
          </w:tcPr>
          <w:p>
            <w:pPr>
              <w:rPr>
                <w:rFonts w:ascii="Arial"/>
              </w:rPr>
            </w:pPr>
          </w:p>
        </w:tc>
        <w:tc>
          <w:tcPr>
            <w:tcW w:w="1663" w:type="dxa"/>
            <w:tcBorders>
              <w:left w:val="single" w:color="000000" w:sz="4" w:space="0"/>
            </w:tcBorders>
          </w:tcPr>
          <w:p>
            <w:pPr>
              <w:rPr>
                <w:rFonts w:ascii="Arial"/>
              </w:rPr>
            </w:pPr>
          </w:p>
        </w:tc>
        <w:tc>
          <w:tcPr>
            <w:tcW w:w="269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55" w:type="dxa"/>
            <w:gridSpan w:val="2"/>
            <w:tcBorders>
              <w:right w:val="single" w:color="000000" w:sz="4" w:space="0"/>
            </w:tcBorders>
          </w:tcPr>
          <w:p>
            <w:pPr>
              <w:jc w:val="center"/>
              <w:rPr>
                <w:rFonts w:ascii="宋体" w:hAnsi="宋体" w:eastAsia="宋体" w:cs="宋体"/>
                <w:spacing w:val="-6"/>
                <w:szCs w:val="21"/>
              </w:rPr>
            </w:pPr>
          </w:p>
        </w:tc>
        <w:tc>
          <w:tcPr>
            <w:tcW w:w="8805" w:type="dxa"/>
            <w:gridSpan w:val="6"/>
            <w:tcBorders>
              <w:right w:val="single" w:color="000000" w:sz="4" w:space="0"/>
            </w:tcBorders>
          </w:tcPr>
          <w:p>
            <w:pPr>
              <w:jc w:val="center"/>
              <w:rPr>
                <w:rFonts w:hint="default" w:ascii="Arial" w:eastAsia="宋体"/>
                <w:lang w:val="en-US" w:eastAsia="zh-CN"/>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eastAsia="宋体" w:cs="宋体"/>
                <w:spacing w:val="-4"/>
                <w:szCs w:val="21"/>
                <w:lang w:val="en-US" w:eastAsia="zh-CN"/>
              </w:rPr>
              <w:t xml:space="preserve"> 9-5</w:t>
            </w:r>
          </w:p>
        </w:tc>
        <w:tc>
          <w:tcPr>
            <w:tcW w:w="1663" w:type="dxa"/>
            <w:tcBorders>
              <w:left w:val="single" w:color="000000" w:sz="4" w:space="0"/>
            </w:tcBorders>
          </w:tcPr>
          <w:p>
            <w:pPr>
              <w:rPr>
                <w:rFonts w:ascii="Arial"/>
              </w:rPr>
            </w:pPr>
          </w:p>
        </w:tc>
        <w:tc>
          <w:tcPr>
            <w:tcW w:w="2692"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9"/>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9"/>
      </w:pPr>
    </w:p>
    <w:p>
      <w:pPr>
        <w:pStyle w:val="19"/>
      </w:pPr>
    </w:p>
    <w:p>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济南卡车制造公司车身二部涂装车间机器人控制系统升级项目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济南卡车制造公司车身二部涂装车间机器人控制系统升级项目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9"/>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济南卡车制造公司车身二部涂装车间机器人控制系统升级项目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9"/>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keepNext/>
        <w:keepLines/>
        <w:spacing w:before="156" w:beforeLines="50" w:after="156" w:afterLines="5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Times New Roman"/>
          <w:b/>
          <w:bCs/>
          <w:sz w:val="24"/>
          <w:szCs w:val="24"/>
        </w:rPr>
        <w:t>技术标评审表（100分）</w:t>
      </w:r>
    </w:p>
    <w:tbl>
      <w:tblPr>
        <w:tblStyle w:val="40"/>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10</w:t>
            </w:r>
            <w:r>
              <w:rPr>
                <w:rFonts w:hint="eastAsia" w:ascii="宋体" w:hAnsi="宋体" w:eastAsia="宋体" w:cs="宋体"/>
                <w:sz w:val="18"/>
                <w:szCs w:val="18"/>
              </w:rPr>
              <w:t>0分</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420" w:lineRule="exact"/>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5</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2</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ascii="宋体" w:hAnsi="宋体" w:eastAsia="宋体" w:cs="宋体"/>
                <w:sz w:val="18"/>
                <w:szCs w:val="18"/>
              </w:rPr>
              <w:t>3</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3</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8</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ascii="宋体" w:hAnsi="宋体" w:eastAsia="宋体" w:cs="宋体"/>
                <w:sz w:val="18"/>
                <w:szCs w:val="18"/>
              </w:rPr>
              <w:t>8</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4</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50</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5</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6</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7</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8</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pPr>
        <w:pStyle w:val="19"/>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9"/>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9"/>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pPr>
        <w:pStyle w:val="19"/>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pPr>
        <w:pStyle w:val="19"/>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9"/>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9"/>
        <w:sectPr>
          <w:pgSz w:w="11906" w:h="16838"/>
          <w:pgMar w:top="1588" w:right="1418" w:bottom="1134" w:left="1418" w:header="851" w:footer="992" w:gutter="0"/>
          <w:cols w:space="720" w:num="1"/>
          <w:titlePg/>
          <w:docGrid w:type="lines" w:linePitch="312" w:charSpace="0"/>
        </w:sectPr>
      </w:pPr>
    </w:p>
    <w:p>
      <w:pPr>
        <w:pStyle w:val="19"/>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8"/>
          <w:rFonts w:hint="eastAsia" w:ascii="宋体" w:hAnsi="宋体" w:eastAsia="宋体" w:cs="宋体"/>
          <w:sz w:val="24"/>
          <w:szCs w:val="24"/>
        </w:rPr>
        <w:fldChar w:fldCharType="begin"/>
      </w:r>
      <w:r>
        <w:rPr>
          <w:rStyle w:val="4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8"/>
          <w:rFonts w:hint="eastAsia" w:ascii="宋体" w:hAnsi="宋体" w:eastAsia="宋体" w:cs="宋体"/>
          <w:sz w:val="24"/>
          <w:szCs w:val="24"/>
        </w:rPr>
        <w:fldChar w:fldCharType="separate"/>
      </w:r>
      <w:r>
        <w:rPr>
          <w:rStyle w:val="48"/>
          <w:rFonts w:hint="eastAsia" w:ascii="宋体" w:hAnsi="宋体" w:eastAsia="宋体" w:cs="宋体"/>
          <w:sz w:val="24"/>
          <w:szCs w:val="24"/>
        </w:rPr>
        <w:t>http</w:t>
      </w:r>
      <w:r>
        <w:rPr>
          <w:rStyle w:val="48"/>
          <w:rFonts w:hint="eastAsia" w:ascii="宋体" w:hAnsi="宋体" w:eastAsia="宋体" w:cs="宋体"/>
          <w:sz w:val="24"/>
          <w:szCs w:val="24"/>
          <w:lang w:val="en-US" w:eastAsia="zh-CN"/>
        </w:rPr>
        <w:t>s</w:t>
      </w:r>
      <w:r>
        <w:rPr>
          <w:rStyle w:val="48"/>
          <w:rFonts w:hint="eastAsia" w:ascii="宋体" w:hAnsi="宋体" w:eastAsia="宋体" w:cs="宋体"/>
          <w:sz w:val="24"/>
          <w:szCs w:val="24"/>
        </w:rPr>
        <w:t>://ecaitong.sinotruk.com:8012/</w:t>
      </w:r>
      <w:r>
        <w:rPr>
          <w:rStyle w:val="48"/>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9"/>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pPr>
        <w:pStyle w:val="19"/>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pPr>
                      <w:pStyle w:val="24"/>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pPr>
                      <w:pStyle w:val="24"/>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pPr>
                      <w:pStyle w:val="24"/>
                    </w:pPr>
                  </w:p>
                </w:txbxContent>
              </v:textbox>
            </v:shape>
          </w:pict>
        </mc:Fallback>
      </mc:AlternateContent>
    </w:r>
  </w:p>
  <w:p>
    <w:pPr>
      <w:pStyle w:val="2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pPr>
                      <w:pStyle w:val="24"/>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pPr>
                      <w:pStyle w:val="24"/>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336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pPr>
                      <w:pStyle w:val="24"/>
                    </w:pPr>
                  </w:p>
                </w:txbxContent>
              </v:textbox>
            </v:shape>
          </w:pict>
        </mc:Fallback>
      </mc:AlternateContent>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yOWQ2OTJiM2I5NzdhNjMzYTljYWVjNzg0YTExZDgifQ=="/>
    <w:docVar w:name="KSO_WPS_MARK_KEY" w:val="288773bf-0df4-413a-9f38-c1906dd68f40"/>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44DD9"/>
    <w:rsid w:val="014832F2"/>
    <w:rsid w:val="014D51C1"/>
    <w:rsid w:val="01714809"/>
    <w:rsid w:val="01C52478"/>
    <w:rsid w:val="025C7FF6"/>
    <w:rsid w:val="027408EE"/>
    <w:rsid w:val="02963F39"/>
    <w:rsid w:val="02B3095A"/>
    <w:rsid w:val="02BA7274"/>
    <w:rsid w:val="02C32E43"/>
    <w:rsid w:val="03112576"/>
    <w:rsid w:val="03251978"/>
    <w:rsid w:val="0325718A"/>
    <w:rsid w:val="034E3B00"/>
    <w:rsid w:val="03870C59"/>
    <w:rsid w:val="04231E17"/>
    <w:rsid w:val="042921B6"/>
    <w:rsid w:val="043B72BB"/>
    <w:rsid w:val="04461EC1"/>
    <w:rsid w:val="04504B3F"/>
    <w:rsid w:val="04AD02B8"/>
    <w:rsid w:val="04DE51C8"/>
    <w:rsid w:val="04DF17D4"/>
    <w:rsid w:val="05412745"/>
    <w:rsid w:val="05491761"/>
    <w:rsid w:val="055C1AD8"/>
    <w:rsid w:val="05A351AD"/>
    <w:rsid w:val="05F9748A"/>
    <w:rsid w:val="06266F78"/>
    <w:rsid w:val="063E7B7A"/>
    <w:rsid w:val="06582413"/>
    <w:rsid w:val="067425A5"/>
    <w:rsid w:val="067E33B8"/>
    <w:rsid w:val="06E82FCB"/>
    <w:rsid w:val="06F34B95"/>
    <w:rsid w:val="07513EB4"/>
    <w:rsid w:val="07571DAC"/>
    <w:rsid w:val="084859A3"/>
    <w:rsid w:val="08CA1B7D"/>
    <w:rsid w:val="08DD171B"/>
    <w:rsid w:val="08E64121"/>
    <w:rsid w:val="090D588C"/>
    <w:rsid w:val="09372DDE"/>
    <w:rsid w:val="0942017F"/>
    <w:rsid w:val="09BA1FBB"/>
    <w:rsid w:val="09CB139F"/>
    <w:rsid w:val="09F669AD"/>
    <w:rsid w:val="0A0106F5"/>
    <w:rsid w:val="0A112AB7"/>
    <w:rsid w:val="0A4E5482"/>
    <w:rsid w:val="0AAA504A"/>
    <w:rsid w:val="0AD71BC7"/>
    <w:rsid w:val="0AF420EB"/>
    <w:rsid w:val="0B2B2BF5"/>
    <w:rsid w:val="0B2F3908"/>
    <w:rsid w:val="0B3F6206"/>
    <w:rsid w:val="0B6E15DE"/>
    <w:rsid w:val="0BE12DB6"/>
    <w:rsid w:val="0BFC6504"/>
    <w:rsid w:val="0C345AD1"/>
    <w:rsid w:val="0C4F60B9"/>
    <w:rsid w:val="0C626CE4"/>
    <w:rsid w:val="0CB877EC"/>
    <w:rsid w:val="0D02516C"/>
    <w:rsid w:val="0D0C2B7B"/>
    <w:rsid w:val="0D9308F8"/>
    <w:rsid w:val="0DE76C3D"/>
    <w:rsid w:val="0E1A1D85"/>
    <w:rsid w:val="0E2C734E"/>
    <w:rsid w:val="0E750568"/>
    <w:rsid w:val="0E9C3C97"/>
    <w:rsid w:val="0EEA1A9A"/>
    <w:rsid w:val="0F2D7A80"/>
    <w:rsid w:val="0F4277E5"/>
    <w:rsid w:val="0F4C5227"/>
    <w:rsid w:val="0F684B57"/>
    <w:rsid w:val="0FA75561"/>
    <w:rsid w:val="0FB83603"/>
    <w:rsid w:val="0FCA77F1"/>
    <w:rsid w:val="0FCB7B4C"/>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EF525A"/>
    <w:rsid w:val="11F36B75"/>
    <w:rsid w:val="121C2E46"/>
    <w:rsid w:val="12491386"/>
    <w:rsid w:val="127250BC"/>
    <w:rsid w:val="12751983"/>
    <w:rsid w:val="127E0B66"/>
    <w:rsid w:val="12842F7C"/>
    <w:rsid w:val="12887F77"/>
    <w:rsid w:val="12A140C7"/>
    <w:rsid w:val="12E60579"/>
    <w:rsid w:val="12E66E96"/>
    <w:rsid w:val="12EB0F02"/>
    <w:rsid w:val="13695B36"/>
    <w:rsid w:val="1372609F"/>
    <w:rsid w:val="13D73572"/>
    <w:rsid w:val="13DC3D21"/>
    <w:rsid w:val="13E05FAA"/>
    <w:rsid w:val="14504752"/>
    <w:rsid w:val="14563A47"/>
    <w:rsid w:val="145A6A37"/>
    <w:rsid w:val="1467440F"/>
    <w:rsid w:val="153955DC"/>
    <w:rsid w:val="15400323"/>
    <w:rsid w:val="15433A9B"/>
    <w:rsid w:val="15A93017"/>
    <w:rsid w:val="15FC2F04"/>
    <w:rsid w:val="16181FAC"/>
    <w:rsid w:val="168756A0"/>
    <w:rsid w:val="16AC32C0"/>
    <w:rsid w:val="16F94849"/>
    <w:rsid w:val="17045E51"/>
    <w:rsid w:val="172011D4"/>
    <w:rsid w:val="17252C3B"/>
    <w:rsid w:val="173F0A2E"/>
    <w:rsid w:val="17770BC2"/>
    <w:rsid w:val="17852965"/>
    <w:rsid w:val="17860E2F"/>
    <w:rsid w:val="17A119AA"/>
    <w:rsid w:val="18247EA8"/>
    <w:rsid w:val="18586F2B"/>
    <w:rsid w:val="18BE7F1F"/>
    <w:rsid w:val="19442DF9"/>
    <w:rsid w:val="19A766B9"/>
    <w:rsid w:val="19C80559"/>
    <w:rsid w:val="19CE76BA"/>
    <w:rsid w:val="19F26070"/>
    <w:rsid w:val="19F97C8B"/>
    <w:rsid w:val="1A1523CE"/>
    <w:rsid w:val="1A6A6939"/>
    <w:rsid w:val="1AA730BD"/>
    <w:rsid w:val="1AFF466D"/>
    <w:rsid w:val="1B333D5D"/>
    <w:rsid w:val="1B412344"/>
    <w:rsid w:val="1B587618"/>
    <w:rsid w:val="1B5F19C7"/>
    <w:rsid w:val="1C1C709B"/>
    <w:rsid w:val="1C4F6795"/>
    <w:rsid w:val="1C9F6814"/>
    <w:rsid w:val="1CCB626F"/>
    <w:rsid w:val="1D1F0356"/>
    <w:rsid w:val="1D5C514E"/>
    <w:rsid w:val="1D865D14"/>
    <w:rsid w:val="1D8705EC"/>
    <w:rsid w:val="1DB5784A"/>
    <w:rsid w:val="1DD872E4"/>
    <w:rsid w:val="1DEC0E7D"/>
    <w:rsid w:val="1E43150B"/>
    <w:rsid w:val="1EA93E80"/>
    <w:rsid w:val="1ED33FB6"/>
    <w:rsid w:val="1EE81332"/>
    <w:rsid w:val="1F32415A"/>
    <w:rsid w:val="1F542F9A"/>
    <w:rsid w:val="1F702632"/>
    <w:rsid w:val="1F7E2174"/>
    <w:rsid w:val="1FDC6454"/>
    <w:rsid w:val="20107567"/>
    <w:rsid w:val="20337BA2"/>
    <w:rsid w:val="204D6EA2"/>
    <w:rsid w:val="20AB56C6"/>
    <w:rsid w:val="21547789"/>
    <w:rsid w:val="2176507C"/>
    <w:rsid w:val="218B430E"/>
    <w:rsid w:val="21BE35AF"/>
    <w:rsid w:val="21C11174"/>
    <w:rsid w:val="22044FB8"/>
    <w:rsid w:val="22172EBA"/>
    <w:rsid w:val="22244B28"/>
    <w:rsid w:val="22467FD4"/>
    <w:rsid w:val="229451FD"/>
    <w:rsid w:val="22A12DB6"/>
    <w:rsid w:val="236356D1"/>
    <w:rsid w:val="23A91C83"/>
    <w:rsid w:val="23C962E8"/>
    <w:rsid w:val="240D2385"/>
    <w:rsid w:val="243932FC"/>
    <w:rsid w:val="247E4FED"/>
    <w:rsid w:val="24AD78E0"/>
    <w:rsid w:val="24B30BE8"/>
    <w:rsid w:val="24E34060"/>
    <w:rsid w:val="24FF0B3D"/>
    <w:rsid w:val="253A0491"/>
    <w:rsid w:val="253D72D8"/>
    <w:rsid w:val="254E0478"/>
    <w:rsid w:val="25E036B2"/>
    <w:rsid w:val="25E9082A"/>
    <w:rsid w:val="25F42473"/>
    <w:rsid w:val="269C17B8"/>
    <w:rsid w:val="26AF2D79"/>
    <w:rsid w:val="26B34B91"/>
    <w:rsid w:val="26C81880"/>
    <w:rsid w:val="270D66E8"/>
    <w:rsid w:val="27514612"/>
    <w:rsid w:val="278B0DAB"/>
    <w:rsid w:val="279C6B0E"/>
    <w:rsid w:val="27A64735"/>
    <w:rsid w:val="27CC4DF2"/>
    <w:rsid w:val="27E57B74"/>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433FA9"/>
    <w:rsid w:val="2A4931EC"/>
    <w:rsid w:val="2A507EFF"/>
    <w:rsid w:val="2ACB7893"/>
    <w:rsid w:val="2ADC05A4"/>
    <w:rsid w:val="2AEF2177"/>
    <w:rsid w:val="2B6F0D7F"/>
    <w:rsid w:val="2B8716BD"/>
    <w:rsid w:val="2B8B76FF"/>
    <w:rsid w:val="2BD5034F"/>
    <w:rsid w:val="2C331E12"/>
    <w:rsid w:val="2C3E1683"/>
    <w:rsid w:val="2C896913"/>
    <w:rsid w:val="2C924AE7"/>
    <w:rsid w:val="2CFC3A5A"/>
    <w:rsid w:val="2D025012"/>
    <w:rsid w:val="2D067BEC"/>
    <w:rsid w:val="2D4178F0"/>
    <w:rsid w:val="2D7711AA"/>
    <w:rsid w:val="2D7D58EB"/>
    <w:rsid w:val="2DA45D22"/>
    <w:rsid w:val="2DAE631A"/>
    <w:rsid w:val="2DD877E0"/>
    <w:rsid w:val="2DE616C9"/>
    <w:rsid w:val="2DE801DF"/>
    <w:rsid w:val="2DFC2451"/>
    <w:rsid w:val="2E3422F8"/>
    <w:rsid w:val="2E3D68D2"/>
    <w:rsid w:val="2E546E31"/>
    <w:rsid w:val="2E6E566D"/>
    <w:rsid w:val="2E7F188E"/>
    <w:rsid w:val="2EA91D49"/>
    <w:rsid w:val="2EBC0905"/>
    <w:rsid w:val="2EC73739"/>
    <w:rsid w:val="2EFB1B0E"/>
    <w:rsid w:val="2F5C684F"/>
    <w:rsid w:val="2F63756E"/>
    <w:rsid w:val="2F922AC9"/>
    <w:rsid w:val="2FE6553A"/>
    <w:rsid w:val="307776D1"/>
    <w:rsid w:val="30862574"/>
    <w:rsid w:val="309D1AAC"/>
    <w:rsid w:val="30AD52F3"/>
    <w:rsid w:val="30B631E1"/>
    <w:rsid w:val="30C90297"/>
    <w:rsid w:val="311933AA"/>
    <w:rsid w:val="311C359A"/>
    <w:rsid w:val="317D15BB"/>
    <w:rsid w:val="31D07E6C"/>
    <w:rsid w:val="323F65DA"/>
    <w:rsid w:val="32412074"/>
    <w:rsid w:val="32495758"/>
    <w:rsid w:val="32A974A8"/>
    <w:rsid w:val="32DE0199"/>
    <w:rsid w:val="333C2963"/>
    <w:rsid w:val="335B2774"/>
    <w:rsid w:val="33A4642E"/>
    <w:rsid w:val="33B05ADC"/>
    <w:rsid w:val="33D4039C"/>
    <w:rsid w:val="33D47E05"/>
    <w:rsid w:val="33DF460E"/>
    <w:rsid w:val="3413677D"/>
    <w:rsid w:val="342B5426"/>
    <w:rsid w:val="342B544B"/>
    <w:rsid w:val="345A26F2"/>
    <w:rsid w:val="345E036E"/>
    <w:rsid w:val="34B84495"/>
    <w:rsid w:val="34C47852"/>
    <w:rsid w:val="34DE1E4F"/>
    <w:rsid w:val="34F07DB1"/>
    <w:rsid w:val="354F192E"/>
    <w:rsid w:val="35763087"/>
    <w:rsid w:val="357E6FD1"/>
    <w:rsid w:val="359009FB"/>
    <w:rsid w:val="35D354B8"/>
    <w:rsid w:val="35D4025C"/>
    <w:rsid w:val="35DC2DA8"/>
    <w:rsid w:val="362666BC"/>
    <w:rsid w:val="363646D4"/>
    <w:rsid w:val="368A6B11"/>
    <w:rsid w:val="36F44712"/>
    <w:rsid w:val="37085B1F"/>
    <w:rsid w:val="372E04CB"/>
    <w:rsid w:val="38A15575"/>
    <w:rsid w:val="38E070F2"/>
    <w:rsid w:val="390D33AB"/>
    <w:rsid w:val="391E6D06"/>
    <w:rsid w:val="39515718"/>
    <w:rsid w:val="39573D9E"/>
    <w:rsid w:val="39B25432"/>
    <w:rsid w:val="3A074847"/>
    <w:rsid w:val="3A830B2E"/>
    <w:rsid w:val="3AA90FE6"/>
    <w:rsid w:val="3AA9318F"/>
    <w:rsid w:val="3AB62DA0"/>
    <w:rsid w:val="3B057828"/>
    <w:rsid w:val="3B69577B"/>
    <w:rsid w:val="3B702D85"/>
    <w:rsid w:val="3B746E30"/>
    <w:rsid w:val="3B7D3FD5"/>
    <w:rsid w:val="3B823DDF"/>
    <w:rsid w:val="3B912B1A"/>
    <w:rsid w:val="3BBB2FA0"/>
    <w:rsid w:val="3BD827B4"/>
    <w:rsid w:val="3C237ED3"/>
    <w:rsid w:val="3C4D2D59"/>
    <w:rsid w:val="3C9C5B5C"/>
    <w:rsid w:val="3CAA596A"/>
    <w:rsid w:val="3CAF1D22"/>
    <w:rsid w:val="3CB1587B"/>
    <w:rsid w:val="3CB735F2"/>
    <w:rsid w:val="3CCB1279"/>
    <w:rsid w:val="3D186684"/>
    <w:rsid w:val="3D260E6E"/>
    <w:rsid w:val="3D363C36"/>
    <w:rsid w:val="3D8411A0"/>
    <w:rsid w:val="3D8B2178"/>
    <w:rsid w:val="3DB34909"/>
    <w:rsid w:val="3DD115F5"/>
    <w:rsid w:val="3DE435F0"/>
    <w:rsid w:val="3DE5122C"/>
    <w:rsid w:val="3DF37E53"/>
    <w:rsid w:val="3E7C0144"/>
    <w:rsid w:val="3ED26DE9"/>
    <w:rsid w:val="3EED17D0"/>
    <w:rsid w:val="3F0C0304"/>
    <w:rsid w:val="3F774839"/>
    <w:rsid w:val="3FBD02CF"/>
    <w:rsid w:val="3FEC147E"/>
    <w:rsid w:val="3FED7DE8"/>
    <w:rsid w:val="3FFC5807"/>
    <w:rsid w:val="40376375"/>
    <w:rsid w:val="412732B7"/>
    <w:rsid w:val="4127791F"/>
    <w:rsid w:val="41281794"/>
    <w:rsid w:val="413C1FDF"/>
    <w:rsid w:val="41806A69"/>
    <w:rsid w:val="41B0259C"/>
    <w:rsid w:val="41B77686"/>
    <w:rsid w:val="41BC6F1C"/>
    <w:rsid w:val="41EF2363"/>
    <w:rsid w:val="41F77860"/>
    <w:rsid w:val="424A4B98"/>
    <w:rsid w:val="42581D3A"/>
    <w:rsid w:val="42610C77"/>
    <w:rsid w:val="428D00BE"/>
    <w:rsid w:val="428E23A1"/>
    <w:rsid w:val="42A012DD"/>
    <w:rsid w:val="42ED2EA4"/>
    <w:rsid w:val="42F6649D"/>
    <w:rsid w:val="42FE0080"/>
    <w:rsid w:val="43315D2E"/>
    <w:rsid w:val="43670C99"/>
    <w:rsid w:val="43824A1C"/>
    <w:rsid w:val="43D110E1"/>
    <w:rsid w:val="43E873C9"/>
    <w:rsid w:val="44905B1F"/>
    <w:rsid w:val="45316885"/>
    <w:rsid w:val="45A95EE9"/>
    <w:rsid w:val="45F303D0"/>
    <w:rsid w:val="45FB0F21"/>
    <w:rsid w:val="46167166"/>
    <w:rsid w:val="461F0B83"/>
    <w:rsid w:val="4636719A"/>
    <w:rsid w:val="465859F2"/>
    <w:rsid w:val="470E38CC"/>
    <w:rsid w:val="47200EE3"/>
    <w:rsid w:val="47435AC2"/>
    <w:rsid w:val="47544B78"/>
    <w:rsid w:val="47587AF7"/>
    <w:rsid w:val="476B5279"/>
    <w:rsid w:val="4771627F"/>
    <w:rsid w:val="47745A86"/>
    <w:rsid w:val="47A55818"/>
    <w:rsid w:val="47E239AC"/>
    <w:rsid w:val="480F4B73"/>
    <w:rsid w:val="487974BD"/>
    <w:rsid w:val="48D20808"/>
    <w:rsid w:val="48DB38E3"/>
    <w:rsid w:val="49001B5E"/>
    <w:rsid w:val="49376DB0"/>
    <w:rsid w:val="49804BB7"/>
    <w:rsid w:val="49826DCB"/>
    <w:rsid w:val="499013E7"/>
    <w:rsid w:val="49A22843"/>
    <w:rsid w:val="49C8088A"/>
    <w:rsid w:val="4A0F6D68"/>
    <w:rsid w:val="4A233384"/>
    <w:rsid w:val="4A301C93"/>
    <w:rsid w:val="4A3302AB"/>
    <w:rsid w:val="4A572A17"/>
    <w:rsid w:val="4A6F2535"/>
    <w:rsid w:val="4A9D5770"/>
    <w:rsid w:val="4AC85D49"/>
    <w:rsid w:val="4AE308A9"/>
    <w:rsid w:val="4B0673D5"/>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31867"/>
    <w:rsid w:val="4D1E27BA"/>
    <w:rsid w:val="4D23574A"/>
    <w:rsid w:val="4D4C4DB0"/>
    <w:rsid w:val="4D6745BA"/>
    <w:rsid w:val="4D7322D5"/>
    <w:rsid w:val="4D7519BD"/>
    <w:rsid w:val="4D95442A"/>
    <w:rsid w:val="4DD7034C"/>
    <w:rsid w:val="4DE312CB"/>
    <w:rsid w:val="4DF5318E"/>
    <w:rsid w:val="4E1F4862"/>
    <w:rsid w:val="4E2E4393"/>
    <w:rsid w:val="4E535EF2"/>
    <w:rsid w:val="4F08773C"/>
    <w:rsid w:val="4F102B4E"/>
    <w:rsid w:val="4F291FCA"/>
    <w:rsid w:val="4F31409F"/>
    <w:rsid w:val="4F3F6893"/>
    <w:rsid w:val="4F5E670E"/>
    <w:rsid w:val="4F846A83"/>
    <w:rsid w:val="50070E2C"/>
    <w:rsid w:val="501112F3"/>
    <w:rsid w:val="504B57F2"/>
    <w:rsid w:val="506938A9"/>
    <w:rsid w:val="50C5433A"/>
    <w:rsid w:val="50C62BC7"/>
    <w:rsid w:val="50DB5443"/>
    <w:rsid w:val="50DD677A"/>
    <w:rsid w:val="50F72A66"/>
    <w:rsid w:val="510C5E44"/>
    <w:rsid w:val="5123368C"/>
    <w:rsid w:val="5130747C"/>
    <w:rsid w:val="515C765A"/>
    <w:rsid w:val="51905BB3"/>
    <w:rsid w:val="51946FCB"/>
    <w:rsid w:val="51DD796B"/>
    <w:rsid w:val="51DF373B"/>
    <w:rsid w:val="51E12BAE"/>
    <w:rsid w:val="521B4A42"/>
    <w:rsid w:val="52841AC9"/>
    <w:rsid w:val="52EF4CB5"/>
    <w:rsid w:val="52F959F0"/>
    <w:rsid w:val="5302488E"/>
    <w:rsid w:val="530C770D"/>
    <w:rsid w:val="53136173"/>
    <w:rsid w:val="534B12B7"/>
    <w:rsid w:val="539A4AC7"/>
    <w:rsid w:val="542631B6"/>
    <w:rsid w:val="5447483C"/>
    <w:rsid w:val="54942CAE"/>
    <w:rsid w:val="54A61722"/>
    <w:rsid w:val="54B31FAF"/>
    <w:rsid w:val="54C211D8"/>
    <w:rsid w:val="54E97446"/>
    <w:rsid w:val="551F3E29"/>
    <w:rsid w:val="55326D63"/>
    <w:rsid w:val="555D1A10"/>
    <w:rsid w:val="5587498A"/>
    <w:rsid w:val="55AC7DF0"/>
    <w:rsid w:val="55D56AF3"/>
    <w:rsid w:val="56727E1E"/>
    <w:rsid w:val="568C0709"/>
    <w:rsid w:val="56AC4A78"/>
    <w:rsid w:val="56BF7C5F"/>
    <w:rsid w:val="56CE49F6"/>
    <w:rsid w:val="56DB16B9"/>
    <w:rsid w:val="577A3463"/>
    <w:rsid w:val="57F967AD"/>
    <w:rsid w:val="58052975"/>
    <w:rsid w:val="584D1A65"/>
    <w:rsid w:val="584F5C44"/>
    <w:rsid w:val="58504D6C"/>
    <w:rsid w:val="58617CDE"/>
    <w:rsid w:val="58E525CA"/>
    <w:rsid w:val="58E55347"/>
    <w:rsid w:val="58EE7372"/>
    <w:rsid w:val="59101C46"/>
    <w:rsid w:val="593D045A"/>
    <w:rsid w:val="5960739E"/>
    <w:rsid w:val="59896D0A"/>
    <w:rsid w:val="59AF0332"/>
    <w:rsid w:val="59B72684"/>
    <w:rsid w:val="59BD1846"/>
    <w:rsid w:val="59E86009"/>
    <w:rsid w:val="5A295A8C"/>
    <w:rsid w:val="5A9579AE"/>
    <w:rsid w:val="5AA02224"/>
    <w:rsid w:val="5AC468CD"/>
    <w:rsid w:val="5B342B9A"/>
    <w:rsid w:val="5B5953B0"/>
    <w:rsid w:val="5B5A5DEF"/>
    <w:rsid w:val="5B630802"/>
    <w:rsid w:val="5B807F68"/>
    <w:rsid w:val="5BA72CE5"/>
    <w:rsid w:val="5BBD6579"/>
    <w:rsid w:val="5BC87A3D"/>
    <w:rsid w:val="5C034D53"/>
    <w:rsid w:val="5CC81D66"/>
    <w:rsid w:val="5D722852"/>
    <w:rsid w:val="5E1D6F56"/>
    <w:rsid w:val="5E52187F"/>
    <w:rsid w:val="5E6A13CD"/>
    <w:rsid w:val="5E705D15"/>
    <w:rsid w:val="5E93326C"/>
    <w:rsid w:val="5E9F1A7A"/>
    <w:rsid w:val="5EAF3818"/>
    <w:rsid w:val="5ED0639A"/>
    <w:rsid w:val="5EFB4BA4"/>
    <w:rsid w:val="5EFE2597"/>
    <w:rsid w:val="5F025452"/>
    <w:rsid w:val="5F5F46B5"/>
    <w:rsid w:val="5F6762C1"/>
    <w:rsid w:val="5F940F13"/>
    <w:rsid w:val="5FB25360"/>
    <w:rsid w:val="5FBA3CC0"/>
    <w:rsid w:val="5FD90D61"/>
    <w:rsid w:val="60177697"/>
    <w:rsid w:val="602329DB"/>
    <w:rsid w:val="607777D6"/>
    <w:rsid w:val="60826178"/>
    <w:rsid w:val="609A56B8"/>
    <w:rsid w:val="60BC76A1"/>
    <w:rsid w:val="60F0637F"/>
    <w:rsid w:val="610B7637"/>
    <w:rsid w:val="61127BCE"/>
    <w:rsid w:val="612279BA"/>
    <w:rsid w:val="613A7F70"/>
    <w:rsid w:val="615F5624"/>
    <w:rsid w:val="616878B3"/>
    <w:rsid w:val="61786FF4"/>
    <w:rsid w:val="61D215CF"/>
    <w:rsid w:val="62593D9F"/>
    <w:rsid w:val="625C563D"/>
    <w:rsid w:val="626A1704"/>
    <w:rsid w:val="627921C2"/>
    <w:rsid w:val="62B362C8"/>
    <w:rsid w:val="62C1330E"/>
    <w:rsid w:val="6342085E"/>
    <w:rsid w:val="636F415C"/>
    <w:rsid w:val="63D22876"/>
    <w:rsid w:val="64917820"/>
    <w:rsid w:val="64AA1CC5"/>
    <w:rsid w:val="64BC6025"/>
    <w:rsid w:val="6528341F"/>
    <w:rsid w:val="65500EB4"/>
    <w:rsid w:val="656B2909"/>
    <w:rsid w:val="659C2241"/>
    <w:rsid w:val="65A3045D"/>
    <w:rsid w:val="65D97752"/>
    <w:rsid w:val="65E25E59"/>
    <w:rsid w:val="66307F76"/>
    <w:rsid w:val="66580EAF"/>
    <w:rsid w:val="66694D0D"/>
    <w:rsid w:val="667B4472"/>
    <w:rsid w:val="66D63B1B"/>
    <w:rsid w:val="66F041A8"/>
    <w:rsid w:val="67151E92"/>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23634F"/>
    <w:rsid w:val="69485FEA"/>
    <w:rsid w:val="69677DC0"/>
    <w:rsid w:val="69937EC7"/>
    <w:rsid w:val="69D64558"/>
    <w:rsid w:val="69E3623E"/>
    <w:rsid w:val="6A042548"/>
    <w:rsid w:val="6A471EFD"/>
    <w:rsid w:val="6AB57116"/>
    <w:rsid w:val="6B17424A"/>
    <w:rsid w:val="6B1F4E4B"/>
    <w:rsid w:val="6B2218FA"/>
    <w:rsid w:val="6B686C59"/>
    <w:rsid w:val="6B691672"/>
    <w:rsid w:val="6B9678B6"/>
    <w:rsid w:val="6BDB15BA"/>
    <w:rsid w:val="6BE97F42"/>
    <w:rsid w:val="6C0A41FD"/>
    <w:rsid w:val="6C2063E9"/>
    <w:rsid w:val="6C5E6A51"/>
    <w:rsid w:val="6C6513C3"/>
    <w:rsid w:val="6C744268"/>
    <w:rsid w:val="6C913746"/>
    <w:rsid w:val="6CD62D03"/>
    <w:rsid w:val="6CD97FB6"/>
    <w:rsid w:val="6D0E5050"/>
    <w:rsid w:val="6D4B22B8"/>
    <w:rsid w:val="6D930013"/>
    <w:rsid w:val="6E1A1656"/>
    <w:rsid w:val="6E231DD6"/>
    <w:rsid w:val="6E5A5288"/>
    <w:rsid w:val="6E826673"/>
    <w:rsid w:val="6EE013EE"/>
    <w:rsid w:val="6EE079F1"/>
    <w:rsid w:val="6EE42C42"/>
    <w:rsid w:val="6EF32161"/>
    <w:rsid w:val="6F240921"/>
    <w:rsid w:val="6F7F7CB0"/>
    <w:rsid w:val="6F94184B"/>
    <w:rsid w:val="6FE0165C"/>
    <w:rsid w:val="6FE10C44"/>
    <w:rsid w:val="70222744"/>
    <w:rsid w:val="7045513D"/>
    <w:rsid w:val="706D25DF"/>
    <w:rsid w:val="706D2B21"/>
    <w:rsid w:val="707B1384"/>
    <w:rsid w:val="70857A34"/>
    <w:rsid w:val="70985D3C"/>
    <w:rsid w:val="70D40AAB"/>
    <w:rsid w:val="70E50FE7"/>
    <w:rsid w:val="71047C73"/>
    <w:rsid w:val="7109004F"/>
    <w:rsid w:val="71103167"/>
    <w:rsid w:val="71157571"/>
    <w:rsid w:val="712E56F7"/>
    <w:rsid w:val="71691ABB"/>
    <w:rsid w:val="71AE1AEA"/>
    <w:rsid w:val="71CF3B6C"/>
    <w:rsid w:val="71E857EE"/>
    <w:rsid w:val="71F80F33"/>
    <w:rsid w:val="71FC2290"/>
    <w:rsid w:val="72196C9A"/>
    <w:rsid w:val="722922C6"/>
    <w:rsid w:val="727176A7"/>
    <w:rsid w:val="72CB03A1"/>
    <w:rsid w:val="732D4B5D"/>
    <w:rsid w:val="73393C88"/>
    <w:rsid w:val="7362513F"/>
    <w:rsid w:val="73771D49"/>
    <w:rsid w:val="737F683C"/>
    <w:rsid w:val="73A1354E"/>
    <w:rsid w:val="73E035D5"/>
    <w:rsid w:val="743D0241"/>
    <w:rsid w:val="749C3ADE"/>
    <w:rsid w:val="74A11E7D"/>
    <w:rsid w:val="7550071B"/>
    <w:rsid w:val="75590B0A"/>
    <w:rsid w:val="7582279F"/>
    <w:rsid w:val="75843EB5"/>
    <w:rsid w:val="75912FA2"/>
    <w:rsid w:val="75BB71AF"/>
    <w:rsid w:val="75F01962"/>
    <w:rsid w:val="760E19DF"/>
    <w:rsid w:val="76324B1E"/>
    <w:rsid w:val="764E52E0"/>
    <w:rsid w:val="76557F3E"/>
    <w:rsid w:val="76676A53"/>
    <w:rsid w:val="76944574"/>
    <w:rsid w:val="76A3294D"/>
    <w:rsid w:val="76B620A1"/>
    <w:rsid w:val="76D61240"/>
    <w:rsid w:val="76D766A5"/>
    <w:rsid w:val="76F20814"/>
    <w:rsid w:val="76F92565"/>
    <w:rsid w:val="77214B01"/>
    <w:rsid w:val="77462524"/>
    <w:rsid w:val="77501DCD"/>
    <w:rsid w:val="779A6594"/>
    <w:rsid w:val="77A21064"/>
    <w:rsid w:val="77E34EB2"/>
    <w:rsid w:val="781564B8"/>
    <w:rsid w:val="78224ACF"/>
    <w:rsid w:val="78CD6DCC"/>
    <w:rsid w:val="78D07CAF"/>
    <w:rsid w:val="78DE12D7"/>
    <w:rsid w:val="7917365E"/>
    <w:rsid w:val="79210683"/>
    <w:rsid w:val="799C3465"/>
    <w:rsid w:val="79B14EC4"/>
    <w:rsid w:val="7A025270"/>
    <w:rsid w:val="7A2A6B4A"/>
    <w:rsid w:val="7A681070"/>
    <w:rsid w:val="7A860C7C"/>
    <w:rsid w:val="7AB879FE"/>
    <w:rsid w:val="7B3264DD"/>
    <w:rsid w:val="7B634999"/>
    <w:rsid w:val="7B806179"/>
    <w:rsid w:val="7B81188A"/>
    <w:rsid w:val="7B9E2902"/>
    <w:rsid w:val="7BC854E2"/>
    <w:rsid w:val="7C0562EC"/>
    <w:rsid w:val="7C067A45"/>
    <w:rsid w:val="7C0D2ED7"/>
    <w:rsid w:val="7C1C072C"/>
    <w:rsid w:val="7C27683F"/>
    <w:rsid w:val="7C9E3594"/>
    <w:rsid w:val="7CB14B4D"/>
    <w:rsid w:val="7CF26969"/>
    <w:rsid w:val="7D25523C"/>
    <w:rsid w:val="7D6342C7"/>
    <w:rsid w:val="7DA24CFF"/>
    <w:rsid w:val="7DB23041"/>
    <w:rsid w:val="7DC238BF"/>
    <w:rsid w:val="7E0F69D9"/>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0"/>
    <w:qFormat/>
    <w:uiPriority w:val="9"/>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1"/>
    <w:qFormat/>
    <w:uiPriority w:val="99"/>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3"/>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4"/>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5">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Plain Text"/>
    <w:basedOn w:val="1"/>
    <w:link w:val="75"/>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6"/>
    <w:qFormat/>
    <w:uiPriority w:val="0"/>
    <w:pPr>
      <w:ind w:left="100" w:leftChars="2500"/>
    </w:pPr>
    <w:rPr>
      <w:sz w:val="24"/>
    </w:rPr>
  </w:style>
  <w:style w:type="paragraph" w:styleId="22">
    <w:name w:val="Body Text Indent 2"/>
    <w:basedOn w:val="1"/>
    <w:link w:val="54"/>
    <w:qFormat/>
    <w:uiPriority w:val="0"/>
    <w:pPr>
      <w:spacing w:after="120" w:line="480" w:lineRule="auto"/>
      <w:ind w:left="420" w:leftChars="200"/>
    </w:pPr>
  </w:style>
  <w:style w:type="paragraph" w:styleId="23">
    <w:name w:val="Balloon Text"/>
    <w:basedOn w:val="1"/>
    <w:link w:val="70"/>
    <w:qFormat/>
    <w:uiPriority w:val="0"/>
    <w:rPr>
      <w:sz w:val="18"/>
    </w:rPr>
  </w:style>
  <w:style w:type="paragraph" w:styleId="24">
    <w:name w:val="footer"/>
    <w:basedOn w:val="1"/>
    <w:link w:val="76"/>
    <w:qFormat/>
    <w:uiPriority w:val="99"/>
    <w:pPr>
      <w:tabs>
        <w:tab w:val="center" w:pos="4153"/>
        <w:tab w:val="right" w:pos="8306"/>
      </w:tabs>
      <w:snapToGrid w:val="0"/>
      <w:jc w:val="left"/>
    </w:pPr>
    <w:rPr>
      <w:sz w:val="18"/>
    </w:rPr>
  </w:style>
  <w:style w:type="paragraph" w:styleId="25">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6"/>
    <w:qFormat/>
    <w:uiPriority w:val="0"/>
    <w:pPr>
      <w:spacing w:after="120"/>
      <w:ind w:left="420" w:leftChars="200"/>
    </w:pPr>
    <w:rPr>
      <w:sz w:val="16"/>
    </w:rPr>
  </w:style>
  <w:style w:type="paragraph" w:styleId="32">
    <w:name w:val="index 9"/>
    <w:basedOn w:val="1"/>
    <w:next w:val="1"/>
    <w:unhideWhenUsed/>
    <w:qFormat/>
    <w:uiPriority w:val="0"/>
    <w:pPr>
      <w:ind w:left="2520" w:hanging="280"/>
    </w:pPr>
    <w:rPr>
      <w:rFonts w:eastAsia="仿宋"/>
      <w:sz w:val="28"/>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2"/>
    <w:next w:val="12"/>
    <w:link w:val="55"/>
    <w:qFormat/>
    <w:uiPriority w:val="0"/>
    <w:rPr>
      <w:b/>
    </w:rPr>
  </w:style>
  <w:style w:type="paragraph" w:styleId="39">
    <w:name w:val="Body Text First Indent 2"/>
    <w:basedOn w:val="16"/>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字符"/>
    <w:basedOn w:val="42"/>
    <w:link w:val="2"/>
    <w:qFormat/>
    <w:uiPriority w:val="9"/>
    <w:rPr>
      <w:rFonts w:ascii="Calibri" w:hAnsi="Calibri" w:eastAsia="宋体" w:cs="Times New Roman"/>
      <w:b/>
      <w:bCs/>
      <w:kern w:val="44"/>
      <w:sz w:val="36"/>
      <w:szCs w:val="44"/>
    </w:rPr>
  </w:style>
  <w:style w:type="character" w:customStyle="1" w:styleId="51">
    <w:name w:val="标题 2 字符"/>
    <w:basedOn w:val="42"/>
    <w:link w:val="4"/>
    <w:qFormat/>
    <w:uiPriority w:val="9"/>
    <w:rPr>
      <w:rFonts w:ascii="Arial" w:hAnsi="Arial" w:eastAsia="宋体" w:cs="Times New Roman"/>
      <w:b/>
      <w:bCs/>
      <w:sz w:val="24"/>
      <w:szCs w:val="32"/>
    </w:rPr>
  </w:style>
  <w:style w:type="character" w:customStyle="1" w:styleId="52">
    <w:name w:val="标题 3 字符"/>
    <w:basedOn w:val="42"/>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2"/>
    <w:qFormat/>
    <w:locked/>
    <w:uiPriority w:val="0"/>
  </w:style>
  <w:style w:type="character" w:customStyle="1" w:styleId="55">
    <w:name w:val="批注主题 字符"/>
    <w:link w:val="38"/>
    <w:qFormat/>
    <w:locked/>
    <w:uiPriority w:val="0"/>
    <w:rPr>
      <w:b/>
    </w:rPr>
  </w:style>
  <w:style w:type="character" w:customStyle="1" w:styleId="56">
    <w:name w:val="正文文本缩进 3 字符"/>
    <w:link w:val="31"/>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字符"/>
    <w:link w:val="25"/>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2"/>
    <w:qFormat/>
    <w:locked/>
    <w:uiPriority w:val="0"/>
  </w:style>
  <w:style w:type="character" w:customStyle="1" w:styleId="65">
    <w:name w:val="标题 字符"/>
    <w:link w:val="37"/>
    <w:qFormat/>
    <w:locked/>
    <w:uiPriority w:val="0"/>
    <w:rPr>
      <w:rFonts w:ascii="Arial" w:hAnsi="Arial"/>
      <w:b/>
      <w:sz w:val="32"/>
    </w:rPr>
  </w:style>
  <w:style w:type="character" w:customStyle="1" w:styleId="66">
    <w:name w:val="日期 字符"/>
    <w:link w:val="21"/>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3"/>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0"/>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9"/>
    <w:qFormat/>
    <w:locked/>
    <w:uiPriority w:val="0"/>
    <w:rPr>
      <w:rFonts w:ascii="宋体" w:hAnsi="Courier New"/>
    </w:rPr>
  </w:style>
  <w:style w:type="character" w:customStyle="1" w:styleId="76">
    <w:name w:val="页脚 字符"/>
    <w:link w:val="24"/>
    <w:qFormat/>
    <w:locked/>
    <w:uiPriority w:val="99"/>
    <w:rPr>
      <w:sz w:val="18"/>
    </w:rPr>
  </w:style>
  <w:style w:type="character" w:customStyle="1" w:styleId="77">
    <w:name w:val="Default Char"/>
    <w:link w:val="15"/>
    <w:qFormat/>
    <w:locked/>
    <w:uiPriority w:val="0"/>
    <w:rPr>
      <w:rFonts w:ascii="仿宋_GB2312" w:eastAsia="仿宋_GB2312"/>
      <w:color w:val="000000"/>
      <w:sz w:val="24"/>
    </w:rPr>
  </w:style>
  <w:style w:type="character" w:customStyle="1" w:styleId="78">
    <w:name w:val="页脚 Char"/>
    <w:qFormat/>
    <w:locked/>
    <w:uiPriority w:val="99"/>
    <w:rPr>
      <w:sz w:val="18"/>
    </w:rPr>
  </w:style>
  <w:style w:type="character" w:customStyle="1" w:styleId="79">
    <w:name w:val="批注文字 字符1"/>
    <w:basedOn w:val="42"/>
    <w:semiHidden/>
    <w:qFormat/>
    <w:uiPriority w:val="99"/>
  </w:style>
  <w:style w:type="character" w:customStyle="1" w:styleId="80">
    <w:name w:val="批注文字 字符11"/>
    <w:basedOn w:val="42"/>
    <w:qFormat/>
    <w:uiPriority w:val="0"/>
    <w:rPr>
      <w:rFonts w:cs="Times New Roman"/>
      <w:kern w:val="2"/>
      <w:sz w:val="21"/>
    </w:rPr>
  </w:style>
  <w:style w:type="character" w:customStyle="1" w:styleId="81">
    <w:name w:val="正文文本缩进 字符"/>
    <w:basedOn w:val="42"/>
    <w:link w:val="16"/>
    <w:qFormat/>
    <w:uiPriority w:val="99"/>
    <w:rPr>
      <w:rFonts w:ascii="Calibri" w:hAnsi="Calibri" w:eastAsia="宋体" w:cs="Times New Roman"/>
      <w:szCs w:val="20"/>
    </w:rPr>
  </w:style>
  <w:style w:type="character" w:customStyle="1" w:styleId="82">
    <w:name w:val="文档结构图 字符1"/>
    <w:basedOn w:val="42"/>
    <w:semiHidden/>
    <w:qFormat/>
    <w:uiPriority w:val="99"/>
    <w:rPr>
      <w:rFonts w:ascii="Microsoft YaHei UI" w:eastAsia="Microsoft YaHei UI"/>
      <w:sz w:val="18"/>
      <w:szCs w:val="18"/>
    </w:rPr>
  </w:style>
  <w:style w:type="character" w:customStyle="1" w:styleId="83">
    <w:name w:val="文档结构图 字符11"/>
    <w:basedOn w:val="42"/>
    <w:semiHidden/>
    <w:qFormat/>
    <w:uiPriority w:val="99"/>
    <w:rPr>
      <w:rFonts w:ascii="Microsoft YaHei UI" w:eastAsia="Microsoft YaHei UI" w:cs="Times New Roman"/>
      <w:kern w:val="2"/>
      <w:sz w:val="18"/>
      <w:szCs w:val="18"/>
    </w:rPr>
  </w:style>
  <w:style w:type="character" w:customStyle="1" w:styleId="84">
    <w:name w:val="正文文本 字符"/>
    <w:basedOn w:val="42"/>
    <w:link w:val="14"/>
    <w:qFormat/>
    <w:uiPriority w:val="99"/>
    <w:rPr>
      <w:rFonts w:ascii="Calibri" w:hAnsi="Calibri" w:eastAsia="新宋体" w:cs="Times New Roman"/>
      <w:szCs w:val="21"/>
    </w:rPr>
  </w:style>
  <w:style w:type="character" w:customStyle="1" w:styleId="85">
    <w:name w:val="纯文本 字符1"/>
    <w:basedOn w:val="42"/>
    <w:semiHidden/>
    <w:qFormat/>
    <w:uiPriority w:val="99"/>
    <w:rPr>
      <w:rFonts w:hAnsi="Courier New" w:cs="Courier New" w:asciiTheme="minorEastAsia"/>
    </w:rPr>
  </w:style>
  <w:style w:type="character" w:customStyle="1" w:styleId="86">
    <w:name w:val="纯文本 字符11"/>
    <w:basedOn w:val="42"/>
    <w:qFormat/>
    <w:uiPriority w:val="0"/>
    <w:rPr>
      <w:rFonts w:hAnsi="Courier New" w:cs="Courier New" w:asciiTheme="minorEastAsia" w:eastAsiaTheme="minorEastAsia"/>
      <w:kern w:val="2"/>
      <w:sz w:val="21"/>
    </w:rPr>
  </w:style>
  <w:style w:type="character" w:customStyle="1" w:styleId="87">
    <w:name w:val="页眉 字符1"/>
    <w:basedOn w:val="42"/>
    <w:semiHidden/>
    <w:qFormat/>
    <w:uiPriority w:val="99"/>
    <w:rPr>
      <w:sz w:val="18"/>
      <w:szCs w:val="18"/>
    </w:rPr>
  </w:style>
  <w:style w:type="character" w:customStyle="1" w:styleId="88">
    <w:name w:val="页眉 字符11"/>
    <w:basedOn w:val="42"/>
    <w:semiHidden/>
    <w:qFormat/>
    <w:uiPriority w:val="99"/>
    <w:rPr>
      <w:rFonts w:cs="Times New Roman"/>
      <w:kern w:val="2"/>
      <w:sz w:val="18"/>
      <w:szCs w:val="18"/>
    </w:rPr>
  </w:style>
  <w:style w:type="character" w:customStyle="1" w:styleId="89">
    <w:name w:val="批注框文本 字符1"/>
    <w:basedOn w:val="42"/>
    <w:semiHidden/>
    <w:qFormat/>
    <w:uiPriority w:val="99"/>
    <w:rPr>
      <w:sz w:val="18"/>
      <w:szCs w:val="18"/>
    </w:rPr>
  </w:style>
  <w:style w:type="character" w:customStyle="1" w:styleId="90">
    <w:name w:val="批注框文本 字符11"/>
    <w:basedOn w:val="42"/>
    <w:semiHidden/>
    <w:qFormat/>
    <w:uiPriority w:val="99"/>
    <w:rPr>
      <w:rFonts w:cs="Times New Roman"/>
      <w:kern w:val="2"/>
      <w:sz w:val="18"/>
      <w:szCs w:val="18"/>
    </w:rPr>
  </w:style>
  <w:style w:type="character" w:customStyle="1" w:styleId="91">
    <w:name w:val="日期 字符1"/>
    <w:basedOn w:val="42"/>
    <w:semiHidden/>
    <w:qFormat/>
    <w:uiPriority w:val="99"/>
  </w:style>
  <w:style w:type="character" w:customStyle="1" w:styleId="92">
    <w:name w:val="日期 字符11"/>
    <w:basedOn w:val="42"/>
    <w:semiHidden/>
    <w:qFormat/>
    <w:uiPriority w:val="99"/>
    <w:rPr>
      <w:rFonts w:cs="Times New Roman"/>
      <w:kern w:val="2"/>
      <w:sz w:val="21"/>
    </w:rPr>
  </w:style>
  <w:style w:type="character" w:customStyle="1" w:styleId="93">
    <w:name w:val="页脚 字符1"/>
    <w:basedOn w:val="42"/>
    <w:semiHidden/>
    <w:qFormat/>
    <w:uiPriority w:val="99"/>
    <w:rPr>
      <w:sz w:val="18"/>
      <w:szCs w:val="18"/>
    </w:rPr>
  </w:style>
  <w:style w:type="character" w:customStyle="1" w:styleId="94">
    <w:name w:val="页脚 字符11"/>
    <w:basedOn w:val="42"/>
    <w:semiHidden/>
    <w:qFormat/>
    <w:uiPriority w:val="99"/>
    <w:rPr>
      <w:rFonts w:cs="Times New Roman"/>
      <w:kern w:val="2"/>
      <w:sz w:val="18"/>
      <w:szCs w:val="18"/>
    </w:rPr>
  </w:style>
  <w:style w:type="character" w:customStyle="1" w:styleId="95">
    <w:name w:val="正文文本缩进 2 字符1"/>
    <w:basedOn w:val="42"/>
    <w:semiHidden/>
    <w:qFormat/>
    <w:uiPriority w:val="99"/>
  </w:style>
  <w:style w:type="character" w:customStyle="1" w:styleId="96">
    <w:name w:val="正文文本缩进 2 字符11"/>
    <w:basedOn w:val="42"/>
    <w:semiHidden/>
    <w:qFormat/>
    <w:uiPriority w:val="99"/>
    <w:rPr>
      <w:rFonts w:cs="Times New Roman"/>
      <w:kern w:val="2"/>
      <w:sz w:val="21"/>
    </w:rPr>
  </w:style>
  <w:style w:type="character" w:customStyle="1" w:styleId="97">
    <w:name w:val="正文文本缩进 3 字符1"/>
    <w:basedOn w:val="42"/>
    <w:semiHidden/>
    <w:qFormat/>
    <w:uiPriority w:val="99"/>
    <w:rPr>
      <w:sz w:val="16"/>
      <w:szCs w:val="16"/>
    </w:rPr>
  </w:style>
  <w:style w:type="character" w:customStyle="1" w:styleId="98">
    <w:name w:val="正文文本缩进 3 字符11"/>
    <w:basedOn w:val="42"/>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2"/>
    <w:qFormat/>
    <w:uiPriority w:val="10"/>
    <w:rPr>
      <w:rFonts w:asciiTheme="majorHAnsi" w:hAnsiTheme="majorHAnsi" w:eastAsiaTheme="majorEastAsia" w:cstheme="majorBidi"/>
      <w:b/>
      <w:bCs/>
      <w:sz w:val="32"/>
      <w:szCs w:val="32"/>
    </w:rPr>
  </w:style>
  <w:style w:type="character" w:customStyle="1" w:styleId="102">
    <w:name w:val="标题 字符11"/>
    <w:basedOn w:val="42"/>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9"/>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7">
    <w:name w:val="font21"/>
    <w:basedOn w:val="42"/>
    <w:unhideWhenUsed/>
    <w:qFormat/>
    <w:uiPriority w:val="99"/>
    <w:rPr>
      <w:rFonts w:hint="default" w:ascii="宋体" w:hAnsi="宋体" w:eastAsia="宋体" w:cs="宋体"/>
      <w:b/>
      <w:color w:val="000000"/>
      <w:sz w:val="18"/>
      <w:szCs w:val="18"/>
    </w:rPr>
  </w:style>
  <w:style w:type="character" w:customStyle="1" w:styleId="138">
    <w:name w:val="font71"/>
    <w:basedOn w:val="42"/>
    <w:unhideWhenUsed/>
    <w:qFormat/>
    <w:uiPriority w:val="99"/>
    <w:rPr>
      <w:rFonts w:hint="eastAsia" w:ascii="黑体" w:hAnsi="宋体" w:eastAsia="黑体" w:cs="黑体"/>
      <w:b/>
      <w:color w:val="000000"/>
      <w:sz w:val="18"/>
      <w:szCs w:val="18"/>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40749</Words>
  <Characters>45814</Characters>
  <Lines>305</Lines>
  <Paragraphs>86</Paragraphs>
  <TotalTime>29</TotalTime>
  <ScaleCrop>false</ScaleCrop>
  <LinksUpToDate>false</LinksUpToDate>
  <CharactersWithSpaces>51585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2022-07-01T03:19:00Z</cp:lastPrinted>
  <dcterms:modified xsi:type="dcterms:W3CDTF">2025-11-14T10:27:48Z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eyJoZGlkIjoiYjJiNDg4Njg0OWE0MzQwNGQ0MTM2ZDg1MjkwZTQwMmEiLCJ1c2VySWQiOiIzNDUxNjgyNDgifQ==</vt:lpwstr>
  </property>
</Properties>
</file>