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中国重汽集团</w:t>
      </w:r>
      <w:r>
        <w:rPr>
          <w:rFonts w:hint="eastAsia" w:ascii="Calibri" w:hAnsi="宋体" w:eastAsia="宋体" w:cs="Times New Roman"/>
          <w:b/>
          <w:bCs/>
          <w:color w:val="000000"/>
          <w:spacing w:val="-8"/>
          <w:sz w:val="48"/>
          <w:szCs w:val="44"/>
        </w:rPr>
        <w:t>济南商用车制造公司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新增X型臂螺栓拧紧工具</w:t>
      </w:r>
      <w:r>
        <w:rPr>
          <w:rFonts w:hint="eastAsia" w:ascii="Calibri" w:hAnsi="宋体" w:eastAsia="宋体" w:cs="Times New Roman"/>
          <w:b/>
          <w:bCs/>
          <w:color w:val="000000"/>
          <w:spacing w:val="-8"/>
          <w:sz w:val="48"/>
          <w:szCs w:val="44"/>
          <w:lang w:val="en-US" w:eastAsia="zh-CN"/>
        </w:rPr>
        <w:t>采购</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pStyle w:val="21"/>
      </w:pPr>
    </w:p>
    <w:p>
      <w:pPr>
        <w:pStyle w:val="21"/>
      </w:pPr>
    </w:p>
    <w:p>
      <w:pPr>
        <w:pStyle w:val="21"/>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8</w:t>
          </w:r>
        </w:p>
        <w:p>
          <w:pPr>
            <w:pStyle w:val="28"/>
            <w:tabs>
              <w:tab w:val="right" w:leader="dot" w:pos="9071"/>
            </w:tabs>
            <w:spacing w:line="480" w:lineRule="auto"/>
            <w:rPr>
              <w:rFonts w:hint="eastAsia" w:eastAsia="宋体"/>
              <w:color w:val="auto"/>
              <w:sz w:val="32"/>
              <w:szCs w:val="32"/>
              <w:lang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4</w:t>
          </w:r>
        </w:p>
        <w:p>
          <w:pPr>
            <w:pStyle w:val="28"/>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pPr>
            <w:pStyle w:val="28"/>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63</w:t>
          </w:r>
        </w:p>
        <w:p>
          <w:pPr>
            <w:pStyle w:val="28"/>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76</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1"/>
                <w:rFonts w:ascii="宋体" w:hAnsi="宋体" w:eastAsia="宋体" w:cs="宋体"/>
                <w:b/>
                <w:sz w:val="28"/>
                <w:szCs w:val="28"/>
              </w:rPr>
            </w:pPr>
            <w:bookmarkStart w:id="3" w:name="_Toc346372875"/>
            <w:r>
              <w:rPr>
                <w:rStyle w:val="13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：新增X型臂螺栓拧紧工具采购项目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u w:val="single"/>
                <w:lang w:val="en-US" w:eastAsia="zh-CN"/>
              </w:rPr>
              <w:t>CGZX2024020051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宋体"/>
                <w:b/>
                <w:bCs/>
                <w:sz w:val="24"/>
                <w:szCs w:val="24"/>
              </w:rPr>
              <w:t>招标内容：</w:t>
            </w:r>
            <w:r>
              <w:rPr>
                <w:rFonts w:hint="eastAsia" w:ascii="宋体" w:hAnsi="宋体" w:eastAsia="宋体" w:cs="Times New Roman"/>
                <w:color w:val="000000"/>
                <w:sz w:val="24"/>
                <w:szCs w:val="24"/>
                <w:highlight w:val="yellow"/>
                <w:u w:val="single"/>
                <w:lang w:val="en-US" w:eastAsia="zh-CN"/>
              </w:rPr>
              <w:t>2</w:t>
            </w:r>
            <w:r>
              <w:rPr>
                <w:rFonts w:hint="eastAsia" w:ascii="宋体" w:hAnsi="宋体" w:eastAsia="宋体" w:cs="Times New Roman"/>
                <w:color w:val="000000"/>
                <w:sz w:val="24"/>
                <w:szCs w:val="24"/>
                <w:highlight w:val="yellow"/>
                <w:u w:val="single"/>
              </w:rPr>
              <w:t>套</w:t>
            </w:r>
            <w:r>
              <w:rPr>
                <w:rFonts w:hint="eastAsia" w:ascii="宋体" w:hAnsi="宋体" w:eastAsia="宋体" w:cs="宋体"/>
                <w:i w:val="0"/>
                <w:iCs w:val="0"/>
                <w:color w:val="000000"/>
                <w:sz w:val="24"/>
                <w:szCs w:val="24"/>
                <w:highlight w:val="yellow"/>
                <w:u w:val="single"/>
              </w:rPr>
              <w:t>单轴定值拧紧工具</w:t>
            </w:r>
            <w:r>
              <w:rPr>
                <w:rFonts w:hint="eastAsia" w:ascii="宋体" w:hAnsi="宋体" w:eastAsia="宋体" w:cs="宋体"/>
                <w:i w:val="0"/>
                <w:iCs w:val="0"/>
                <w:color w:val="000000"/>
                <w:sz w:val="24"/>
                <w:szCs w:val="24"/>
                <w:highlight w:val="yellow"/>
                <w:u w:val="single"/>
                <w:lang w:eastAsia="zh-CN"/>
              </w:rPr>
              <w:t>、</w:t>
            </w:r>
            <w:r>
              <w:rPr>
                <w:rFonts w:hint="eastAsia" w:ascii="宋体" w:hAnsi="宋体" w:eastAsia="宋体" w:cs="Times New Roman"/>
                <w:color w:val="000000"/>
                <w:sz w:val="24"/>
                <w:szCs w:val="24"/>
                <w:highlight w:val="yellow"/>
                <w:u w:val="single"/>
                <w:lang w:val="en-US" w:eastAsia="zh-CN"/>
              </w:rPr>
              <w:t>1</w:t>
            </w:r>
            <w:r>
              <w:rPr>
                <w:rFonts w:hint="eastAsia" w:ascii="宋体" w:hAnsi="宋体" w:eastAsia="宋体" w:cs="Times New Roman"/>
                <w:color w:val="000000"/>
                <w:sz w:val="24"/>
                <w:szCs w:val="24"/>
                <w:highlight w:val="yellow"/>
                <w:u w:val="single"/>
              </w:rPr>
              <w:t>套</w:t>
            </w:r>
            <w:r>
              <w:rPr>
                <w:rFonts w:hint="eastAsia" w:ascii="宋体" w:hAnsi="宋体" w:eastAsia="宋体" w:cs="宋体"/>
                <w:i w:val="0"/>
                <w:iCs w:val="0"/>
                <w:color w:val="000000"/>
                <w:sz w:val="24"/>
                <w:szCs w:val="24"/>
                <w:highlight w:val="yellow"/>
                <w:u w:val="single"/>
                <w:lang w:val="en-US" w:eastAsia="zh-CN"/>
              </w:rPr>
              <w:t>双</w:t>
            </w:r>
            <w:r>
              <w:rPr>
                <w:rFonts w:hint="eastAsia" w:ascii="宋体" w:hAnsi="宋体" w:eastAsia="宋体" w:cs="宋体"/>
                <w:i w:val="0"/>
                <w:iCs w:val="0"/>
                <w:color w:val="000000"/>
                <w:sz w:val="24"/>
                <w:szCs w:val="24"/>
                <w:highlight w:val="yellow"/>
                <w:u w:val="single"/>
              </w:rPr>
              <w:t>轴定值拧紧工具</w:t>
            </w:r>
          </w:p>
          <w:p>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建设地点：济南</w:t>
            </w:r>
            <w:r>
              <w:rPr>
                <w:rFonts w:hint="eastAsia" w:ascii="宋体" w:hAnsi="宋体" w:eastAsia="宋体" w:cs="Times New Roman"/>
                <w:b/>
                <w:bCs/>
                <w:color w:val="000000"/>
                <w:sz w:val="24"/>
                <w:szCs w:val="24"/>
                <w:lang w:val="en-US" w:eastAsia="zh-CN"/>
              </w:rPr>
              <w:t>商用车</w:t>
            </w:r>
            <w:r>
              <w:rPr>
                <w:rFonts w:hint="eastAsia" w:ascii="宋体" w:hAnsi="宋体" w:eastAsia="宋体" w:cs="Times New Roman"/>
                <w:b/>
                <w:bCs/>
                <w:color w:val="000000"/>
                <w:sz w:val="24"/>
                <w:szCs w:val="24"/>
              </w:rPr>
              <w:t>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商务联系人：</w:t>
            </w:r>
            <w:r>
              <w:rPr>
                <w:rFonts w:hint="eastAsia" w:ascii="宋体" w:hAnsi="宋体" w:eastAsia="宋体" w:cs="宋体"/>
                <w:sz w:val="24"/>
                <w:szCs w:val="24"/>
                <w:lang w:val="en-US" w:eastAsia="zh-CN"/>
              </w:rPr>
              <w:t>彭昆</w:t>
            </w:r>
          </w:p>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rPr>
              <w:t>1</w:t>
            </w:r>
            <w:r>
              <w:rPr>
                <w:rFonts w:hint="eastAsia" w:ascii="宋体" w:hAnsi="宋体" w:eastAsia="宋体" w:cs="宋体"/>
                <w:sz w:val="24"/>
                <w:szCs w:val="24"/>
                <w:lang w:val="en-US" w:eastAsia="zh-CN"/>
              </w:rPr>
              <w:t>3953104179</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lang w:val="en-US" w:eastAsia="zh-CN"/>
              </w:rPr>
              <w:t>pengkun</w:t>
            </w:r>
            <w:r>
              <w:rPr>
                <w:rFonts w:hint="eastAsia" w:ascii="宋体" w:hAnsi="宋体" w:eastAsia="宋体" w:cs="宋体"/>
                <w:sz w:val="24"/>
                <w:szCs w:val="24"/>
              </w:rPr>
              <w:t>@sinotruk.com</w:t>
            </w:r>
          </w:p>
          <w:p>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lang w:val="en-US" w:eastAsia="zh-CN"/>
              </w:rPr>
              <w:t>技术</w:t>
            </w:r>
            <w:r>
              <w:rPr>
                <w:rFonts w:hint="eastAsia" w:ascii="宋体" w:hAnsi="宋体" w:eastAsia="宋体" w:cs="宋体"/>
                <w:b/>
                <w:bCs/>
                <w:sz w:val="24"/>
                <w:szCs w:val="24"/>
                <w:highlight w:val="yellow"/>
              </w:rPr>
              <w:t>联系人：</w:t>
            </w:r>
            <w:r>
              <w:rPr>
                <w:rFonts w:hint="eastAsia" w:ascii="宋体" w:hAnsi="宋体" w:eastAsia="宋体" w:cs="宋体"/>
                <w:sz w:val="24"/>
                <w:szCs w:val="24"/>
                <w:highlight w:val="yellow"/>
                <w:lang w:val="en-US" w:eastAsia="zh-CN"/>
              </w:rPr>
              <w:t>袁勇彪</w:t>
            </w:r>
          </w:p>
          <w:p>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电话：</w:t>
            </w:r>
            <w:r>
              <w:rPr>
                <w:rFonts w:hint="eastAsia" w:ascii="宋体" w:hAnsi="宋体" w:eastAsia="宋体" w:cs="宋体"/>
                <w:sz w:val="24"/>
                <w:szCs w:val="24"/>
                <w:highlight w:val="yellow"/>
                <w:lang w:val="en-US" w:eastAsia="zh-CN"/>
              </w:rPr>
              <w:t>15935818998</w:t>
            </w:r>
          </w:p>
          <w:p>
            <w:pPr>
              <w:ind w:firstLine="482" w:firstLineChars="200"/>
              <w:rPr>
                <w:rFonts w:hint="default"/>
                <w:lang w:val="en-US"/>
              </w:rPr>
            </w:pPr>
            <w:r>
              <w:rPr>
                <w:rFonts w:hint="eastAsia" w:ascii="宋体" w:hAnsi="宋体" w:eastAsia="宋体" w:cs="宋体"/>
                <w:b/>
                <w:bCs/>
                <w:sz w:val="24"/>
                <w:szCs w:val="24"/>
                <w:highlight w:val="yellow"/>
                <w:lang w:val="en-US" w:eastAsia="zh-CN"/>
              </w:rPr>
              <w:t>邮箱</w:t>
            </w:r>
            <w:r>
              <w:rPr>
                <w:rFonts w:hint="eastAsia" w:ascii="宋体" w:hAnsi="宋体" w:eastAsia="宋体" w:cs="宋体"/>
                <w:b/>
                <w:bCs/>
                <w:sz w:val="24"/>
                <w:szCs w:val="24"/>
                <w:highlight w:val="yellow"/>
              </w:rPr>
              <w:t>：</w:t>
            </w:r>
            <w:r>
              <w:rPr>
                <w:rFonts w:hint="eastAsia" w:ascii="宋体" w:hAnsi="宋体" w:eastAsia="宋体" w:cs="宋体"/>
                <w:sz w:val="24"/>
                <w:szCs w:val="24"/>
                <w:highlight w:val="yellow"/>
                <w:lang w:val="en-US" w:eastAsia="zh-CN"/>
              </w:rPr>
              <w:t>yuanyongbiao@sinotruk.com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（如收口收边等）、配合办理政府验收手续（不限质监验收、消防验收、环评及职业卫生评价、安全评价等）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u w:val="single"/>
                <w:lang w:val="en-US" w:eastAsia="zh-CN"/>
              </w:rPr>
              <w:t>110</w:t>
            </w:r>
            <w:r>
              <w:rPr>
                <w:rFonts w:hint="eastAsia" w:hAnsi="宋体" w:eastAsia="宋体" w:cs="Times New Roman"/>
                <w:color w:val="000000"/>
                <w:sz w:val="24"/>
                <w:szCs w:val="24"/>
                <w:highlight w:val="none"/>
                <w:lang w:val="en-US" w:eastAsia="zh-CN"/>
              </w:rPr>
              <w:t>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2</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w:t>
            </w:r>
            <w:r>
              <w:rPr>
                <w:rFonts w:hAnsi="宋体" w:eastAsia="宋体" w:cs="宋体"/>
                <w:b/>
                <w:sz w:val="24"/>
                <w:szCs w:val="24"/>
              </w:rPr>
              <w:t>和</w:t>
            </w:r>
            <w:r>
              <w:rPr>
                <w:rFonts w:hint="eastAsia" w:hAnsi="宋体" w:eastAsia="宋体" w:cs="宋体"/>
                <w:b/>
                <w:sz w:val="24"/>
                <w:szCs w:val="24"/>
              </w:rPr>
              <w:t>扫描件（需盖章）</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6.</w:t>
            </w:r>
            <w:r>
              <w:rPr>
                <w:rFonts w:hint="eastAsia" w:ascii="宋体" w:hAnsi="宋体" w:eastAsia="宋体" w:cs="宋体"/>
                <w:color w:val="000000"/>
                <w:sz w:val="24"/>
                <w:szCs w:val="24"/>
                <w:highlight w:val="none"/>
              </w:rPr>
              <w:t>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r>
              <w:rPr>
                <w:rFonts w:hint="eastAsia" w:hAnsi="宋体" w:eastAsia="宋体" w:cs="宋体"/>
                <w:color w:val="000000"/>
                <w:sz w:val="24"/>
                <w:szCs w:val="24"/>
              </w:rPr>
              <w:t>；</w:t>
            </w:r>
          </w:p>
          <w:p>
            <w:pPr>
              <w:pStyle w:val="21"/>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21"/>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b/>
                <w:bCs/>
                <w:color w:val="000000"/>
                <w:sz w:val="24"/>
                <w:szCs w:val="24"/>
                <w:highlight w:val="none"/>
                <w:lang w:val="en-US" w:eastAsia="zh-CN"/>
              </w:rPr>
              <w:t>征信报告</w:t>
            </w:r>
            <w:r>
              <w:rPr>
                <w:rFonts w:hint="eastAsia" w:ascii="宋体" w:hAnsi="宋体" w:eastAsia="宋体" w:cs="宋体"/>
                <w:color w:val="000000"/>
                <w:sz w:val="24"/>
                <w:szCs w:val="24"/>
                <w:highlight w:val="none"/>
                <w:lang w:val="en-US" w:eastAsia="zh-CN"/>
              </w:rPr>
              <w:t>）未显示异常；</w:t>
            </w:r>
          </w:p>
          <w:p>
            <w:pPr>
              <w:pStyle w:val="21"/>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1"/>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u w:val="single"/>
                <w:lang w:val="en-US" w:eastAsia="zh-CN"/>
              </w:rPr>
              <w:t>4</w:t>
            </w:r>
            <w:r>
              <w:rPr>
                <w:rFonts w:hint="eastAsia" w:eastAsia="宋体" w:cs="宋体"/>
                <w:highlight w:val="yellow"/>
              </w:rPr>
              <w:t>月</w:t>
            </w:r>
            <w:r>
              <w:rPr>
                <w:rFonts w:hint="eastAsia" w:eastAsia="宋体" w:cs="宋体"/>
                <w:highlight w:val="yellow"/>
                <w:u w:val="single"/>
                <w:lang w:val="en-US" w:eastAsia="zh-CN"/>
              </w:rPr>
              <w:t>8</w:t>
            </w:r>
            <w:r>
              <w:rPr>
                <w:rFonts w:hint="eastAsia" w:eastAsia="宋体" w:cs="宋体"/>
                <w:highlight w:val="yellow"/>
              </w:rPr>
              <w:t>日</w:t>
            </w:r>
            <w:r>
              <w:rPr>
                <w:rFonts w:hint="eastAsia" w:eastAsia="宋体" w:cs="宋体"/>
                <w:highlight w:val="yellow"/>
                <w:lang w:val="en-US" w:eastAsia="zh-CN"/>
              </w:rPr>
              <w:t>17</w:t>
            </w:r>
            <w:r>
              <w:rPr>
                <w:rFonts w:hint="eastAsia" w:eastAsia="宋体" w:cs="宋体"/>
                <w:highlight w:val="yellow"/>
              </w:rPr>
              <w:t>时00分00秒</w:t>
            </w:r>
          </w:p>
          <w:p>
            <w:pPr>
              <w:pStyle w:val="114"/>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w:t>
            </w:r>
            <w:r>
              <w:rPr>
                <w:rFonts w:hint="eastAsia" w:eastAsia="宋体" w:cs="宋体"/>
                <w:b/>
                <w:bCs w:val="0"/>
                <w:sz w:val="24"/>
                <w:szCs w:val="24"/>
                <w:highlight w:val="yellow"/>
              </w:rPr>
              <w:t>盖章</w:t>
            </w:r>
            <w:r>
              <w:rPr>
                <w:rFonts w:hint="eastAsia" w:eastAsia="宋体" w:cs="宋体"/>
                <w:bCs/>
                <w:sz w:val="24"/>
                <w:szCs w:val="24"/>
                <w:highlight w:val="yellow"/>
              </w:rPr>
              <w:t>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lang w:val="en-US" w:eastAsia="zh-CN"/>
              </w:rPr>
              <w:t>彭昆</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3953104179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pPr>
              <w:pStyle w:val="21"/>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2"/>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bookmarkStart w:id="132" w:name="_GoBack"/>
            <w:bookmarkEnd w:id="132"/>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highlight w:val="yellow"/>
              </w:rPr>
              <w:t>最终定标后，分别与建设地所在单位签署采购合同</w:t>
            </w:r>
            <w:r>
              <w:rPr>
                <w:rFonts w:hint="eastAsia" w:ascii="宋体" w:hAnsi="宋体" w:eastAsia="宋体" w:cs="宋体"/>
                <w:sz w:val="24"/>
                <w:szCs w:val="24"/>
                <w:lang w:eastAsia="zh-CN"/>
              </w:rPr>
              <w:t>。</w:t>
            </w:r>
          </w:p>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1"/>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Times New Roman"/>
                <w:b/>
                <w:bCs/>
                <w:color w:val="000000"/>
                <w:sz w:val="24"/>
                <w:szCs w:val="24"/>
                <w:highlight w:val="yellow"/>
              </w:rPr>
              <w:t>济南</w:t>
            </w:r>
            <w:r>
              <w:rPr>
                <w:rFonts w:hint="eastAsia" w:hAnsi="宋体" w:eastAsia="宋体" w:cs="Times New Roman"/>
                <w:b/>
                <w:bCs/>
                <w:color w:val="000000"/>
                <w:sz w:val="24"/>
                <w:szCs w:val="24"/>
                <w:highlight w:val="yellow"/>
                <w:lang w:val="en-US" w:eastAsia="zh-CN"/>
              </w:rPr>
              <w:t>商用车</w:t>
            </w:r>
            <w:r>
              <w:rPr>
                <w:rFonts w:hint="eastAsia" w:hAnsi="宋体" w:eastAsia="宋体" w:cs="Times New Roman"/>
                <w:b/>
                <w:bCs/>
                <w:color w:val="000000"/>
                <w:sz w:val="24"/>
                <w:szCs w:val="24"/>
                <w:highlight w:val="yellow"/>
              </w:rPr>
              <w:t>制造公司</w:t>
            </w:r>
            <w:r>
              <w:rPr>
                <w:rFonts w:hint="eastAsia" w:hAnsi="宋体" w:eastAsia="宋体" w:cs="Times New Roman"/>
                <w:b/>
                <w:bCs/>
                <w:color w:val="000000"/>
                <w:sz w:val="24"/>
                <w:szCs w:val="24"/>
                <w:lang w:eastAsia="zh-CN"/>
              </w:rPr>
              <w:t>（</w:t>
            </w:r>
            <w:r>
              <w:rPr>
                <w:rFonts w:hint="eastAsia" w:ascii="宋体" w:hAnsi="宋体" w:eastAsia="宋体" w:cs="Times New Roman"/>
                <w:b/>
                <w:bCs/>
                <w:color w:val="000000"/>
                <w:sz w:val="24"/>
                <w:szCs w:val="24"/>
                <w:highlight w:val="none"/>
              </w:rPr>
              <w:t>山东省济南市</w:t>
            </w:r>
            <w:r>
              <w:rPr>
                <w:rFonts w:hint="eastAsia" w:hAnsi="宋体" w:eastAsia="宋体" w:cs="Times New Roman"/>
                <w:b/>
                <w:bCs/>
                <w:color w:val="000000"/>
                <w:sz w:val="24"/>
                <w:szCs w:val="24"/>
                <w:highlight w:val="none"/>
                <w:lang w:val="en-US" w:eastAsia="zh-CN"/>
              </w:rPr>
              <w:t>章丘</w:t>
            </w:r>
            <w:r>
              <w:rPr>
                <w:rFonts w:hint="eastAsia" w:ascii="宋体" w:hAnsi="宋体" w:eastAsia="宋体" w:cs="Times New Roman"/>
                <w:b/>
                <w:bCs/>
                <w:color w:val="000000"/>
                <w:sz w:val="24"/>
                <w:szCs w:val="24"/>
                <w:highlight w:val="none"/>
              </w:rPr>
              <w:t>区</w:t>
            </w:r>
            <w:r>
              <w:rPr>
                <w:rFonts w:hint="eastAsia" w:hAnsi="宋体" w:eastAsia="宋体" w:cs="Times New Roman"/>
                <w:b/>
                <w:bCs/>
                <w:color w:val="000000"/>
                <w:sz w:val="24"/>
                <w:szCs w:val="24"/>
                <w:highlight w:val="none"/>
                <w:lang w:val="en-US" w:eastAsia="zh-CN"/>
              </w:rPr>
              <w:t>世纪大道7777号</w:t>
            </w:r>
            <w:r>
              <w:rPr>
                <w:rFonts w:hint="eastAsia" w:hAnsi="宋体" w:eastAsia="宋体" w:cs="Times New Roman"/>
                <w:b/>
                <w:bCs/>
                <w:color w:val="000000"/>
                <w:sz w:val="24"/>
                <w:szCs w:val="24"/>
                <w:lang w:eastAsia="zh-CN"/>
              </w:rPr>
              <w:t>）</w:t>
            </w:r>
            <w:r>
              <w:rPr>
                <w:rFonts w:hint="eastAsia" w:hAnsi="宋体" w:eastAsia="宋体" w:cs="Times New Roman"/>
                <w:b/>
                <w:bCs/>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6"/>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21"/>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ascii="宋体" w:hAnsi="宋体" w:eastAsia="宋体" w:cs="宋体"/>
                <w:sz w:val="24"/>
                <w:szCs w:val="24"/>
              </w:rPr>
              <w:t>设备全部到齐</w:t>
            </w:r>
            <w:r>
              <w:rPr>
                <w:rFonts w:hint="eastAsia" w:eastAsia="宋体" w:cs="Times New Roman"/>
                <w:color w:val="000000"/>
                <w:sz w:val="24"/>
                <w:szCs w:val="24"/>
                <w:highlight w:val="none"/>
                <w:lang w:val="en-US" w:eastAsia="zh-CN"/>
              </w:rPr>
              <w:t>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hint="eastAsia" w:eastAsia="宋体" w:cs="Times New Roman"/>
                <w:b/>
                <w:bCs/>
                <w:color w:val="000000"/>
                <w:sz w:val="24"/>
                <w:szCs w:val="24"/>
                <w:highlight w:val="none"/>
                <w:lang w:val="en-US" w:eastAsia="zh-CN"/>
              </w:rPr>
              <w:t>30</w:t>
            </w:r>
            <w:r>
              <w:rPr>
                <w:rFonts w:eastAsia="宋体" w:cs="Times New Roman"/>
                <w:b/>
                <w:bCs/>
                <w:color w:val="000000"/>
                <w:sz w:val="24"/>
                <w:szCs w:val="24"/>
                <w:highlight w:val="none"/>
              </w:rPr>
              <w:t>%</w:t>
            </w:r>
            <w:r>
              <w:rPr>
                <w:rFonts w:eastAsia="宋体" w:cs="Times New Roman"/>
                <w:color w:val="000000"/>
                <w:sz w:val="24"/>
                <w:szCs w:val="24"/>
                <w:highlight w:val="none"/>
              </w:rPr>
              <w:t>的收据并提供合同价款</w:t>
            </w:r>
            <w:r>
              <w:rPr>
                <w:rFonts w:hint="eastAsia" w:eastAsia="宋体" w:cs="Times New Roman"/>
                <w:b/>
                <w:bCs/>
                <w:color w:val="000000"/>
                <w:sz w:val="24"/>
                <w:szCs w:val="24"/>
                <w:highlight w:val="none"/>
                <w:lang w:val="en-US" w:eastAsia="zh-CN"/>
              </w:rPr>
              <w:t>30</w:t>
            </w:r>
            <w:r>
              <w:rPr>
                <w:rFonts w:eastAsia="宋体" w:cs="Times New Roman"/>
                <w:b/>
                <w:bCs/>
                <w:color w:val="000000"/>
                <w:sz w:val="24"/>
                <w:szCs w:val="24"/>
                <w:highlight w:val="none"/>
              </w:rPr>
              <w:t>%</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rPr>
              <w:t>【</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21"/>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ascii="宋体" w:hAnsi="Courier New" w:eastAsia="宋体" w:cs="Times New Roman"/>
                <w:color w:val="000000"/>
                <w:sz w:val="24"/>
                <w:szCs w:val="24"/>
                <w:highlight w:val="none"/>
              </w:rPr>
              <w:t>【</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hint="eastAsia" w:hAnsi="宋体" w:eastAsia="宋体" w:cs="宋体"/>
                <w:color w:val="000000"/>
                <w:sz w:val="24"/>
                <w:szCs w:val="24"/>
                <w:highlight w:val="none"/>
              </w:rPr>
              <w:t>支付</w:t>
            </w:r>
            <w:r>
              <w:rPr>
                <w:rFonts w:hint="eastAsia" w:hAnsi="宋体" w:eastAsia="宋体" w:cs="宋体"/>
                <w:color w:val="000000"/>
                <w:sz w:val="24"/>
                <w:szCs w:val="24"/>
                <w:highlight w:val="none"/>
                <w:lang w:eastAsia="zh-CN"/>
              </w:rPr>
              <w:t>；</w:t>
            </w:r>
          </w:p>
          <w:p>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numPr>
                <w:ilvl w:val="0"/>
                <w:numId w:val="3"/>
              </w:numPr>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hint="eastAsia" w:ascii="宋体" w:hAnsi="Courier New" w:eastAsia="宋体" w:cs="Times New Roman"/>
                <w:color w:val="000000"/>
                <w:sz w:val="24"/>
                <w:szCs w:val="24"/>
                <w:highlight w:val="none"/>
                <w:lang w:val="en-US" w:eastAsia="zh-CN"/>
              </w:rPr>
              <w:t>支付</w:t>
            </w:r>
            <w:r>
              <w:rPr>
                <w:rFonts w:hint="eastAsia" w:ascii="宋体" w:hAnsi="Courier New" w:eastAsia="宋体" w:cs="Times New Roman"/>
                <w:color w:val="000000"/>
                <w:sz w:val="24"/>
                <w:szCs w:val="24"/>
                <w:highlight w:val="none"/>
              </w:rPr>
              <w:t>。如有质量问题，质量保证金予以相应扣除</w:t>
            </w:r>
            <w:r>
              <w:rPr>
                <w:rFonts w:hint="eastAsia" w:ascii="宋体" w:hAnsi="Courier New" w:eastAsia="宋体" w:cs="Times New Roman"/>
                <w:color w:val="000000"/>
                <w:sz w:val="24"/>
                <w:szCs w:val="24"/>
                <w:highlight w:val="none"/>
                <w:lang w:eastAsia="zh-CN"/>
              </w:rPr>
              <w:t>。</w:t>
            </w:r>
          </w:p>
          <w:p>
            <w:pPr>
              <w:numPr>
                <w:ilvl w:val="-1"/>
                <w:numId w:val="0"/>
              </w:numPr>
              <w:ind w:firstLine="482" w:firstLineChars="200"/>
              <w:rPr>
                <w:rFonts w:ascii="宋体" w:hAnsi="宋体" w:eastAsia="宋体" w:cs="宋体"/>
                <w:sz w:val="24"/>
                <w:szCs w:val="24"/>
              </w:rPr>
            </w:pPr>
            <w:r>
              <w:rPr>
                <w:rFonts w:hint="eastAsia" w:ascii="宋体" w:hAnsi="Courier New" w:eastAsia="宋体" w:cs="Times New Roman"/>
                <w:b/>
                <w:bCs/>
                <w:color w:val="000000"/>
                <w:sz w:val="24"/>
                <w:szCs w:val="24"/>
                <w:lang w:val="en-US" w:eastAsia="zh-CN"/>
              </w:rPr>
              <w:t>注：本条内容不接受偏离</w:t>
            </w:r>
            <w:r>
              <w:rPr>
                <w:rFonts w:hint="eastAsia" w:ascii="宋体" w:hAnsi="Courier New" w:eastAsia="宋体" w:cs="Times New Roman"/>
                <w:b/>
                <w:bCs/>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shd w:val="clea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中国重汽集团济南商用车有限公司</w:t>
            </w:r>
          </w:p>
          <w:p>
            <w:pPr>
              <w:shd w:val="clear"/>
              <w:ind w:firstLine="480" w:firstLineChars="200"/>
              <w:rPr>
                <w:rFonts w:hint="default" w:ascii="宋体" w:hAnsi="宋体" w:eastAsia="宋体" w:cs="宋体"/>
                <w:color w:val="000000"/>
                <w:sz w:val="24"/>
                <w:szCs w:val="24"/>
                <w:highlight w:val="yellow"/>
              </w:rPr>
            </w:pPr>
            <w:r>
              <w:rPr>
                <w:rFonts w:hint="default" w:ascii="宋体" w:hAnsi="宋体" w:eastAsia="宋体" w:cs="宋体"/>
                <w:color w:val="000000"/>
                <w:sz w:val="24"/>
                <w:szCs w:val="24"/>
                <w:highlight w:val="yellow"/>
              </w:rPr>
              <w:t>地址：山东省章丘市圣井潘王路西</w:t>
            </w:r>
          </w:p>
          <w:p>
            <w:pPr>
              <w:shd w:val="clear"/>
              <w:ind w:firstLine="480" w:firstLineChars="200"/>
              <w:rPr>
                <w:rFonts w:hint="default" w:ascii="宋体" w:hAnsi="宋体" w:eastAsia="宋体" w:cs="宋体"/>
                <w:color w:val="000000"/>
                <w:sz w:val="24"/>
                <w:szCs w:val="24"/>
                <w:highlight w:val="yellow"/>
              </w:rPr>
            </w:pPr>
            <w:r>
              <w:rPr>
                <w:rFonts w:hint="default" w:ascii="宋体" w:hAnsi="宋体" w:eastAsia="宋体" w:cs="宋体"/>
                <w:color w:val="000000"/>
                <w:sz w:val="24"/>
                <w:szCs w:val="24"/>
                <w:highlight w:val="yellow"/>
              </w:rPr>
              <w:t>税号：9137010072624213XP</w:t>
            </w:r>
          </w:p>
          <w:p>
            <w:pPr>
              <w:shd w:val="clear"/>
              <w:ind w:firstLine="480" w:firstLineChars="200"/>
              <w:rPr>
                <w:rFonts w:hint="default" w:ascii="宋体" w:hAnsi="宋体" w:eastAsia="宋体" w:cs="宋体"/>
                <w:color w:val="000000"/>
                <w:sz w:val="24"/>
                <w:szCs w:val="24"/>
                <w:highlight w:val="yellow"/>
              </w:rPr>
            </w:pPr>
            <w:r>
              <w:rPr>
                <w:rFonts w:hint="default" w:ascii="宋体" w:hAnsi="宋体" w:eastAsia="宋体" w:cs="宋体"/>
                <w:color w:val="000000"/>
                <w:sz w:val="24"/>
                <w:szCs w:val="24"/>
                <w:highlight w:val="yellow"/>
              </w:rPr>
              <w:t>传真：0531-58069620</w:t>
            </w:r>
          </w:p>
          <w:p>
            <w:pPr>
              <w:shd w:val="clear"/>
              <w:ind w:firstLine="480" w:firstLineChars="200"/>
              <w:rPr>
                <w:rFonts w:hint="default" w:ascii="宋体" w:hAnsi="宋体" w:eastAsia="宋体" w:cs="宋体"/>
                <w:color w:val="000000"/>
                <w:sz w:val="24"/>
                <w:szCs w:val="24"/>
                <w:highlight w:val="yellow"/>
              </w:rPr>
            </w:pPr>
            <w:r>
              <w:rPr>
                <w:rFonts w:hint="default" w:ascii="宋体" w:hAnsi="宋体" w:eastAsia="宋体" w:cs="宋体"/>
                <w:color w:val="000000"/>
                <w:sz w:val="24"/>
                <w:szCs w:val="24"/>
                <w:highlight w:val="yellow"/>
              </w:rPr>
              <w:t>开户银行：中信银行舜耕支行</w:t>
            </w:r>
          </w:p>
          <w:p>
            <w:pPr>
              <w:shd w:val="clear"/>
              <w:ind w:firstLine="480" w:firstLineChars="200"/>
              <w:rPr>
                <w:rFonts w:hint="default" w:ascii="宋体" w:hAnsi="宋体" w:eastAsia="宋体" w:cs="宋体"/>
                <w:color w:val="000000"/>
                <w:sz w:val="24"/>
                <w:szCs w:val="24"/>
                <w:highlight w:val="yellow"/>
              </w:rPr>
            </w:pPr>
            <w:r>
              <w:rPr>
                <w:rFonts w:hint="default" w:ascii="宋体" w:hAnsi="宋体" w:eastAsia="宋体" w:cs="宋体"/>
                <w:color w:val="000000"/>
                <w:sz w:val="24"/>
                <w:szCs w:val="24"/>
                <w:highlight w:val="yellow"/>
              </w:rPr>
              <w:t>账号：7372610182600034841</w:t>
            </w:r>
          </w:p>
          <w:p>
            <w:pPr>
              <w:ind w:firstLine="480" w:firstLineChars="200"/>
              <w:rPr>
                <w:rFonts w:ascii="宋体" w:hAnsi="宋体" w:cs="宋体"/>
                <w:bCs/>
                <w:sz w:val="24"/>
                <w:szCs w:val="24"/>
              </w:rPr>
            </w:pPr>
            <w:r>
              <w:rPr>
                <w:rFonts w:hint="default" w:ascii="宋体" w:hAnsi="宋体" w:eastAsia="宋体" w:cs="宋体"/>
                <w:color w:val="000000"/>
                <w:sz w:val="24"/>
                <w:szCs w:val="24"/>
                <w:highlight w:val="yellow"/>
              </w:rPr>
              <w:t>电话：58069620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1"/>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1"/>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21"/>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lang w:val="en-US" w:eastAsia="zh-CN"/>
        </w:rPr>
        <w:t>-</w:t>
      </w: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r>
        <w:rPr>
          <w:rFonts w:hint="eastAsia" w:ascii="宋体" w:hAnsi="宋体" w:eastAsia="宋体" w:cs="宋体"/>
          <w:sz w:val="24"/>
          <w:szCs w:val="24"/>
        </w:rPr>
        <w:t>。</w:t>
      </w:r>
    </w:p>
    <w:p>
      <w:pPr>
        <w:pStyle w:val="114"/>
        <w:ind w:firstLine="480"/>
        <w:rPr>
          <w:rFonts w:eastAsia="宋体" w:cs="宋体"/>
        </w:rPr>
      </w:pPr>
      <w:r>
        <w:rPr>
          <w:rFonts w:hint="eastAsia" w:eastAsia="宋体" w:cs="宋体"/>
        </w:rPr>
        <w:t>4.2招标人银行账户信息如下：见《投标须知前附表》4.2。</w:t>
      </w:r>
    </w:p>
    <w:p>
      <w:pPr>
        <w:pStyle w:val="114"/>
        <w:ind w:firstLine="480"/>
        <w:rPr>
          <w:rFonts w:eastAsia="宋体" w:cs="宋体"/>
        </w:rPr>
      </w:pPr>
      <w:r>
        <w:rPr>
          <w:rFonts w:hint="eastAsia" w:eastAsia="宋体" w:cs="宋体"/>
        </w:rPr>
        <w:t>转账附言：公司名称+项目名称+投标保证金；</w:t>
      </w:r>
    </w:p>
    <w:p>
      <w:pPr>
        <w:pStyle w:val="114"/>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pPr>
        <w:pStyle w:val="114"/>
        <w:ind w:firstLine="480"/>
        <w:rPr>
          <w:rFonts w:eastAsia="宋体" w:cs="宋体"/>
        </w:rPr>
      </w:pPr>
      <w:r>
        <w:rPr>
          <w:rFonts w:hint="eastAsia" w:eastAsia="宋体" w:cs="宋体"/>
        </w:rPr>
        <w:t>4.3说明</w:t>
      </w:r>
    </w:p>
    <w:p>
      <w:pPr>
        <w:pStyle w:val="114"/>
        <w:ind w:firstLine="480"/>
        <w:rPr>
          <w:rFonts w:eastAsia="宋体" w:cs="宋体"/>
        </w:rPr>
      </w:pPr>
      <w:r>
        <w:rPr>
          <w:rFonts w:hint="eastAsia" w:eastAsia="宋体" w:cs="宋体"/>
        </w:rPr>
        <w:t>4.3.1 投标人在向招标人出示《投标保证金缴纳凭证》后方可进行投标；</w:t>
      </w:r>
    </w:p>
    <w:p>
      <w:pPr>
        <w:pStyle w:val="114"/>
        <w:ind w:firstLine="480"/>
        <w:rPr>
          <w:rFonts w:eastAsia="宋体" w:cs="宋体"/>
        </w:rPr>
      </w:pPr>
      <w:r>
        <w:rPr>
          <w:rFonts w:hint="eastAsia" w:eastAsia="宋体" w:cs="宋体"/>
        </w:rPr>
        <w:t>4.3.2 发生以下情况时，招标人有权没收保证金：</w:t>
      </w:r>
    </w:p>
    <w:p>
      <w:pPr>
        <w:pStyle w:val="114"/>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4"/>
        <w:ind w:firstLine="480"/>
        <w:rPr>
          <w:rFonts w:eastAsia="宋体" w:cs="宋体"/>
        </w:rPr>
      </w:pPr>
      <w:r>
        <w:rPr>
          <w:rFonts w:hint="eastAsia" w:eastAsia="宋体" w:cs="宋体"/>
        </w:rPr>
        <w:t>4.3.2.2 投标人递送投标文件后，无正当理由放弃投标的；</w:t>
      </w:r>
    </w:p>
    <w:p>
      <w:pPr>
        <w:pStyle w:val="114"/>
        <w:ind w:firstLine="480"/>
        <w:rPr>
          <w:rFonts w:eastAsia="宋体" w:cs="宋体"/>
        </w:rPr>
      </w:pPr>
      <w:r>
        <w:rPr>
          <w:rFonts w:hint="eastAsia" w:eastAsia="宋体" w:cs="宋体"/>
        </w:rPr>
        <w:t>4.3.2.3若为视频开标，招标过程中澄清函等资料原件未按要求提交的；</w:t>
      </w:r>
    </w:p>
    <w:p>
      <w:pPr>
        <w:pStyle w:val="114"/>
        <w:ind w:firstLine="480"/>
        <w:rPr>
          <w:rFonts w:eastAsia="宋体" w:cs="宋体"/>
        </w:rPr>
      </w:pPr>
      <w:r>
        <w:rPr>
          <w:rFonts w:hint="eastAsia" w:eastAsia="宋体" w:cs="宋体"/>
        </w:rPr>
        <w:t>4.3.2.4自中标通知书发出之日起30日内，中标人无正当理由不签订合同的；</w:t>
      </w:r>
    </w:p>
    <w:p>
      <w:pPr>
        <w:pStyle w:val="114"/>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pPr>
        <w:pStyle w:val="114"/>
        <w:ind w:firstLine="480"/>
        <w:rPr>
          <w:rFonts w:eastAsia="宋体" w:cs="宋体"/>
        </w:rPr>
      </w:pPr>
      <w:r>
        <w:rPr>
          <w:rFonts w:hint="eastAsia" w:eastAsia="宋体" w:cs="宋体"/>
        </w:rPr>
        <w:t>4.4投标报名截止时间</w:t>
      </w:r>
    </w:p>
    <w:p>
      <w:pPr>
        <w:pStyle w:val="114"/>
        <w:ind w:firstLine="480"/>
        <w:rPr>
          <w:rFonts w:eastAsia="宋体" w:cs="宋体"/>
        </w:rPr>
      </w:pPr>
      <w:r>
        <w:rPr>
          <w:rFonts w:hint="eastAsia" w:eastAsia="宋体" w:cs="宋体"/>
        </w:rPr>
        <w:t>报名方式：</w:t>
      </w:r>
      <w:r>
        <w:rPr>
          <w:rFonts w:hint="eastAsia" w:eastAsia="宋体" w:cs="宋体"/>
          <w:highlight w:val="yellow"/>
        </w:rPr>
        <w:t>见《投标须知前附表》2.3</w:t>
      </w:r>
      <w:r>
        <w:rPr>
          <w:rFonts w:hint="eastAsia" w:eastAsia="宋体" w:cs="宋体"/>
        </w:rPr>
        <w:t>。</w:t>
      </w:r>
    </w:p>
    <w:p>
      <w:pPr>
        <w:pStyle w:val="114"/>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pPr>
        <w:spacing w:line="360" w:lineRule="auto"/>
        <w:jc w:val="left"/>
        <w:outlineLvl w:val="1"/>
        <w:rPr>
          <w:rFonts w:ascii="宋体" w:hAnsi="宋体" w:eastAsia="宋体" w:cs="宋体"/>
          <w:b/>
          <w:sz w:val="24"/>
          <w:szCs w:val="24"/>
        </w:rPr>
      </w:pPr>
      <w:bookmarkStart w:id="6" w:name="_Toc33266914"/>
      <w:bookmarkStart w:id="7" w:name="_Toc33266627"/>
      <w:bookmarkStart w:id="8" w:name="_Toc33285487"/>
      <w:bookmarkStart w:id="9" w:name="_Toc33267001"/>
      <w:bookmarkStart w:id="10" w:name="_Toc33266950"/>
      <w:bookmarkStart w:id="11" w:name="_Toc33265752"/>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3265753"/>
      <w:bookmarkStart w:id="16" w:name="_Toc33265654"/>
      <w:bookmarkStart w:id="17" w:name="_Toc33266951"/>
      <w:bookmarkStart w:id="18" w:name="_Toc33285489"/>
      <w:bookmarkStart w:id="19" w:name="_Toc33267002"/>
      <w:bookmarkStart w:id="20" w:name="_Toc33266628"/>
      <w:bookmarkStart w:id="21" w:name="_Toc395116634"/>
      <w:r>
        <w:rPr>
          <w:rFonts w:hint="eastAsia" w:ascii="宋体" w:hAnsi="宋体" w:eastAsia="宋体" w:cs="宋体"/>
          <w:b/>
          <w:color w:val="auto"/>
          <w:sz w:val="24"/>
          <w:szCs w:val="24"/>
          <w:highlight w:val="yellow"/>
          <w:lang w:val="en-US" w:eastAsia="zh-CN"/>
        </w:rPr>
        <w:t>技术标入围后，原则上</w:t>
      </w:r>
      <w:r>
        <w:rPr>
          <w:rFonts w:hint="eastAsia" w:ascii="宋体" w:hAnsi="宋体" w:eastAsia="宋体" w:cs="宋体"/>
          <w:b/>
          <w:bCs/>
          <w:color w:val="auto"/>
          <w:sz w:val="24"/>
          <w:szCs w:val="24"/>
          <w:highlight w:val="yellow"/>
          <w:lang w:val="en-US" w:eastAsia="zh-CN"/>
        </w:rPr>
        <w:t>合理最低价</w:t>
      </w:r>
      <w:r>
        <w:rPr>
          <w:rFonts w:hint="eastAsia" w:ascii="宋体" w:hAnsi="宋体" w:eastAsia="宋体" w:cs="宋体"/>
          <w:b/>
          <w:color w:val="auto"/>
          <w:sz w:val="24"/>
          <w:szCs w:val="24"/>
          <w:highlight w:val="yellow"/>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1"/>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1"/>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5"/>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rPr>
        <w:t>有限公司。</w:t>
      </w:r>
    </w:p>
    <w:p>
      <w:pPr>
        <w:pStyle w:val="21"/>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2020年1月1日至今，企业近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highlight w:val="yellow"/>
        </w:rPr>
        <w:t>必须先进行两列要求一一对照，不允许直接写无偏离</w:t>
      </w:r>
      <w:r>
        <w:rPr>
          <w:rFonts w:hint="eastAsia" w:ascii="宋体" w:hAnsi="宋体" w:eastAsia="宋体" w:cs="宋体"/>
          <w:b/>
          <w:color w:val="000000"/>
          <w:sz w:val="24"/>
          <w:szCs w:val="24"/>
        </w:rPr>
        <w:t>；</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年1月1日以来同类产品的制造销售业绩（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highlight w:val="yellow"/>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color w:val="000000"/>
          <w:sz w:val="24"/>
          <w:szCs w:val="24"/>
          <w:lang w:eastAsia="zh-CN"/>
        </w:rPr>
        <w:t>，</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lang w:eastAsia="zh-CN"/>
        </w:rPr>
        <w:t>分项报价中需明确：规格型号、材质、重量、数量、品牌、价格等信息，注明是否包含加工费等其他费用】</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21"/>
      </w:pP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济南商用车制造公司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新增X型臂螺栓拧紧工具</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采购</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1"/>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1"/>
      </w:pPr>
    </w:p>
    <w:p>
      <w:pPr>
        <w:pStyle w:val="21"/>
        <w:rPr>
          <w:rFonts w:ascii="黑体" w:hAnsi="宋体" w:eastAsia="黑体" w:cs="Times New Roman"/>
          <w:color w:val="000000"/>
          <w:sz w:val="72"/>
          <w:szCs w:val="72"/>
        </w:rPr>
      </w:pPr>
    </w:p>
    <w:p>
      <w:pPr>
        <w:pStyle w:val="21"/>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b/>
          <w:bCs/>
          <w:sz w:val="24"/>
          <w:szCs w:val="24"/>
          <w:highlight w:val="none"/>
          <w:u w:val="single"/>
        </w:rPr>
        <w:t>新增X型臂螺栓拧紧工具采购项目</w:t>
      </w:r>
    </w:p>
    <w:p>
      <w:pPr>
        <w:spacing w:line="360" w:lineRule="auto"/>
        <w:outlineLvl w:val="3"/>
        <w:rPr>
          <w:rFonts w:ascii="宋体" w:hAnsi="宋体" w:eastAsia="宋体" w:cs="宋体"/>
          <w:color w:val="000000" w:themeColor="text1"/>
          <w:sz w:val="24"/>
          <w:szCs w:val="24"/>
          <w:highlight w:val="yellow"/>
          <w:u w:val="single"/>
          <w:shd w:val="pct10" w:color="auto" w:fill="FFFFFF"/>
          <w14:textFill>
            <w14:solidFill>
              <w14:schemeClr w14:val="tx1"/>
            </w14:solidFill>
          </w14:textFill>
        </w:rPr>
      </w:pPr>
      <w:r>
        <w:rPr>
          <w:rFonts w:hint="eastAsia" w:ascii="宋体" w:hAnsi="宋体" w:eastAsia="宋体" w:cs="宋体"/>
          <w:sz w:val="24"/>
          <w:szCs w:val="24"/>
          <w:highlight w:val="yellow"/>
        </w:rPr>
        <w:t>二、建设</w:t>
      </w:r>
      <w:r>
        <w:rPr>
          <w:rFonts w:hint="eastAsia" w:ascii="宋体" w:hAnsi="宋体" w:eastAsia="宋体" w:cs="宋体"/>
          <w:color w:val="000000" w:themeColor="text1"/>
          <w:sz w:val="24"/>
          <w:szCs w:val="24"/>
          <w:highlight w:val="yellow"/>
          <w14:textFill>
            <w14:solidFill>
              <w14:schemeClr w14:val="tx1"/>
            </w14:solidFill>
          </w14:textFill>
        </w:rPr>
        <w:t>地点：</w:t>
      </w:r>
      <w:r>
        <w:rPr>
          <w:rFonts w:hint="eastAsia" w:ascii="宋体" w:hAnsi="宋体" w:eastAsia="宋体" w:cs="宋体"/>
          <w:color w:val="000000" w:themeColor="text1"/>
          <w:sz w:val="24"/>
          <w:szCs w:val="24"/>
          <w:highlight w:val="yellow"/>
          <w:u w:val="single"/>
          <w14:textFill>
            <w14:solidFill>
              <w14:schemeClr w14:val="tx1"/>
            </w14:solidFill>
          </w14:textFill>
        </w:rPr>
        <w:t>中国重汽集团济南商用车有限公司</w:t>
      </w:r>
    </w:p>
    <w:p>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三、使用地点：</w:t>
      </w:r>
      <w:r>
        <w:rPr>
          <w:rFonts w:hint="eastAsia" w:ascii="宋体" w:hAnsi="宋体" w:eastAsia="宋体" w:cs="宋体"/>
          <w:color w:val="000000" w:themeColor="text1"/>
          <w:sz w:val="24"/>
          <w:szCs w:val="24"/>
          <w:highlight w:val="none"/>
          <w:u w:val="single"/>
          <w14:textFill>
            <w14:solidFill>
              <w14:schemeClr w14:val="tx1"/>
            </w14:solidFill>
          </w14:textFill>
        </w:rPr>
        <w:t>中国重汽集团济南商用车有限公司</w:t>
      </w:r>
    </w:p>
    <w:p>
      <w:pPr>
        <w:spacing w:line="360" w:lineRule="auto"/>
        <w:outlineLvl w:val="3"/>
        <w:rPr>
          <w:rFonts w:hint="eastAsia" w:ascii="宋体" w:hAnsi="宋体" w:eastAsia="宋体" w:cs="宋体"/>
          <w:sz w:val="24"/>
          <w:szCs w:val="24"/>
          <w:lang w:val="en-US" w:eastAsia="zh-CN"/>
        </w:rPr>
      </w:pPr>
      <w:r>
        <w:rPr>
          <w:rFonts w:hint="eastAsia" w:ascii="宋体" w:hAnsi="宋体" w:eastAsia="宋体" w:cs="宋体"/>
          <w:sz w:val="24"/>
          <w:szCs w:val="24"/>
        </w:rPr>
        <w:t>四、工作制度：</w:t>
      </w:r>
      <w:r>
        <w:rPr>
          <w:rFonts w:hint="eastAsia" w:ascii="宋体" w:hAnsi="宋体" w:eastAsia="宋体" w:cs="Times New Roman"/>
          <w:color w:val="000000"/>
          <w:kern w:val="0"/>
          <w:sz w:val="24"/>
          <w:highlight w:val="none"/>
        </w:rPr>
        <w:t>全年工作300天、两班制、设备年时基数4800小时</w:t>
      </w:r>
      <w:r>
        <w:rPr>
          <w:rFonts w:hint="eastAsia" w:ascii="宋体" w:hAnsi="宋体" w:eastAsia="宋体"/>
          <w:bCs/>
          <w:sz w:val="24"/>
          <w:szCs w:val="24"/>
          <w:lang w:eastAsia="zh-CN"/>
        </w:rPr>
        <w:t>。</w:t>
      </w:r>
    </w:p>
    <w:p>
      <w:pPr>
        <w:numPr>
          <w:ilvl w:val="0"/>
          <w:numId w:val="0"/>
        </w:numPr>
        <w:spacing w:line="360" w:lineRule="auto"/>
        <w:ind w:leftChars="0"/>
        <w:outlineLvl w:val="3"/>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使用地点区域自然环境：</w:t>
      </w:r>
    </w:p>
    <w:p>
      <w:pPr>
        <w:numPr>
          <w:ilvl w:val="0"/>
          <w:numId w:val="0"/>
        </w:numPr>
        <w:spacing w:line="360" w:lineRule="auto"/>
        <w:ind w:leftChars="0" w:firstLine="240" w:firstLineChars="100"/>
        <w:outlineLvl w:val="3"/>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工作区域：济南商用车</w:t>
      </w:r>
      <w:r>
        <w:rPr>
          <w:rFonts w:hint="eastAsia" w:ascii="宋体" w:hAnsi="宋体" w:eastAsia="宋体" w:cs="宋体"/>
          <w:sz w:val="24"/>
          <w:szCs w:val="24"/>
          <w:lang w:val="en-US" w:eastAsia="zh-CN"/>
        </w:rPr>
        <w:t>制造</w:t>
      </w:r>
      <w:r>
        <w:rPr>
          <w:rFonts w:hint="eastAsia" w:ascii="宋体" w:hAnsi="宋体" w:eastAsia="宋体" w:cs="宋体"/>
          <w:sz w:val="24"/>
          <w:szCs w:val="24"/>
        </w:rPr>
        <w:t>公司</w:t>
      </w:r>
      <w:r>
        <w:rPr>
          <w:rFonts w:hint="eastAsia" w:ascii="宋体" w:hAnsi="宋体" w:eastAsia="宋体" w:cs="宋体"/>
          <w:sz w:val="24"/>
          <w:szCs w:val="24"/>
          <w:lang w:val="en-US" w:eastAsia="zh-CN"/>
        </w:rPr>
        <w:t>总装部、车架部。</w:t>
      </w:r>
    </w:p>
    <w:p>
      <w:pPr>
        <w:numPr>
          <w:ilvl w:val="0"/>
          <w:numId w:val="0"/>
        </w:numPr>
        <w:spacing w:line="360" w:lineRule="auto"/>
        <w:ind w:leftChars="0" w:firstLine="240" w:firstLineChars="100"/>
        <w:outlineLvl w:val="3"/>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公用动力及气候资料：</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a.三相交流电：380V±15%，50Hz±1%</w:t>
      </w:r>
      <w:r>
        <w:rPr>
          <w:rFonts w:hint="eastAsia" w:ascii="宋体" w:hAnsi="宋体" w:eastAsia="宋体" w:cs="宋体"/>
          <w:sz w:val="24"/>
          <w:szCs w:val="24"/>
          <w:lang w:eastAsia="zh-CN"/>
        </w:rPr>
        <w:t>；</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b.单相交流电：220V±15%，50Hz±1%</w:t>
      </w:r>
      <w:r>
        <w:rPr>
          <w:rFonts w:hint="eastAsia" w:ascii="宋体" w:hAnsi="宋体" w:eastAsia="宋体" w:cs="宋体"/>
          <w:sz w:val="24"/>
          <w:szCs w:val="24"/>
          <w:lang w:eastAsia="zh-CN"/>
        </w:rPr>
        <w:t>；</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c.压缩空气压力：0.4～0.6MPa</w:t>
      </w:r>
      <w:r>
        <w:rPr>
          <w:rFonts w:hint="eastAsia" w:ascii="宋体" w:hAnsi="宋体" w:eastAsia="宋体" w:cs="宋体"/>
          <w:sz w:val="24"/>
          <w:szCs w:val="24"/>
          <w:lang w:eastAsia="zh-CN"/>
        </w:rPr>
        <w:t>；</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d.室外温度：-20℃～45℃</w:t>
      </w:r>
      <w:r>
        <w:rPr>
          <w:rFonts w:hint="eastAsia" w:ascii="宋体" w:hAnsi="宋体" w:eastAsia="宋体" w:cs="宋体"/>
          <w:sz w:val="24"/>
          <w:szCs w:val="24"/>
          <w:lang w:eastAsia="zh-CN"/>
        </w:rPr>
        <w:t>；</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e.室内温度：5℃～38℃</w:t>
      </w:r>
      <w:r>
        <w:rPr>
          <w:rFonts w:hint="eastAsia" w:ascii="宋体" w:hAnsi="宋体" w:eastAsia="宋体" w:cs="宋体"/>
          <w:sz w:val="24"/>
          <w:szCs w:val="24"/>
          <w:lang w:eastAsia="zh-CN"/>
        </w:rPr>
        <w:t>；</w:t>
      </w:r>
    </w:p>
    <w:p>
      <w:pPr>
        <w:numPr>
          <w:ilvl w:val="0"/>
          <w:numId w:val="0"/>
        </w:numPr>
        <w:spacing w:line="360" w:lineRule="auto"/>
        <w:ind w:leftChars="0" w:firstLine="480" w:firstLineChars="200"/>
        <w:outlineLvl w:val="3"/>
        <w:rPr>
          <w:rFonts w:hint="eastAsia" w:ascii="宋体" w:hAnsi="宋体" w:eastAsia="宋体" w:cs="宋体"/>
          <w:sz w:val="24"/>
          <w:szCs w:val="24"/>
          <w:lang w:eastAsia="zh-CN"/>
        </w:rPr>
      </w:pPr>
      <w:r>
        <w:rPr>
          <w:rFonts w:hint="eastAsia" w:ascii="宋体" w:hAnsi="宋体" w:eastAsia="宋体" w:cs="宋体"/>
          <w:sz w:val="24"/>
          <w:szCs w:val="24"/>
        </w:rPr>
        <w:t>f.环境相对湿度：在20℃时最大湿度为90%</w:t>
      </w:r>
      <w:r>
        <w:rPr>
          <w:rFonts w:hint="eastAsia" w:ascii="宋体" w:hAnsi="宋体" w:eastAsia="宋体" w:cs="宋体"/>
          <w:sz w:val="24"/>
          <w:szCs w:val="24"/>
          <w:lang w:eastAsia="zh-CN"/>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bCs/>
          <w:sz w:val="24"/>
          <w:szCs w:val="24"/>
          <w:highlight w:val="none"/>
          <w:u w:val="single"/>
        </w:rPr>
        <w:t>X型臂螺栓拧紧工具</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1批</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8"/>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83"/>
        <w:gridCol w:w="1733"/>
        <w:gridCol w:w="710"/>
        <w:gridCol w:w="817"/>
        <w:gridCol w:w="1276"/>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85" w:type="dxa"/>
            <w:vAlign w:val="center"/>
          </w:tcPr>
          <w:p>
            <w:pPr>
              <w:spacing w:line="240" w:lineRule="auto"/>
              <w:jc w:val="center"/>
              <w:rPr>
                <w:rFonts w:hint="eastAsia" w:ascii="宋体" w:hAnsi="宋体" w:eastAsia="宋体" w:cs="宋体"/>
                <w:b/>
              </w:rPr>
            </w:pPr>
            <w:r>
              <w:rPr>
                <w:rFonts w:hint="eastAsia" w:ascii="宋体" w:hAnsi="宋体" w:eastAsia="宋体" w:cs="宋体"/>
                <w:b/>
              </w:rPr>
              <w:t>序号</w:t>
            </w:r>
          </w:p>
        </w:tc>
        <w:tc>
          <w:tcPr>
            <w:tcW w:w="1983" w:type="dxa"/>
            <w:vAlign w:val="center"/>
          </w:tcPr>
          <w:p>
            <w:pPr>
              <w:spacing w:line="240" w:lineRule="auto"/>
              <w:jc w:val="center"/>
              <w:rPr>
                <w:rFonts w:hint="eastAsia" w:ascii="宋体" w:hAnsi="宋体" w:eastAsia="宋体" w:cs="宋体"/>
                <w:b/>
              </w:rPr>
            </w:pPr>
            <w:r>
              <w:rPr>
                <w:rFonts w:hint="eastAsia" w:ascii="宋体" w:hAnsi="宋体" w:eastAsia="宋体" w:cs="宋体"/>
                <w:b/>
              </w:rPr>
              <w:t>名称</w:t>
            </w:r>
          </w:p>
        </w:tc>
        <w:tc>
          <w:tcPr>
            <w:tcW w:w="1733" w:type="dxa"/>
            <w:vAlign w:val="center"/>
          </w:tcPr>
          <w:p>
            <w:pPr>
              <w:spacing w:line="240" w:lineRule="auto"/>
              <w:jc w:val="center"/>
              <w:rPr>
                <w:rFonts w:hint="eastAsia" w:ascii="宋体" w:hAnsi="宋体" w:eastAsia="宋体" w:cs="宋体"/>
                <w:b/>
                <w:lang w:eastAsia="zh-CN"/>
              </w:rPr>
            </w:pPr>
            <w:r>
              <w:rPr>
                <w:rFonts w:hint="eastAsia" w:ascii="宋体" w:hAnsi="宋体" w:eastAsia="宋体" w:cs="宋体"/>
                <w:b/>
                <w:lang w:val="en-US" w:eastAsia="zh-CN"/>
              </w:rPr>
              <w:t>规格</w:t>
            </w:r>
          </w:p>
        </w:tc>
        <w:tc>
          <w:tcPr>
            <w:tcW w:w="710" w:type="dxa"/>
            <w:vAlign w:val="center"/>
          </w:tcPr>
          <w:p>
            <w:pPr>
              <w:spacing w:line="240" w:lineRule="auto"/>
              <w:jc w:val="center"/>
              <w:rPr>
                <w:rFonts w:hint="eastAsia" w:ascii="宋体" w:hAnsi="宋体" w:eastAsia="宋体" w:cs="宋体"/>
                <w:b/>
              </w:rPr>
            </w:pPr>
            <w:r>
              <w:rPr>
                <w:rFonts w:hint="eastAsia" w:ascii="宋体" w:hAnsi="宋体" w:eastAsia="宋体" w:cs="宋体"/>
                <w:b/>
              </w:rPr>
              <w:t>单位</w:t>
            </w:r>
          </w:p>
        </w:tc>
        <w:tc>
          <w:tcPr>
            <w:tcW w:w="817" w:type="dxa"/>
            <w:vAlign w:val="center"/>
          </w:tcPr>
          <w:p>
            <w:pPr>
              <w:spacing w:line="240" w:lineRule="auto"/>
              <w:jc w:val="center"/>
              <w:rPr>
                <w:rFonts w:hint="eastAsia" w:ascii="宋体" w:hAnsi="宋体" w:eastAsia="宋体" w:cs="宋体"/>
                <w:b/>
              </w:rPr>
            </w:pPr>
            <w:r>
              <w:rPr>
                <w:rFonts w:hint="eastAsia" w:ascii="宋体" w:hAnsi="宋体" w:eastAsia="宋体" w:cs="宋体"/>
                <w:b/>
              </w:rPr>
              <w:t>数量</w:t>
            </w:r>
          </w:p>
        </w:tc>
        <w:tc>
          <w:tcPr>
            <w:tcW w:w="1276" w:type="dxa"/>
            <w:vAlign w:val="center"/>
          </w:tcPr>
          <w:p>
            <w:pPr>
              <w:spacing w:line="240" w:lineRule="auto"/>
              <w:jc w:val="center"/>
              <w:rPr>
                <w:rFonts w:hint="eastAsia" w:ascii="宋体" w:hAnsi="宋体" w:eastAsia="宋体" w:cs="宋体"/>
                <w:b/>
              </w:rPr>
            </w:pPr>
            <w:r>
              <w:rPr>
                <w:rFonts w:hint="eastAsia" w:ascii="宋体" w:hAnsi="宋体" w:eastAsia="宋体" w:cs="宋体"/>
                <w:b/>
              </w:rPr>
              <w:t>交货方式</w:t>
            </w:r>
          </w:p>
        </w:tc>
        <w:tc>
          <w:tcPr>
            <w:tcW w:w="2129" w:type="dxa"/>
            <w:vAlign w:val="center"/>
          </w:tcPr>
          <w:p>
            <w:pPr>
              <w:spacing w:line="240" w:lineRule="auto"/>
              <w:jc w:val="center"/>
              <w:rPr>
                <w:rFonts w:hint="eastAsia" w:ascii="宋体" w:hAnsi="宋体" w:eastAsia="宋体" w:cs="宋体"/>
                <w:b/>
              </w:rPr>
            </w:pPr>
            <w:r>
              <w:rPr>
                <w:rFonts w:hint="eastAsia" w:ascii="宋体" w:hAnsi="宋体" w:eastAsia="宋体" w:cs="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8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983"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单轴定值拧紧工具</w:t>
            </w:r>
          </w:p>
        </w:tc>
        <w:tc>
          <w:tcPr>
            <w:tcW w:w="1733" w:type="dxa"/>
            <w:vAlign w:val="center"/>
          </w:tcPr>
          <w:p>
            <w:pPr>
              <w:jc w:val="center"/>
              <w:rPr>
                <w:rFonts w:hint="eastAsia" w:ascii="宋体" w:hAnsi="宋体" w:eastAsia="宋体" w:cs="宋体"/>
                <w:sz w:val="24"/>
                <w:szCs w:val="24"/>
                <w:lang w:val="en-US" w:eastAsia="zh-CN"/>
              </w:rPr>
            </w:pPr>
            <w:r>
              <w:rPr>
                <w:rFonts w:hint="eastAsia" w:ascii="宋体" w:hAnsi="宋体" w:eastAsia="宋体" w:cstheme="minorBidi"/>
                <w:b w:val="0"/>
                <w:bCs w:val="0"/>
                <w:kern w:val="2"/>
                <w:sz w:val="24"/>
                <w:szCs w:val="24"/>
                <w:highlight w:val="none"/>
                <w:lang w:val="en-US" w:eastAsia="zh-CN" w:bidi="ar"/>
              </w:rPr>
              <w:t>详见技术要求</w:t>
            </w:r>
          </w:p>
        </w:tc>
        <w:tc>
          <w:tcPr>
            <w:tcW w:w="71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套</w:t>
            </w:r>
          </w:p>
        </w:tc>
        <w:tc>
          <w:tcPr>
            <w:tcW w:w="817"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276"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交钥匙方式</w:t>
            </w:r>
          </w:p>
        </w:tc>
        <w:tc>
          <w:tcPr>
            <w:tcW w:w="2129"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含工装、悬挂系统、控制器、扫码枪、网络铺设等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8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983"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双轴定值双轴定值拧紧工具（变距）</w:t>
            </w:r>
          </w:p>
        </w:tc>
        <w:tc>
          <w:tcPr>
            <w:tcW w:w="1733" w:type="dxa"/>
            <w:vAlign w:val="center"/>
          </w:tcPr>
          <w:p>
            <w:pPr>
              <w:jc w:val="center"/>
              <w:rPr>
                <w:rFonts w:hint="eastAsia" w:ascii="宋体" w:hAnsi="宋体" w:eastAsia="宋体" w:cs="宋体"/>
                <w:sz w:val="24"/>
                <w:szCs w:val="24"/>
                <w:lang w:val="en-US" w:eastAsia="zh-CN"/>
              </w:rPr>
            </w:pPr>
            <w:r>
              <w:rPr>
                <w:rFonts w:hint="eastAsia" w:ascii="宋体" w:hAnsi="宋体" w:eastAsia="宋体" w:cstheme="minorBidi"/>
                <w:b w:val="0"/>
                <w:bCs w:val="0"/>
                <w:kern w:val="2"/>
                <w:sz w:val="24"/>
                <w:szCs w:val="24"/>
                <w:highlight w:val="none"/>
                <w:lang w:val="en-US" w:eastAsia="zh-CN" w:bidi="ar"/>
              </w:rPr>
              <w:t>详见技术要求</w:t>
            </w:r>
          </w:p>
        </w:tc>
        <w:tc>
          <w:tcPr>
            <w:tcW w:w="71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81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1276"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交钥匙方式</w:t>
            </w:r>
          </w:p>
        </w:tc>
        <w:tc>
          <w:tcPr>
            <w:tcW w:w="2129"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含工装、悬挂系统、控制器、扫码枪、网络铺设等</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color w:val="000000"/>
          <w:sz w:val="24"/>
          <w:szCs w:val="24"/>
        </w:rPr>
        <w:t>本表所列采购货物仅为货物的主要构成部分，应配套供货以及招标方所列其它货物（或设备）和服务，</w:t>
      </w:r>
      <w:r>
        <w:rPr>
          <w:rFonts w:hint="eastAsia" w:ascii="宋体" w:hAnsi="宋体" w:eastAsia="宋体" w:cs="宋体"/>
          <w:color w:val="000000"/>
          <w:sz w:val="24"/>
          <w:szCs w:val="24"/>
          <w:lang w:val="en-US" w:eastAsia="zh-CN"/>
        </w:rPr>
        <w:t>对于属于整套设备运行所必须的部件，本招标文件未列出或列出数量不足，投标方须在投标时补足，</w:t>
      </w:r>
      <w:r>
        <w:rPr>
          <w:rFonts w:hint="eastAsia" w:ascii="宋体" w:hAnsi="宋体" w:eastAsia="宋体" w:cs="宋体"/>
          <w:color w:val="000000"/>
          <w:sz w:val="24"/>
          <w:szCs w:val="24"/>
        </w:rPr>
        <w:t>请投标方认真阅读“供货范围”</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若有异议，不管是多么微小，都应在投标文件“商务偏离”章节中予以详细说明。如投标方未提出异议，则投标方有义务无条件完成本项目任务目标，由此增加的工作范围及相关费用属于投标方的范围，招标方不再为此支付额外费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lang w:val="en-US" w:eastAsia="zh-CN"/>
        </w:rPr>
        <w:t>.</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hint="default" w:eastAsia="宋体"/>
          <w:lang w:val="en-US" w:eastAsia="zh-CN"/>
        </w:rPr>
      </w:pPr>
      <w:r>
        <w:rPr>
          <w:rFonts w:ascii="宋体" w:hAnsi="宋体" w:eastAsia="宋体" w:cs="Times New Roman"/>
          <w:sz w:val="24"/>
          <w:szCs w:val="24"/>
        </w:rPr>
        <w:t>7</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投标文件中，针对“特别提示”条款所做的回应，将作为投标人能否中标的重要依据之一</w:t>
      </w:r>
      <w:r>
        <w:rPr>
          <w:rFonts w:hint="eastAsia" w:ascii="等线" w:hAnsi="等线"/>
          <w:color w:val="000000"/>
          <w:sz w:val="24"/>
          <w:highlight w:val="none"/>
        </w:rPr>
        <w:t>。</w:t>
      </w:r>
    </w:p>
    <w:p>
      <w:pPr>
        <w:pStyle w:val="115"/>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hint="eastAsia" w:ascii="宋体" w:hAnsi="Calibri" w:eastAsia="宋体" w:cs="Times New Roman"/>
          <w:sz w:val="24"/>
          <w:szCs w:val="24"/>
          <w:lang w:val="en-US" w:eastAsia="zh-CN"/>
        </w:rPr>
      </w:pPr>
      <w:r>
        <w:rPr>
          <w:rFonts w:ascii="宋体" w:hAnsi="宋体" w:eastAsia="宋体" w:cs="Times New Roman"/>
          <w:sz w:val="24"/>
          <w:szCs w:val="24"/>
        </w:rPr>
        <w:t>4</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8</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投标方中标后预验收时需提供进口设备、部件的报关清关资料。</w:t>
      </w:r>
    </w:p>
    <w:p>
      <w:pPr>
        <w:spacing w:line="360" w:lineRule="auto"/>
        <w:ind w:firstLine="480" w:firstLineChars="200"/>
        <w:rPr>
          <w:rFonts w:hint="eastAsia"/>
        </w:rPr>
      </w:pPr>
      <w:r>
        <w:rPr>
          <w:rFonts w:hint="eastAsia" w:ascii="宋体" w:hAnsi="宋体" w:eastAsia="宋体" w:cs="Times New Roman"/>
          <w:sz w:val="24"/>
          <w:szCs w:val="24"/>
        </w:rPr>
        <w:t>9</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投标方应提供设备的第三方检定校准报告，检定费用应由投标方自行承担。</w:t>
      </w:r>
    </w:p>
    <w:p>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lang w:val="en-US" w:eastAsia="zh-CN"/>
        </w:rPr>
        <w:t>三</w:t>
      </w:r>
      <w:r>
        <w:rPr>
          <w:rFonts w:hint="eastAsia" w:eastAsia="宋体" w:cs="宋体"/>
          <w:b/>
          <w:bCs w:val="0"/>
          <w:sz w:val="24"/>
          <w:szCs w:val="24"/>
        </w:rPr>
        <w:t>、执行标准</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464"/>
        <w:gridCol w:w="18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序号</w:t>
            </w:r>
          </w:p>
        </w:tc>
        <w:tc>
          <w:tcPr>
            <w:tcW w:w="4464" w:type="dxa"/>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标准名称</w:t>
            </w:r>
          </w:p>
        </w:tc>
        <w:tc>
          <w:tcPr>
            <w:tcW w:w="1896" w:type="dxa"/>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标准编号</w:t>
            </w:r>
          </w:p>
        </w:tc>
        <w:tc>
          <w:tcPr>
            <w:tcW w:w="0" w:type="auto"/>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0" w:type="auto"/>
            <w:noWrap w:val="0"/>
            <w:vAlign w:val="center"/>
          </w:tcPr>
          <w:p>
            <w:pPr>
              <w:adjustRightInd w:val="0"/>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4464" w:type="dxa"/>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螺纹紧固件用旋转工具 性能试验方法</w:t>
            </w:r>
          </w:p>
        </w:tc>
        <w:tc>
          <w:tcPr>
            <w:tcW w:w="1896" w:type="dxa"/>
            <w:noWrap w:val="0"/>
            <w:vAlign w:val="center"/>
          </w:tcPr>
          <w:p>
            <w:pPr>
              <w:adjustRightInd w:val="0"/>
              <w:snapToGri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ISO 5393-2017</w:t>
            </w:r>
          </w:p>
        </w:tc>
        <w:tc>
          <w:tcPr>
            <w:tcW w:w="0" w:type="auto"/>
            <w:noWrap w:val="0"/>
            <w:vAlign w:val="center"/>
          </w:tcPr>
          <w:p>
            <w:pPr>
              <w:adjustRightInd w:val="0"/>
              <w:snapToGrid w:val="0"/>
              <w:jc w:val="center"/>
              <w:rPr>
                <w:rFonts w:hint="eastAsia" w:ascii="宋体" w:hAnsi="宋体" w:eastAsia="宋体" w:cs="宋体"/>
                <w:color w:val="000000"/>
                <w:kern w:val="0"/>
                <w:sz w:val="24"/>
                <w:szCs w:val="24"/>
                <w:highlight w:val="none"/>
              </w:rPr>
            </w:pPr>
          </w:p>
        </w:tc>
      </w:tr>
    </w:tbl>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招标方此处所列标准仅为涉及的主要标准，投标方应当在投标文件中认真予以填写、补充和修改完善。</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投标方需要执行的标准，应当采用所供货物通过招标方组织的最终验收之日已经开始执行的最新标准。</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采购货物的产品质量、技术标准如在招投标文件中无相应说明，则按中华人民共和国有关部门颁发的最新的国标或专业（部）标准执行及相应的国际标准。</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采购货物没有中国国家或专业（部）标准的，按企业标准执行时，投标方应在合同签署之前，将所涉及的企业标准提供给招标方确认。</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采购货物如果采用国际标准，其执行标准由投标方提供、招标方确认。</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采购货物所涉及的标准不统一时，原则上按照最严格标准执行。</w:t>
      </w:r>
    </w:p>
    <w:p>
      <w:pPr>
        <w:widowControl/>
        <w:spacing w:line="360" w:lineRule="auto"/>
        <w:ind w:firstLine="540" w:firstLineChars="2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必须保证所提供的设备、材料和服务遵守相关标准的最新修改版本和所有其它适用的标准（以最新在执行标准为准、标准要求重叠时以最严格条款为准）。</w:t>
      </w:r>
    </w:p>
    <w:p>
      <w:pPr>
        <w:pStyle w:val="115"/>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lang w:val="en-US" w:eastAsia="zh-CN"/>
        </w:rPr>
        <w:t>四</w:t>
      </w:r>
      <w:r>
        <w:rPr>
          <w:rFonts w:hint="eastAsia" w:eastAsia="宋体" w:cs="宋体"/>
          <w:b/>
          <w:bCs w:val="0"/>
          <w:sz w:val="24"/>
          <w:szCs w:val="24"/>
          <w:highlight w:val="yellow"/>
        </w:rPr>
        <w:t>、技术要求</w:t>
      </w:r>
    </w:p>
    <w:p>
      <w:pPr>
        <w:pStyle w:val="115"/>
        <w:spacing w:line="360" w:lineRule="auto"/>
        <w:ind w:firstLine="482" w:firstLineChars="200"/>
        <w:outlineLvl w:val="2"/>
        <w:rPr>
          <w:rFonts w:hint="eastAsia" w:eastAsia="宋体" w:cs="宋体"/>
          <w:b/>
          <w:bCs w:val="0"/>
          <w:sz w:val="24"/>
          <w:szCs w:val="24"/>
          <w:highlight w:val="yellow"/>
          <w:lang w:val="en-US" w:eastAsia="zh-CN"/>
        </w:rPr>
      </w:pPr>
      <w:bookmarkStart w:id="36" w:name="_Toc169605881"/>
      <w:r>
        <w:rPr>
          <w:rFonts w:hint="eastAsia" w:eastAsia="宋体" w:cs="宋体"/>
          <w:b/>
          <w:bCs w:val="0"/>
          <w:sz w:val="24"/>
          <w:szCs w:val="24"/>
          <w:highlight w:val="yellow"/>
          <w:lang w:val="en-US" w:eastAsia="zh-CN"/>
        </w:rPr>
        <w:t>1、项目总则</w:t>
      </w:r>
    </w:p>
    <w:p>
      <w:pPr>
        <w:spacing w:line="360" w:lineRule="auto"/>
        <w:ind w:firstLine="496" w:firstLineChars="200"/>
        <w:rPr>
          <w:rFonts w:hint="eastAsia" w:ascii="宋体" w:hAnsi="宋体" w:eastAsia="宋体" w:cs="宋体"/>
          <w:color w:val="000000"/>
          <w:sz w:val="24"/>
          <w:highlight w:val="none"/>
        </w:rPr>
      </w:pPr>
      <w:r>
        <w:rPr>
          <w:rFonts w:hint="eastAsia" w:ascii="宋体" w:hAnsi="宋体" w:eastAsia="宋体" w:cs="宋体"/>
          <w:bCs/>
          <w:color w:val="000000"/>
          <w:spacing w:val="4"/>
          <w:sz w:val="24"/>
          <w:highlight w:val="none"/>
        </w:rPr>
        <w:t>1.1</w:t>
      </w:r>
      <w:r>
        <w:rPr>
          <w:rFonts w:hint="eastAsia" w:ascii="宋体" w:hAnsi="宋体" w:eastAsia="宋体" w:cs="宋体"/>
          <w:color w:val="000000"/>
          <w:sz w:val="24"/>
          <w:highlight w:val="none"/>
        </w:rPr>
        <w:t>中国重汽集团济南</w:t>
      </w:r>
      <w:r>
        <w:rPr>
          <w:rFonts w:hint="eastAsia" w:ascii="宋体" w:hAnsi="宋体" w:eastAsia="宋体" w:cs="宋体"/>
          <w:color w:val="000000"/>
          <w:sz w:val="24"/>
          <w:highlight w:val="none"/>
          <w:lang w:val="en-US" w:eastAsia="zh-CN"/>
        </w:rPr>
        <w:t>动力</w:t>
      </w:r>
      <w:r>
        <w:rPr>
          <w:rFonts w:hint="eastAsia" w:ascii="宋体" w:hAnsi="宋体" w:eastAsia="宋体" w:cs="宋体"/>
          <w:color w:val="000000"/>
          <w:sz w:val="24"/>
          <w:highlight w:val="none"/>
        </w:rPr>
        <w:t>有限公司（以下简称招标方）委托投标方承接“济南商用车制造公司新增X型臂螺栓拧紧工具项目</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中拧紧工具、网络铺设等配套设施</w:t>
      </w:r>
      <w:r>
        <w:rPr>
          <w:rFonts w:hint="eastAsia" w:ascii="宋体" w:hAnsi="宋体" w:eastAsia="宋体" w:cs="宋体"/>
          <w:color w:val="000000"/>
          <w:sz w:val="24"/>
          <w:highlight w:val="none"/>
          <w:lang w:val="en-US" w:eastAsia="zh-CN"/>
        </w:rPr>
        <w:t>的</w:t>
      </w:r>
      <w:r>
        <w:rPr>
          <w:rFonts w:hint="eastAsia" w:ascii="宋体" w:hAnsi="宋体" w:eastAsia="宋体" w:cs="宋体"/>
          <w:color w:val="000000"/>
          <w:sz w:val="24"/>
          <w:highlight w:val="none"/>
        </w:rPr>
        <w:t>设计、采购、制造、运输、安装、调试、培训及质保服务等项目全过程工作（EPC）。</w:t>
      </w:r>
    </w:p>
    <w:p>
      <w:pPr>
        <w:spacing w:line="360" w:lineRule="auto"/>
        <w:ind w:firstLine="496" w:firstLineChars="200"/>
        <w:rPr>
          <w:rFonts w:hint="eastAsia" w:ascii="宋体" w:hAnsi="宋体" w:eastAsia="宋体" w:cs="宋体"/>
          <w:color w:val="000000"/>
          <w:sz w:val="24"/>
          <w:highlight w:val="none"/>
        </w:rPr>
      </w:pPr>
      <w:r>
        <w:rPr>
          <w:rFonts w:hint="eastAsia" w:ascii="宋体" w:hAnsi="宋体" w:eastAsia="宋体" w:cs="宋体"/>
          <w:bCs/>
          <w:color w:val="000000"/>
          <w:spacing w:val="4"/>
          <w:sz w:val="24"/>
          <w:highlight w:val="none"/>
        </w:rPr>
        <w:t>1.</w:t>
      </w:r>
      <w:r>
        <w:rPr>
          <w:rFonts w:hint="eastAsia" w:ascii="宋体" w:hAnsi="宋体" w:eastAsia="宋体" w:cs="宋体"/>
          <w:bCs/>
          <w:color w:val="000000"/>
          <w:spacing w:val="4"/>
          <w:sz w:val="24"/>
          <w:highlight w:val="none"/>
          <w:lang w:val="en-US" w:eastAsia="zh-CN"/>
        </w:rPr>
        <w:t>2</w:t>
      </w:r>
      <w:r>
        <w:rPr>
          <w:rFonts w:hint="eastAsia" w:ascii="宋体" w:hAnsi="宋体" w:eastAsia="宋体" w:cs="宋体"/>
          <w:color w:val="000000"/>
          <w:sz w:val="24"/>
          <w:highlight w:val="none"/>
        </w:rPr>
        <w:t>本技术部分并未对一切技术细节做出规定，也未充分引述有关标准和规范的条文，投标方应提供符合本技术部分和工业标准的优质产品。</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3</w:t>
      </w:r>
      <w:r>
        <w:rPr>
          <w:rFonts w:hint="eastAsia" w:ascii="宋体" w:hAnsi="宋体" w:eastAsia="宋体" w:cs="宋体"/>
          <w:bCs/>
          <w:color w:val="000000"/>
          <w:sz w:val="24"/>
          <w:highlight w:val="none"/>
        </w:rPr>
        <w:t>本</w:t>
      </w:r>
      <w:r>
        <w:rPr>
          <w:rFonts w:hint="eastAsia" w:ascii="宋体" w:hAnsi="宋体" w:eastAsia="宋体" w:cs="宋体"/>
          <w:color w:val="000000"/>
          <w:sz w:val="24"/>
          <w:highlight w:val="none"/>
        </w:rPr>
        <w:t>工程的技术规格及技术标准，必须采用相关产品的国家标准及行业标准，当相关标准互相冲突时，以高一级的标准为准，所有这些采用的标准必须是有关机构发布的最新版本的标准。</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4</w:t>
      </w:r>
      <w:r>
        <w:rPr>
          <w:rFonts w:hint="eastAsia" w:ascii="宋体" w:hAnsi="宋体" w:eastAsia="宋体" w:cs="宋体"/>
          <w:color w:val="000000"/>
          <w:sz w:val="24"/>
          <w:highlight w:val="none"/>
        </w:rPr>
        <w:t>本工程必须符合国家相关的环保与安全标准。</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5</w:t>
      </w:r>
      <w:r>
        <w:rPr>
          <w:rFonts w:hint="eastAsia" w:ascii="宋体" w:hAnsi="宋体" w:eastAsia="宋体" w:cs="宋体"/>
          <w:color w:val="000000"/>
          <w:sz w:val="24"/>
          <w:highlight w:val="none"/>
        </w:rPr>
        <w:t>所有设备必须能满足工艺节拍（节拍</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min/</w:t>
      </w:r>
      <w:r>
        <w:rPr>
          <w:rFonts w:hint="eastAsia" w:ascii="宋体" w:hAnsi="宋体" w:eastAsia="宋体" w:cs="宋体"/>
          <w:color w:val="000000"/>
          <w:sz w:val="24"/>
          <w:highlight w:val="none"/>
          <w:lang w:val="en-US" w:eastAsia="zh-CN"/>
        </w:rPr>
        <w:t>车</w:t>
      </w:r>
      <w:r>
        <w:rPr>
          <w:rFonts w:hint="eastAsia" w:ascii="宋体" w:hAnsi="宋体" w:eastAsia="宋体" w:cs="宋体"/>
          <w:color w:val="000000"/>
          <w:sz w:val="24"/>
          <w:highlight w:val="none"/>
        </w:rPr>
        <w:t>）要求。在设备正常使用情况下，必须具有持久的精度与优良的稳定性。</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6</w:t>
      </w:r>
      <w:r>
        <w:rPr>
          <w:rFonts w:hint="eastAsia" w:ascii="宋体" w:hAnsi="宋体" w:eastAsia="宋体" w:cs="宋体"/>
          <w:color w:val="000000"/>
          <w:sz w:val="24"/>
          <w:highlight w:val="none"/>
        </w:rPr>
        <w:t>所有设备都必须保证生产过程和工艺操作所需要的尺寸精度和位置精度，保证生产过程中的安全。凡使整个系统能正常、安全运行的设施都必须包括在内。</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7</w:t>
      </w:r>
      <w:r>
        <w:rPr>
          <w:rFonts w:hint="eastAsia" w:ascii="宋体" w:hAnsi="宋体" w:eastAsia="宋体" w:cs="宋体"/>
          <w:color w:val="000000"/>
          <w:sz w:val="24"/>
          <w:highlight w:val="none"/>
        </w:rPr>
        <w:t>所有零部件都必须经防锈处理。</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8</w:t>
      </w:r>
      <w:r>
        <w:rPr>
          <w:rFonts w:hint="eastAsia" w:ascii="宋体" w:hAnsi="宋体" w:eastAsia="宋体" w:cs="宋体"/>
          <w:color w:val="000000"/>
          <w:sz w:val="24"/>
          <w:highlight w:val="none"/>
        </w:rPr>
        <w:t>标准零部件的外观颜色按设备生产商或生产国国家标准制造，非标部分的外观颜色以招标方提供的颜色或样板为准。</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w:t>
      </w:r>
      <w:r>
        <w:rPr>
          <w:rFonts w:hint="eastAsia" w:ascii="宋体" w:hAnsi="宋体" w:eastAsia="宋体" w:cs="宋体"/>
          <w:bCs/>
          <w:color w:val="000000"/>
          <w:sz w:val="24"/>
          <w:highlight w:val="none"/>
          <w:lang w:val="en-US" w:eastAsia="zh-CN"/>
        </w:rPr>
        <w:t>9</w:t>
      </w:r>
      <w:r>
        <w:rPr>
          <w:rFonts w:hint="eastAsia" w:ascii="宋体" w:hAnsi="宋体" w:eastAsia="宋体" w:cs="宋体"/>
          <w:color w:val="000000"/>
          <w:sz w:val="24"/>
          <w:highlight w:val="none"/>
        </w:rPr>
        <w:t>投标方不得以任何型式转包、分包该项目。</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highlight w:val="none"/>
        </w:rPr>
        <w:t>1.1</w:t>
      </w:r>
      <w:r>
        <w:rPr>
          <w:rFonts w:hint="eastAsia" w:ascii="宋体" w:hAnsi="宋体" w:eastAsia="宋体" w:cs="宋体"/>
          <w:bCs/>
          <w:color w:val="000000"/>
          <w:sz w:val="24"/>
          <w:highlight w:val="none"/>
          <w:lang w:val="en-US" w:eastAsia="zh-CN"/>
        </w:rPr>
        <w:t>0</w:t>
      </w:r>
      <w:r>
        <w:rPr>
          <w:rFonts w:hint="eastAsia" w:ascii="宋体" w:hAnsi="宋体" w:eastAsia="宋体" w:cs="宋体"/>
          <w:color w:val="000000"/>
          <w:sz w:val="24"/>
          <w:highlight w:val="none"/>
        </w:rPr>
        <w:t>本文件中带★的技术条款为评标否决项，不允许</w:t>
      </w:r>
      <w:r>
        <w:rPr>
          <w:rFonts w:hint="eastAsia" w:ascii="宋体" w:hAnsi="宋体" w:eastAsia="宋体" w:cs="宋体"/>
          <w:color w:val="000000"/>
          <w:sz w:val="24"/>
          <w:highlight w:val="none"/>
          <w:lang w:val="en-US" w:eastAsia="zh-CN"/>
        </w:rPr>
        <w:t>偏离</w:t>
      </w:r>
      <w:r>
        <w:rPr>
          <w:rFonts w:hint="eastAsia" w:ascii="宋体" w:hAnsi="宋体" w:eastAsia="宋体" w:cs="宋体"/>
          <w:color w:val="000000"/>
          <w:sz w:val="24"/>
          <w:highlight w:val="none"/>
        </w:rPr>
        <w:t>。</w:t>
      </w:r>
    </w:p>
    <w:p>
      <w:pPr>
        <w:pStyle w:val="115"/>
        <w:spacing w:line="360" w:lineRule="auto"/>
        <w:ind w:firstLine="482" w:firstLineChars="200"/>
        <w:outlineLvl w:val="2"/>
        <w:rPr>
          <w:rFonts w:hint="eastAsia" w:eastAsia="宋体" w:cs="宋体"/>
          <w:b/>
          <w:bCs w:val="0"/>
          <w:sz w:val="24"/>
          <w:szCs w:val="24"/>
          <w:highlight w:val="yellow"/>
          <w:lang w:val="en-US" w:eastAsia="zh-CN"/>
        </w:rPr>
      </w:pPr>
      <w:bookmarkStart w:id="37" w:name="_Toc7543470"/>
      <w:r>
        <w:rPr>
          <w:rFonts w:hint="eastAsia" w:eastAsia="宋体" w:cs="宋体"/>
          <w:b/>
          <w:bCs w:val="0"/>
          <w:sz w:val="24"/>
          <w:szCs w:val="24"/>
          <w:highlight w:val="yellow"/>
          <w:lang w:val="en-US" w:eastAsia="zh-CN"/>
        </w:rPr>
        <w:t>2、项目</w:t>
      </w:r>
      <w:bookmarkEnd w:id="37"/>
      <w:r>
        <w:rPr>
          <w:rFonts w:hint="eastAsia" w:eastAsia="宋体" w:cs="宋体"/>
          <w:b/>
          <w:bCs w:val="0"/>
          <w:sz w:val="24"/>
          <w:szCs w:val="24"/>
          <w:highlight w:val="yellow"/>
          <w:lang w:val="en-US" w:eastAsia="zh-CN"/>
        </w:rPr>
        <w:t>目标</w:t>
      </w:r>
    </w:p>
    <w:p>
      <w:pPr>
        <w:spacing w:line="360" w:lineRule="auto"/>
        <w:ind w:firstLine="480" w:firstLineChars="200"/>
        <w:rPr>
          <w:rFonts w:hint="eastAsia" w:ascii="宋体" w:hAnsi="宋体" w:eastAsia="宋体" w:cs="宋体"/>
          <w:color w:val="000000"/>
          <w:sz w:val="24"/>
          <w:highlight w:val="none"/>
          <w:lang w:eastAsia="zh-CN"/>
        </w:rPr>
      </w:pPr>
      <w:r>
        <w:rPr>
          <w:rFonts w:hint="eastAsia" w:ascii="宋体" w:hAnsi="宋体" w:eastAsia="宋体" w:cs="Times New Roman"/>
          <w:color w:val="000000"/>
          <w:sz w:val="24"/>
          <w:highlight w:val="none"/>
        </w:rPr>
        <w:t>该项目实施后</w:t>
      </w:r>
      <w:r>
        <w:rPr>
          <w:rFonts w:hint="eastAsia" w:ascii="宋体" w:hAnsi="宋体" w:eastAsia="宋体" w:cs="Times New Roman"/>
          <w:color w:val="000000"/>
          <w:sz w:val="24"/>
          <w:highlight w:val="none"/>
          <w:lang w:eastAsia="zh-CN"/>
        </w:rPr>
        <w:t>，</w:t>
      </w:r>
      <w:r>
        <w:rPr>
          <w:rFonts w:hint="eastAsia" w:ascii="宋体" w:hAnsi="宋体" w:eastAsia="宋体" w:cs="宋体"/>
          <w:color w:val="000000"/>
          <w:sz w:val="24"/>
          <w:highlight w:val="none"/>
        </w:rPr>
        <w:t>实现对</w:t>
      </w:r>
      <w:r>
        <w:rPr>
          <w:rFonts w:hint="eastAsia" w:ascii="宋体" w:hAnsi="宋体" w:eastAsia="宋体" w:cs="宋体"/>
          <w:color w:val="000000"/>
          <w:sz w:val="24"/>
          <w:highlight w:val="none"/>
          <w:lang w:val="en-US" w:eastAsia="zh-CN"/>
        </w:rPr>
        <w:t>现有车型</w:t>
      </w:r>
      <w:r>
        <w:rPr>
          <w:rFonts w:hint="eastAsia" w:ascii="宋体" w:hAnsi="宋体" w:eastAsia="宋体" w:cs="宋体"/>
          <w:color w:val="000000"/>
          <w:sz w:val="24"/>
          <w:highlight w:val="none"/>
        </w:rPr>
        <w:t>X型臂</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V推</w:t>
      </w:r>
      <w:r>
        <w:rPr>
          <w:rFonts w:hint="eastAsia" w:ascii="宋体" w:hAnsi="宋体" w:eastAsia="宋体" w:cs="宋体"/>
          <w:color w:val="000000"/>
          <w:sz w:val="24"/>
          <w:highlight w:val="none"/>
        </w:rPr>
        <w:t>螺栓的定值拧紧,保证悬架</w:t>
      </w:r>
      <w:r>
        <w:rPr>
          <w:rFonts w:hint="eastAsia" w:ascii="宋体" w:hAnsi="宋体" w:eastAsia="宋体" w:cs="宋体"/>
          <w:color w:val="000000"/>
          <w:sz w:val="24"/>
          <w:highlight w:val="none"/>
          <w:lang w:val="en-US" w:eastAsia="zh-CN"/>
        </w:rPr>
        <w:t>相关</w:t>
      </w:r>
      <w:r>
        <w:rPr>
          <w:rFonts w:hint="eastAsia" w:ascii="宋体" w:hAnsi="宋体" w:eastAsia="宋体" w:cs="宋体"/>
          <w:color w:val="000000"/>
          <w:sz w:val="24"/>
          <w:highlight w:val="none"/>
        </w:rPr>
        <w:t>部位装配质量</w:t>
      </w:r>
      <w:r>
        <w:rPr>
          <w:rFonts w:hint="eastAsia" w:ascii="宋体" w:hAnsi="宋体" w:eastAsia="宋体" w:cs="宋体"/>
          <w:color w:val="000000"/>
          <w:sz w:val="24"/>
          <w:highlight w:val="none"/>
          <w:lang w:val="en-US" w:eastAsia="zh-CN"/>
        </w:rPr>
        <w:t>和节拍</w:t>
      </w:r>
      <w:r>
        <w:rPr>
          <w:rFonts w:hint="eastAsia" w:ascii="宋体" w:hAnsi="宋体" w:eastAsia="宋体" w:cs="宋体"/>
          <w:color w:val="000000"/>
          <w:sz w:val="24"/>
          <w:highlight w:val="none"/>
        </w:rPr>
        <w:t>。改善员工作业环境；</w:t>
      </w:r>
      <w:r>
        <w:rPr>
          <w:rFonts w:hint="eastAsia" w:ascii="宋体" w:hAnsi="宋体" w:eastAsia="宋体" w:cs="宋体"/>
          <w:color w:val="000000"/>
          <w:sz w:val="24"/>
          <w:highlight w:val="none"/>
          <w:lang w:val="en-US" w:eastAsia="zh-CN"/>
        </w:rPr>
        <w:t>且</w:t>
      </w:r>
      <w:r>
        <w:rPr>
          <w:rFonts w:hint="eastAsia" w:ascii="宋体" w:hAnsi="宋体" w:eastAsia="宋体" w:cs="宋体"/>
          <w:color w:val="000000"/>
          <w:sz w:val="24"/>
          <w:highlight w:val="none"/>
        </w:rPr>
        <w:t>螺栓拧紧</w:t>
      </w:r>
      <w:r>
        <w:rPr>
          <w:rFonts w:hint="eastAsia" w:ascii="宋体" w:hAnsi="宋体" w:eastAsia="宋体" w:cs="宋体"/>
          <w:color w:val="000000"/>
          <w:sz w:val="24"/>
          <w:highlight w:val="none"/>
          <w:lang w:val="en-US" w:eastAsia="zh-CN"/>
        </w:rPr>
        <w:t>数据实现</w:t>
      </w:r>
      <w:r>
        <w:rPr>
          <w:rFonts w:hint="eastAsia" w:ascii="宋体" w:hAnsi="宋体" w:eastAsia="宋体" w:cs="宋体"/>
          <w:color w:val="000000"/>
          <w:sz w:val="24"/>
          <w:highlight w:val="none"/>
        </w:rPr>
        <w:t>可追溯</w:t>
      </w:r>
      <w:r>
        <w:rPr>
          <w:rFonts w:hint="eastAsia" w:ascii="宋体" w:hAnsi="宋体" w:eastAsia="宋体" w:cs="宋体"/>
          <w:color w:val="000000"/>
          <w:sz w:val="24"/>
          <w:highlight w:val="none"/>
          <w:lang w:eastAsia="zh-CN"/>
        </w:rPr>
        <w:t>。</w:t>
      </w:r>
    </w:p>
    <w:p>
      <w:pPr>
        <w:pStyle w:val="115"/>
        <w:spacing w:line="360" w:lineRule="auto"/>
        <w:ind w:firstLine="482" w:firstLineChars="200"/>
        <w:outlineLvl w:val="2"/>
        <w:rPr>
          <w:rFonts w:hint="eastAsia" w:eastAsia="宋体" w:cs="宋体"/>
          <w:b/>
          <w:bCs w:val="0"/>
          <w:sz w:val="24"/>
          <w:szCs w:val="24"/>
          <w:highlight w:val="yellow"/>
          <w:lang w:val="en-US" w:eastAsia="zh-CN"/>
        </w:rPr>
      </w:pPr>
      <w:r>
        <w:rPr>
          <w:rFonts w:hint="eastAsia" w:eastAsia="宋体" w:cs="宋体"/>
          <w:b/>
          <w:bCs w:val="0"/>
          <w:sz w:val="24"/>
          <w:szCs w:val="24"/>
          <w:highlight w:val="yellow"/>
          <w:lang w:val="en-US" w:eastAsia="zh-CN"/>
        </w:rPr>
        <w:t>3、总体要求技术规范</w:t>
      </w:r>
    </w:p>
    <w:p>
      <w:pPr>
        <w:widowControl/>
        <w:spacing w:line="360" w:lineRule="auto"/>
        <w:ind w:firstLine="540" w:firstLineChars="225"/>
        <w:jc w:val="left"/>
        <w:rPr>
          <w:rFonts w:hint="eastAsia" w:ascii="宋体" w:hAnsi="宋体" w:eastAsia="宋体" w:cs="Times New Roman"/>
          <w:color w:val="000000"/>
          <w:kern w:val="0"/>
          <w:sz w:val="24"/>
          <w:highlight w:val="none"/>
        </w:rPr>
      </w:pPr>
      <w:r>
        <w:rPr>
          <w:rFonts w:hint="eastAsia" w:ascii="宋体" w:hAnsi="宋体" w:eastAsia="宋体" w:cs="Times New Roman"/>
          <w:color w:val="000000"/>
          <w:kern w:val="0"/>
          <w:sz w:val="24"/>
          <w:highlight w:val="none"/>
        </w:rPr>
        <w:t>在基本要求和执行标准基础上，本技术标书对所采购的货物的技术及使用等方面作出如下要求：</w:t>
      </w:r>
    </w:p>
    <w:p>
      <w:pPr>
        <w:spacing w:line="360" w:lineRule="auto"/>
        <w:ind w:firstLine="482"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w:t>
      </w:r>
      <w:r>
        <w:rPr>
          <w:rFonts w:hint="eastAsia" w:ascii="宋体" w:hAnsi="宋体" w:eastAsia="宋体" w:cs="宋体"/>
          <w:b/>
          <w:bCs/>
          <w:color w:val="000000"/>
          <w:sz w:val="24"/>
          <w:highlight w:val="none"/>
          <w:lang w:val="en-US" w:eastAsia="zh-CN"/>
        </w:rPr>
        <w:t>3</w:t>
      </w:r>
      <w:r>
        <w:rPr>
          <w:rFonts w:hint="eastAsia" w:ascii="宋体" w:hAnsi="宋体" w:eastAsia="宋体" w:cs="宋体"/>
          <w:b/>
          <w:bCs/>
          <w:color w:val="000000"/>
          <w:sz w:val="24"/>
          <w:highlight w:val="none"/>
        </w:rPr>
        <w:t>.1生产纲领及节拍</w:t>
      </w:r>
    </w:p>
    <w:p>
      <w:pPr>
        <w:widowControl/>
        <w:spacing w:line="360" w:lineRule="auto"/>
        <w:ind w:firstLine="540" w:firstLineChars="225"/>
        <w:jc w:val="left"/>
        <w:rPr>
          <w:rFonts w:hint="eastAsia" w:ascii="宋体" w:hAnsi="宋体" w:eastAsia="宋体" w:cs="Times New Roman"/>
          <w:color w:val="000000"/>
          <w:kern w:val="0"/>
          <w:sz w:val="24"/>
          <w:highlight w:val="none"/>
        </w:rPr>
      </w:pPr>
      <w:r>
        <w:rPr>
          <w:rFonts w:hint="eastAsia" w:ascii="宋体" w:hAnsi="宋体" w:eastAsia="宋体" w:cs="Times New Roman"/>
          <w:color w:val="000000"/>
          <w:kern w:val="0"/>
          <w:sz w:val="24"/>
          <w:highlight w:val="none"/>
        </w:rPr>
        <w:t>本项目工作制度、产能、节拍及效率如下，投标方提供的设施、设备必须满足此要求。</w:t>
      </w:r>
    </w:p>
    <w:p>
      <w:pPr>
        <w:widowControl/>
        <w:spacing w:line="360" w:lineRule="auto"/>
        <w:ind w:firstLine="540" w:firstLineChars="225"/>
        <w:jc w:val="left"/>
        <w:rPr>
          <w:rFonts w:hint="eastAsia" w:ascii="宋体" w:hAnsi="宋体" w:eastAsia="宋体" w:cs="Times New Roman"/>
          <w:color w:val="000000"/>
          <w:kern w:val="0"/>
          <w:sz w:val="24"/>
          <w:highlight w:val="none"/>
        </w:rPr>
      </w:pPr>
      <w:r>
        <w:rPr>
          <w:rFonts w:hint="eastAsia" w:ascii="宋体" w:hAnsi="宋体" w:eastAsia="宋体" w:cs="Times New Roman"/>
          <w:color w:val="000000"/>
          <w:kern w:val="0"/>
          <w:sz w:val="24"/>
          <w:highlight w:val="none"/>
          <w:lang w:val="en-US" w:eastAsia="zh-CN"/>
        </w:rPr>
        <w:t>3</w:t>
      </w:r>
      <w:r>
        <w:rPr>
          <w:rFonts w:hint="eastAsia" w:ascii="宋体" w:hAnsi="宋体" w:eastAsia="宋体" w:cs="Times New Roman"/>
          <w:color w:val="000000"/>
          <w:kern w:val="0"/>
          <w:sz w:val="24"/>
          <w:highlight w:val="none"/>
        </w:rPr>
        <w:t>.1.1生产纲领：全年工作300天、两班制、设备年时基数4800小时。</w:t>
      </w:r>
    </w:p>
    <w:p>
      <w:pPr>
        <w:widowControl/>
        <w:spacing w:line="360" w:lineRule="auto"/>
        <w:ind w:firstLine="540" w:firstLineChars="225"/>
        <w:jc w:val="left"/>
        <w:rPr>
          <w:rFonts w:hint="eastAsia" w:ascii="宋体" w:hAnsi="宋体" w:eastAsia="宋体"/>
          <w:color w:val="000000"/>
          <w:sz w:val="24"/>
          <w:highlight w:val="none"/>
          <w:lang w:val="en-US" w:eastAsia="zh-CN"/>
        </w:rPr>
      </w:pPr>
      <w:r>
        <w:rPr>
          <w:rFonts w:hint="eastAsia" w:ascii="宋体" w:hAnsi="宋体" w:eastAsia="宋体" w:cs="Times New Roman"/>
          <w:color w:val="000000"/>
          <w:kern w:val="0"/>
          <w:sz w:val="24"/>
          <w:highlight w:val="none"/>
          <w:lang w:val="en-US" w:eastAsia="zh-CN"/>
        </w:rPr>
        <w:t>3</w:t>
      </w:r>
      <w:r>
        <w:rPr>
          <w:rFonts w:hint="eastAsia" w:ascii="宋体" w:hAnsi="宋体" w:eastAsia="宋体" w:cs="Times New Roman"/>
          <w:color w:val="000000"/>
          <w:kern w:val="0"/>
          <w:sz w:val="24"/>
          <w:highlight w:val="none"/>
        </w:rPr>
        <w:t>.1.2节拍：</w:t>
      </w:r>
      <w:r>
        <w:rPr>
          <w:rFonts w:hint="eastAsia" w:ascii="宋体" w:hAnsi="宋体" w:eastAsia="宋体" w:cs="Times New Roman"/>
          <w:color w:val="000000"/>
          <w:kern w:val="0"/>
          <w:sz w:val="24"/>
          <w:highlight w:val="none"/>
          <w:lang w:val="en-US" w:eastAsia="zh-CN"/>
        </w:rPr>
        <w:t>4</w:t>
      </w:r>
      <w:r>
        <w:rPr>
          <w:rFonts w:hint="eastAsia" w:ascii="宋体" w:hAnsi="宋体" w:eastAsia="宋体" w:cs="Times New Roman"/>
          <w:color w:val="000000"/>
          <w:kern w:val="0"/>
          <w:sz w:val="24"/>
          <w:highlight w:val="none"/>
        </w:rPr>
        <w:t>min/</w:t>
      </w:r>
      <w:r>
        <w:rPr>
          <w:rFonts w:hint="eastAsia" w:ascii="宋体" w:hAnsi="宋体" w:eastAsia="宋体" w:cs="Times New Roman"/>
          <w:color w:val="000000"/>
          <w:kern w:val="0"/>
          <w:sz w:val="24"/>
          <w:highlight w:val="none"/>
          <w:lang w:val="en-US" w:eastAsia="zh-CN"/>
        </w:rPr>
        <w:t>车。</w:t>
      </w:r>
    </w:p>
    <w:p>
      <w:pPr>
        <w:spacing w:line="360" w:lineRule="auto"/>
        <w:ind w:firstLine="482" w:firstLineChars="200"/>
        <w:rPr>
          <w:rFonts w:hint="eastAsia" w:ascii="宋体" w:hAnsi="宋体" w:eastAsia="宋体" w:cs="宋体"/>
          <w:b/>
          <w:bCs/>
          <w:color w:val="000000"/>
          <w:sz w:val="24"/>
          <w:highlight w:val="none"/>
        </w:rPr>
      </w:pPr>
      <w:bookmarkStart w:id="38" w:name="_Hlk68076327"/>
      <w:r>
        <w:rPr>
          <w:rFonts w:hint="eastAsia" w:ascii="宋体" w:hAnsi="宋体" w:eastAsia="宋体" w:cs="宋体"/>
          <w:b/>
          <w:bCs/>
          <w:color w:val="000000"/>
          <w:sz w:val="24"/>
          <w:highlight w:val="none"/>
          <w:lang w:val="en-US" w:eastAsia="zh-CN"/>
        </w:rPr>
        <w:t>3.2</w:t>
      </w:r>
      <w:r>
        <w:rPr>
          <w:rFonts w:hint="eastAsia" w:ascii="宋体" w:hAnsi="宋体" w:eastAsia="宋体" w:cs="宋体"/>
          <w:b/>
          <w:bCs/>
          <w:color w:val="000000"/>
          <w:sz w:val="24"/>
          <w:highlight w:val="none"/>
        </w:rPr>
        <w:t>工艺方案</w:t>
      </w:r>
    </w:p>
    <w:p>
      <w:pPr>
        <w:pStyle w:val="139"/>
        <w:adjustRightInd w:val="0"/>
        <w:snapToGrid w:val="0"/>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投标方在充分技术交流基础上根据本技术任务书及招标方提供数据进行济南商用车制造公司新增X型臂螺栓拧紧工具项目方案规划。</w:t>
      </w:r>
    </w:p>
    <w:p>
      <w:pPr>
        <w:spacing w:line="360" w:lineRule="auto"/>
        <w:ind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为保证投标方最终提交的方案满足招标方要求，特提出以下技术要求</w:t>
      </w:r>
      <w:r>
        <w:rPr>
          <w:rFonts w:hint="eastAsia" w:ascii="宋体" w:hAnsi="宋体" w:eastAsia="宋体" w:cs="宋体"/>
          <w:color w:val="000000"/>
          <w:kern w:val="0"/>
          <w:sz w:val="24"/>
          <w:highlight w:val="none"/>
          <w:lang w:val="en-US" w:eastAsia="zh-CN"/>
        </w:rPr>
        <w:t>及说明</w:t>
      </w:r>
      <w:r>
        <w:rPr>
          <w:rFonts w:hint="eastAsia" w:ascii="宋体" w:hAnsi="宋体" w:eastAsia="宋体" w:cs="宋体"/>
          <w:color w:val="000000"/>
          <w:kern w:val="0"/>
          <w:sz w:val="24"/>
          <w:highlight w:val="none"/>
        </w:rPr>
        <w:t>：</w:t>
      </w:r>
    </w:p>
    <w:p>
      <w:pPr>
        <w:pStyle w:val="139"/>
        <w:adjustRightInd w:val="0"/>
        <w:snapToGrid w:val="0"/>
        <w:rPr>
          <w:rFonts w:hint="eastAsia" w:ascii="宋体" w:hAnsi="宋体" w:eastAsia="宋体" w:cs="宋体"/>
          <w:b/>
          <w:bCs/>
          <w:color w:val="000000"/>
          <w:kern w:val="2"/>
          <w:sz w:val="24"/>
          <w:szCs w:val="22"/>
          <w:highlight w:val="none"/>
          <w:lang w:val="en-US" w:eastAsia="zh-CN" w:bidi="ar-SA"/>
        </w:rPr>
      </w:pPr>
      <w:r>
        <w:rPr>
          <w:rFonts w:hint="eastAsia" w:ascii="宋体" w:hAnsi="宋体" w:eastAsia="宋体" w:cs="宋体"/>
          <w:b/>
          <w:bCs/>
          <w:color w:val="000000"/>
          <w:kern w:val="2"/>
          <w:sz w:val="24"/>
          <w:szCs w:val="22"/>
          <w:highlight w:val="none"/>
          <w:lang w:val="en-US" w:eastAsia="zh-CN" w:bidi="ar-SA"/>
        </w:rPr>
        <w:t>3.2.1项目实施详情</w:t>
      </w:r>
    </w:p>
    <w:p>
      <w:pPr>
        <w:pStyle w:val="139"/>
        <w:adjustRightInd w:val="0"/>
        <w:snapToGrid w:val="0"/>
        <w:rPr>
          <w:color w:val="000000"/>
          <w:highlight w:val="none"/>
        </w:rPr>
      </w:pPr>
      <w:r>
        <w:rPr>
          <w:rFonts w:hint="eastAsia" w:ascii="宋体" w:hAnsi="宋体" w:eastAsia="宋体" w:cs="宋体"/>
          <w:b/>
          <w:bCs/>
          <w:color w:val="000000"/>
          <w:kern w:val="2"/>
          <w:sz w:val="24"/>
          <w:szCs w:val="22"/>
          <w:highlight w:val="none"/>
          <w:lang w:val="en-US" w:eastAsia="zh-CN" w:bidi="ar-SA"/>
        </w:rPr>
        <w:t xml:space="preserve">3.2.1.1新增X型臂螺栓拧紧工具项目概述  </w:t>
      </w:r>
      <w:r>
        <w:rPr>
          <w:rFonts w:hint="eastAsia"/>
          <w:color w:val="000000"/>
          <w:highlight w:val="none"/>
          <w:lang w:val="en-US" w:eastAsia="zh-CN"/>
        </w:rPr>
        <w:t xml:space="preserve">      </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济南商用车制造公司新增X型臂螺栓拧紧工具项目最终要实现的可追溯方案是螺栓（螺母）拧紧后，拧紧工具控制器将带有VIN号的拧紧信息（包含拧紧完成信号、拧紧结果数据（包含合格和不合格数据）、拧紧序列号、拧紧模式及其他有必要上传的信息）发送给IOT平台/HMES。</w:t>
      </w:r>
    </w:p>
    <w:p>
      <w:pPr>
        <w:pStyle w:val="139"/>
        <w:adjustRightInd w:val="0"/>
        <w:snapToGrid w:val="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本次招标主要是针对X型臂螺栓的拧紧。本项目主要包含新增拧紧工具、新增拧紧工具配套工装、新增扫码枪和网络铺设部分等几个主要组成部分。</w:t>
      </w:r>
    </w:p>
    <w:p>
      <w:pPr>
        <w:pStyle w:val="139"/>
        <w:adjustRightInd w:val="0"/>
        <w:snapToGrid w:val="0"/>
        <w:rPr>
          <w:rFonts w:hint="eastAsia" w:ascii="宋体" w:hAnsi="宋体" w:eastAsia="宋体" w:cs="宋体"/>
          <w:b/>
          <w:bCs/>
          <w:color w:val="000000"/>
          <w:kern w:val="2"/>
          <w:sz w:val="24"/>
          <w:szCs w:val="22"/>
          <w:highlight w:val="none"/>
          <w:lang w:val="en-US" w:eastAsia="zh-CN" w:bidi="ar-SA"/>
        </w:rPr>
      </w:pPr>
      <w:r>
        <w:rPr>
          <w:rFonts w:hint="eastAsia" w:ascii="宋体" w:hAnsi="宋体" w:eastAsia="宋体" w:cs="宋体"/>
          <w:b/>
          <w:bCs/>
          <w:color w:val="000000"/>
          <w:kern w:val="2"/>
          <w:sz w:val="24"/>
          <w:szCs w:val="22"/>
          <w:highlight w:val="none"/>
          <w:lang w:val="en-US" w:eastAsia="zh-CN" w:bidi="ar-SA"/>
        </w:rPr>
        <w:t>3.2.1.2设备主要组成部分及要求</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①项目涉及拧紧螺栓</w:t>
      </w:r>
      <w:r>
        <w:rPr>
          <w:rFonts w:hint="eastAsia" w:ascii="宋体" w:hAnsi="宋体" w:eastAsia="宋体" w:cs="Times New Roman"/>
          <w:color w:val="000000"/>
          <w:sz w:val="24"/>
          <w:highlight w:val="none"/>
          <w:lang w:val="en-US" w:eastAsia="zh-CN"/>
        </w:rPr>
        <w:t>统计如下：</w:t>
      </w:r>
    </w:p>
    <w:tbl>
      <w:tblPr>
        <w:tblStyle w:val="38"/>
        <w:tblW w:w="91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7"/>
        <w:gridCol w:w="821"/>
        <w:gridCol w:w="1380"/>
        <w:gridCol w:w="754"/>
        <w:gridCol w:w="1567"/>
        <w:gridCol w:w="1080"/>
        <w:gridCol w:w="2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型号</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产品</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连接部位</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穿向</w:t>
            </w:r>
          </w:p>
        </w:tc>
        <w:tc>
          <w:tcPr>
            <w:tcW w:w="15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力矩</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轴间距</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M24</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V推</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与桥连接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竖直</w:t>
            </w:r>
          </w:p>
        </w:tc>
        <w:tc>
          <w:tcPr>
            <w:tcW w:w="15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960±96N.m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152</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M24</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V推</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与桥连接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水平</w:t>
            </w:r>
          </w:p>
        </w:tc>
        <w:tc>
          <w:tcPr>
            <w:tcW w:w="15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960-1060N.m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152</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M22*1.5</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V推</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与桥连接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水平</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750±50N.m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152</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M20*1.5</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直推</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与桥连接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水平</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565±56N.m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152</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M22*1.5</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X型臂</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与桥连接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竖直</w:t>
            </w:r>
          </w:p>
        </w:tc>
        <w:tc>
          <w:tcPr>
            <w:tcW w:w="15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750±38N.m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M22*2.5</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V推</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与车架连接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水平</w:t>
            </w:r>
          </w:p>
        </w:tc>
        <w:tc>
          <w:tcPr>
            <w:tcW w:w="15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795±79N.m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单轴定值拧紧工具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M22*1.5</w:t>
            </w:r>
          </w:p>
        </w:tc>
        <w:tc>
          <w:tcPr>
            <w:tcW w:w="8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X型臂</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与车架连接</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水平</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1100±55N.m</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2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单轴定值拧紧工具</w:t>
            </w:r>
          </w:p>
        </w:tc>
      </w:tr>
    </w:tbl>
    <w:p>
      <w:pPr>
        <w:pStyle w:val="139"/>
        <w:adjustRightInd w:val="0"/>
        <w:snapToGrid w:val="0"/>
        <w:rPr>
          <w:rFonts w:hint="eastAsia" w:ascii="宋体" w:hAnsi="宋体" w:eastAsia="宋体" w:cs="Times New Roman"/>
          <w:b/>
          <w:bCs/>
          <w:color w:val="000000"/>
          <w:sz w:val="24"/>
          <w:highlight w:val="none"/>
          <w:lang w:val="en-US" w:eastAsia="zh-CN"/>
        </w:rPr>
      </w:pP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②拧紧工具</w:t>
      </w:r>
      <w:r>
        <w:rPr>
          <w:rFonts w:hint="eastAsia" w:ascii="宋体" w:hAnsi="宋体" w:eastAsia="宋体" w:cs="Times New Roman"/>
          <w:color w:val="000000"/>
          <w:sz w:val="24"/>
          <w:highlight w:val="none"/>
          <w:lang w:val="en-US" w:eastAsia="zh-CN"/>
        </w:rPr>
        <w:t>：新增2套单轴定值拧紧工具、1套可变距双轴定值拧紧工具。详细装配工位、工序名称、拧紧力矩等信息如下：</w:t>
      </w:r>
    </w:p>
    <w:tbl>
      <w:tblPr>
        <w:tblStyle w:val="3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
        <w:gridCol w:w="564"/>
        <w:gridCol w:w="1052"/>
        <w:gridCol w:w="988"/>
        <w:gridCol w:w="1470"/>
        <w:gridCol w:w="630"/>
        <w:gridCol w:w="1164"/>
        <w:gridCol w:w="1084"/>
        <w:gridCol w:w="606"/>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48"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生产线</w:t>
            </w:r>
          </w:p>
        </w:tc>
        <w:tc>
          <w:tcPr>
            <w:tcW w:w="303"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工位</w:t>
            </w:r>
          </w:p>
        </w:tc>
        <w:tc>
          <w:tcPr>
            <w:tcW w:w="566" w:type="pct"/>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工序名称</w:t>
            </w:r>
          </w:p>
        </w:tc>
        <w:tc>
          <w:tcPr>
            <w:tcW w:w="532"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螺栓型号</w:t>
            </w:r>
          </w:p>
        </w:tc>
        <w:tc>
          <w:tcPr>
            <w:tcW w:w="791" w:type="pct"/>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拧紧力矩（Nm）</w:t>
            </w:r>
          </w:p>
        </w:tc>
        <w:tc>
          <w:tcPr>
            <w:tcW w:w="339"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c>
          <w:tcPr>
            <w:tcW w:w="626"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工具类型</w:t>
            </w:r>
          </w:p>
        </w:tc>
        <w:tc>
          <w:tcPr>
            <w:tcW w:w="583"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新增/替换</w:t>
            </w:r>
          </w:p>
        </w:tc>
        <w:tc>
          <w:tcPr>
            <w:tcW w:w="326"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工装</w:t>
            </w:r>
          </w:p>
        </w:tc>
        <w:tc>
          <w:tcPr>
            <w:tcW w:w="480" w:type="pct"/>
            <w:tcBorders>
              <w:top w:val="single" w:color="000000" w:sz="8" w:space="0"/>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48"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车架线</w:t>
            </w:r>
          </w:p>
        </w:tc>
        <w:tc>
          <w:tcPr>
            <w:tcW w:w="303"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Z39</w:t>
            </w:r>
          </w:p>
        </w:tc>
        <w:tc>
          <w:tcPr>
            <w:tcW w:w="566"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装配后桥V推工序</w:t>
            </w:r>
          </w:p>
        </w:tc>
        <w:tc>
          <w:tcPr>
            <w:tcW w:w="532"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tc>
        <w:tc>
          <w:tcPr>
            <w:tcW w:w="791"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795</w:t>
            </w:r>
          </w:p>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1100</w:t>
            </w:r>
          </w:p>
        </w:tc>
        <w:tc>
          <w:tcPr>
            <w:tcW w:w="339"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626"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单轴定值拧紧工具</w:t>
            </w:r>
          </w:p>
        </w:tc>
        <w:tc>
          <w:tcPr>
            <w:tcW w:w="583"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新增</w:t>
            </w:r>
          </w:p>
        </w:tc>
        <w:tc>
          <w:tcPr>
            <w:tcW w:w="326"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需要</w:t>
            </w:r>
          </w:p>
        </w:tc>
        <w:tc>
          <w:tcPr>
            <w:tcW w:w="480" w:type="pct"/>
            <w:tcBorders>
              <w:top w:val="nil"/>
              <w:left w:val="nil"/>
              <w:bottom w:val="single" w:color="000000" w:sz="8" w:space="0"/>
              <w:right w:val="single" w:color="000000" w:sz="8"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需要有配套的工装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48"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预装线</w:t>
            </w:r>
          </w:p>
        </w:tc>
        <w:tc>
          <w:tcPr>
            <w:tcW w:w="303"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Z29</w:t>
            </w:r>
          </w:p>
        </w:tc>
        <w:tc>
          <w:tcPr>
            <w:tcW w:w="566"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紧固V推螺栓工序</w:t>
            </w:r>
          </w:p>
        </w:tc>
        <w:tc>
          <w:tcPr>
            <w:tcW w:w="532" w:type="pct"/>
            <w:tcBorders>
              <w:top w:val="nil"/>
              <w:left w:val="nil"/>
              <w:bottom w:val="single" w:color="000000" w:sz="8" w:space="0"/>
              <w:right w:val="single" w:color="000000" w:sz="8" w:space="0"/>
            </w:tcBorders>
            <w:noWrap/>
            <w:vAlign w:val="center"/>
          </w:tcPr>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M20</w:t>
            </w:r>
          </w:p>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p>
            <w:pPr>
              <w:pStyle w:val="5"/>
              <w:ind w:left="0" w:leftChars="0" w:firstLine="0" w:firstLineChars="0"/>
              <w:jc w:val="center"/>
              <w:rPr>
                <w:rFonts w:hint="default"/>
                <w:color w:val="000000"/>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M24</w:t>
            </w:r>
          </w:p>
        </w:tc>
        <w:tc>
          <w:tcPr>
            <w:tcW w:w="791" w:type="pct"/>
            <w:tcBorders>
              <w:top w:val="nil"/>
              <w:left w:val="nil"/>
              <w:bottom w:val="single" w:color="000000" w:sz="8" w:space="0"/>
              <w:right w:val="single" w:color="000000" w:sz="8" w:space="0"/>
            </w:tcBorders>
            <w:noWrap w:val="0"/>
            <w:vAlign w:val="center"/>
          </w:tcPr>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565</w:t>
            </w:r>
          </w:p>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750</w:t>
            </w:r>
          </w:p>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960</w:t>
            </w:r>
          </w:p>
        </w:tc>
        <w:tc>
          <w:tcPr>
            <w:tcW w:w="339"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626"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双轴定值拧紧工具</w:t>
            </w:r>
          </w:p>
        </w:tc>
        <w:tc>
          <w:tcPr>
            <w:tcW w:w="583"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新增</w:t>
            </w:r>
          </w:p>
        </w:tc>
        <w:tc>
          <w:tcPr>
            <w:tcW w:w="326"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需要</w:t>
            </w:r>
          </w:p>
        </w:tc>
        <w:tc>
          <w:tcPr>
            <w:tcW w:w="480" w:type="pct"/>
            <w:tcBorders>
              <w:top w:val="nil"/>
              <w:left w:val="nil"/>
              <w:bottom w:val="single" w:color="000000" w:sz="8" w:space="0"/>
              <w:right w:val="single" w:color="000000" w:sz="8" w:space="0"/>
            </w:tcBorders>
            <w:noWrap/>
            <w:vAlign w:val="center"/>
          </w:tcPr>
          <w:p>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lang w:val="en-US" w:eastAsia="zh-CN"/>
              </w:rPr>
              <w:t>需要有配套的工装</w:t>
            </w:r>
          </w:p>
        </w:tc>
      </w:tr>
    </w:tbl>
    <w:p>
      <w:pPr>
        <w:pStyle w:val="139"/>
        <w:adjustRightInd w:val="0"/>
        <w:snapToGrid w:val="0"/>
        <w:rPr>
          <w:rFonts w:hint="eastAsia" w:ascii="宋体" w:hAnsi="宋体" w:eastAsia="宋体" w:cs="Times New Roman"/>
          <w:b/>
          <w:bCs/>
          <w:color w:val="000000"/>
          <w:sz w:val="24"/>
          <w:highlight w:val="none"/>
          <w:lang w:val="en-US" w:eastAsia="zh-CN"/>
        </w:rPr>
      </w:pPr>
    </w:p>
    <w:p>
      <w:pPr>
        <w:pStyle w:val="139"/>
        <w:adjustRightInd w:val="0"/>
        <w:snapToGrid w:val="0"/>
        <w:rPr>
          <w:rFonts w:hint="eastAsia"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③工具选型建议的力矩范围：</w:t>
      </w:r>
      <w:r>
        <w:rPr>
          <w:rFonts w:hint="eastAsia" w:ascii="宋体" w:hAnsi="宋体" w:eastAsia="宋体" w:cs="Times New Roman"/>
          <w:b w:val="0"/>
          <w:bCs w:val="0"/>
          <w:color w:val="000000"/>
          <w:sz w:val="24"/>
          <w:highlight w:val="none"/>
          <w:lang w:val="en-US" w:eastAsia="zh-CN"/>
        </w:rPr>
        <w:t>根据招标方对工具型号的了解及报价的合理性要求，建议（非必须）本项目中工具选型的力矩范围如下：</w:t>
      </w:r>
    </w:p>
    <w:tbl>
      <w:tblPr>
        <w:tblStyle w:val="3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
        <w:gridCol w:w="528"/>
        <w:gridCol w:w="1068"/>
        <w:gridCol w:w="1080"/>
        <w:gridCol w:w="1596"/>
        <w:gridCol w:w="684"/>
        <w:gridCol w:w="1548"/>
        <w:gridCol w:w="1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生产线</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工位</w:t>
            </w:r>
          </w:p>
        </w:tc>
        <w:tc>
          <w:tcPr>
            <w:tcW w:w="5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工序名称</w:t>
            </w:r>
          </w:p>
        </w:tc>
        <w:tc>
          <w:tcPr>
            <w:tcW w:w="5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螺栓型号</w:t>
            </w:r>
          </w:p>
        </w:tc>
        <w:tc>
          <w:tcPr>
            <w:tcW w:w="8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拧紧力矩（Nm）</w:t>
            </w:r>
          </w:p>
        </w:tc>
        <w:tc>
          <w:tcPr>
            <w:tcW w:w="3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83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工具类型</w:t>
            </w:r>
          </w:p>
        </w:tc>
        <w:tc>
          <w:tcPr>
            <w:tcW w:w="102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建议力矩范围（Nm）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车架线</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Z39</w:t>
            </w:r>
          </w:p>
        </w:tc>
        <w:tc>
          <w:tcPr>
            <w:tcW w:w="5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装配后桥V推工序</w:t>
            </w:r>
          </w:p>
        </w:tc>
        <w:tc>
          <w:tcPr>
            <w:tcW w:w="5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tc>
        <w:tc>
          <w:tcPr>
            <w:tcW w:w="8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795</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1100</w:t>
            </w:r>
          </w:p>
        </w:tc>
        <w:tc>
          <w:tcPr>
            <w:tcW w:w="3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单轴定值拧紧工具</w:t>
            </w:r>
          </w:p>
        </w:tc>
        <w:tc>
          <w:tcPr>
            <w:tcW w:w="102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450-1500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4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预装线</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Z29</w:t>
            </w:r>
          </w:p>
        </w:tc>
        <w:tc>
          <w:tcPr>
            <w:tcW w:w="5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紧固V推螺栓工序</w:t>
            </w:r>
          </w:p>
        </w:tc>
        <w:tc>
          <w:tcPr>
            <w:tcW w:w="581" w:type="pct"/>
            <w:tcBorders>
              <w:top w:val="single" w:color="000000" w:sz="4" w:space="0"/>
              <w:left w:val="single" w:color="000000" w:sz="4" w:space="0"/>
              <w:bottom w:val="single" w:color="000000" w:sz="4" w:space="0"/>
              <w:right w:val="single" w:color="000000" w:sz="4" w:space="0"/>
            </w:tcBorders>
            <w:noWrap w:val="0"/>
            <w:vAlign w:val="center"/>
          </w:tcPr>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M20</w:t>
            </w:r>
          </w:p>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p>
            <w:pPr>
              <w:pStyle w:val="5"/>
              <w:ind w:left="0" w:leftChars="0" w:firstLine="0" w:firstLineChars="0"/>
              <w:jc w:val="center"/>
              <w:rPr>
                <w:rFonts w:hint="eastAsia" w:ascii="Times New Roman" w:hAnsi="Times New Roman" w:eastAsia="宋体" w:cs="Times New Roman"/>
                <w:color w:val="000000"/>
                <w:kern w:val="2"/>
                <w:sz w:val="21"/>
                <w:szCs w:val="24"/>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M24</w:t>
            </w:r>
          </w:p>
        </w:tc>
        <w:tc>
          <w:tcPr>
            <w:tcW w:w="859" w:type="pct"/>
            <w:tcBorders>
              <w:top w:val="single" w:color="000000" w:sz="4" w:space="0"/>
              <w:left w:val="single" w:color="000000" w:sz="4" w:space="0"/>
              <w:bottom w:val="single" w:color="000000" w:sz="4" w:space="0"/>
              <w:right w:val="single" w:color="000000" w:sz="4" w:space="0"/>
            </w:tcBorders>
            <w:noWrap w:val="0"/>
            <w:vAlign w:val="center"/>
          </w:tcPr>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565</w:t>
            </w:r>
          </w:p>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750</w:t>
            </w:r>
          </w:p>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960</w:t>
            </w:r>
          </w:p>
        </w:tc>
        <w:tc>
          <w:tcPr>
            <w:tcW w:w="3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83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双轴定值拧紧工具</w:t>
            </w:r>
          </w:p>
        </w:tc>
        <w:tc>
          <w:tcPr>
            <w:tcW w:w="102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450-1500</w:t>
            </w:r>
          </w:p>
        </w:tc>
      </w:tr>
    </w:tbl>
    <w:p>
      <w:pPr>
        <w:pStyle w:val="139"/>
        <w:adjustRightInd w:val="0"/>
        <w:snapToGrid w:val="0"/>
        <w:ind w:left="0" w:leftChars="0" w:firstLine="0" w:firstLineChars="0"/>
        <w:rPr>
          <w:rFonts w:hint="default" w:ascii="宋体" w:hAnsi="宋体" w:eastAsia="宋体" w:cs="Times New Roman"/>
          <w:b/>
          <w:bCs/>
          <w:color w:val="000000"/>
          <w:sz w:val="24"/>
          <w:highlight w:val="none"/>
          <w:lang w:val="en-US" w:eastAsia="zh-CN"/>
        </w:rPr>
      </w:pPr>
    </w:p>
    <w:p>
      <w:pPr>
        <w:pStyle w:val="139"/>
        <w:adjustRightInd w:val="0"/>
        <w:snapToGrid w:val="0"/>
        <w:rPr>
          <w:rFonts w:hint="eastAsia" w:ascii="宋体" w:hAnsi="宋体" w:eastAsia="宋体" w:cs="Times New Roman"/>
          <w:b w:val="0"/>
          <w:bCs w:val="0"/>
          <w:color w:val="000000"/>
          <w:sz w:val="24"/>
          <w:highlight w:val="none"/>
          <w:lang w:val="en-US" w:eastAsia="zh-CN"/>
        </w:rPr>
      </w:pPr>
      <w:r>
        <w:rPr>
          <w:rFonts w:hint="eastAsia" w:ascii="宋体" w:hAnsi="宋体" w:eastAsia="宋体" w:cs="Times New Roman"/>
          <w:b/>
          <w:bCs/>
          <w:color w:val="000000"/>
          <w:sz w:val="24"/>
          <w:highlight w:val="none"/>
          <w:lang w:val="en-US" w:eastAsia="zh-CN"/>
        </w:rPr>
        <w:t>④拧紧工具配套工装：</w:t>
      </w:r>
      <w:r>
        <w:rPr>
          <w:rFonts w:hint="eastAsia" w:ascii="宋体" w:hAnsi="宋体" w:eastAsia="宋体" w:cs="Times New Roman"/>
          <w:b w:val="0"/>
          <w:bCs w:val="0"/>
          <w:color w:val="000000"/>
          <w:sz w:val="24"/>
          <w:highlight w:val="none"/>
          <w:lang w:val="en-US" w:eastAsia="zh-CN"/>
        </w:rPr>
        <w:t>增加的2套单轴设备均需要配套增加吊挂、反力等工装工具，1套双轴设备需要配套增加吊挂、防止螺母跟转的工装，要求操作人员通过吊挂装置可轻松地使设备工具上下活动和对位，操作力不大于2.5kg；</w:t>
      </w:r>
      <w:r>
        <w:rPr>
          <w:rFonts w:hint="eastAsia" w:ascii="宋体" w:hAnsi="宋体" w:eastAsia="宋体" w:cs="Times New Roman"/>
          <w:color w:val="000000"/>
          <w:sz w:val="24"/>
          <w:szCs w:val="24"/>
          <w:highlight w:val="none"/>
          <w:lang w:val="en-US" w:eastAsia="zh-CN"/>
        </w:rPr>
        <w:t>单轴定值拧紧工具反作用力臂采用一备一用且需要提供相应图纸，</w:t>
      </w:r>
      <w:r>
        <w:rPr>
          <w:rFonts w:hint="eastAsia" w:ascii="宋体" w:hAnsi="宋体" w:eastAsia="宋体" w:cs="Times New Roman"/>
          <w:b w:val="0"/>
          <w:bCs w:val="0"/>
          <w:color w:val="000000"/>
          <w:sz w:val="24"/>
          <w:highlight w:val="none"/>
          <w:lang w:val="en-US" w:eastAsia="zh-CN"/>
        </w:rPr>
        <w:t>详细工装形式及要求如下：</w:t>
      </w:r>
    </w:p>
    <w:p>
      <w:pPr>
        <w:pStyle w:val="139"/>
        <w:adjustRightInd w:val="0"/>
        <w:snapToGrid w:val="0"/>
        <w:rPr>
          <w:rFonts w:hint="eastAsia" w:ascii="宋体" w:hAnsi="宋体" w:eastAsia="宋体" w:cs="Times New Roman"/>
          <w:b w:val="0"/>
          <w:bCs w:val="0"/>
          <w:color w:val="000000"/>
          <w:sz w:val="24"/>
          <w:highlight w:val="none"/>
          <w:lang w:val="en-US" w:eastAsia="zh-CN"/>
        </w:rPr>
      </w:pPr>
    </w:p>
    <w:p>
      <w:pPr>
        <w:pStyle w:val="139"/>
        <w:adjustRightInd w:val="0"/>
        <w:snapToGrid w:val="0"/>
        <w:rPr>
          <w:rFonts w:hint="default" w:ascii="宋体" w:hAnsi="宋体" w:eastAsia="宋体" w:cs="Times New Roman"/>
          <w:b w:val="0"/>
          <w:bCs w:val="0"/>
          <w:color w:val="000000"/>
          <w:sz w:val="24"/>
          <w:highlight w:val="none"/>
          <w:lang w:val="en-US" w:eastAsia="zh-CN"/>
        </w:rPr>
      </w:pPr>
    </w:p>
    <w:tbl>
      <w:tblPr>
        <w:tblStyle w:val="38"/>
        <w:tblW w:w="9212" w:type="dxa"/>
        <w:tblInd w:w="93" w:type="dxa"/>
        <w:tblLayout w:type="fixed"/>
        <w:tblCellMar>
          <w:top w:w="0" w:type="dxa"/>
          <w:left w:w="108" w:type="dxa"/>
          <w:bottom w:w="0" w:type="dxa"/>
          <w:right w:w="108" w:type="dxa"/>
        </w:tblCellMar>
      </w:tblPr>
      <w:tblGrid>
        <w:gridCol w:w="641"/>
        <w:gridCol w:w="737"/>
        <w:gridCol w:w="1030"/>
        <w:gridCol w:w="732"/>
        <w:gridCol w:w="1019"/>
        <w:gridCol w:w="469"/>
        <w:gridCol w:w="1080"/>
        <w:gridCol w:w="3504"/>
      </w:tblGrid>
      <w:tr>
        <w:tblPrEx>
          <w:tblCellMar>
            <w:top w:w="0" w:type="dxa"/>
            <w:left w:w="108" w:type="dxa"/>
            <w:bottom w:w="0" w:type="dxa"/>
            <w:right w:w="108" w:type="dxa"/>
          </w:tblCellMar>
        </w:tblPrEx>
        <w:trPr>
          <w:trHeight w:val="480"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生产线</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工位</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工序名称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螺栓型号</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拧紧力矩（Nm）</w:t>
            </w:r>
          </w:p>
        </w:tc>
        <w:tc>
          <w:tcPr>
            <w:tcW w:w="46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数量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工具类型</w:t>
            </w:r>
          </w:p>
        </w:tc>
        <w:tc>
          <w:tcPr>
            <w:tcW w:w="3504"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lang w:bidi="ar"/>
              </w:rPr>
              <w:t>工装要求</w:t>
            </w:r>
          </w:p>
        </w:tc>
      </w:tr>
      <w:tr>
        <w:tblPrEx>
          <w:tblCellMar>
            <w:top w:w="0" w:type="dxa"/>
            <w:left w:w="108" w:type="dxa"/>
            <w:bottom w:w="0" w:type="dxa"/>
            <w:right w:w="108" w:type="dxa"/>
          </w:tblCellMar>
        </w:tblPrEx>
        <w:trPr>
          <w:trHeight w:val="184"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车架线</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Z39</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装配后桥V推工序</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795</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1100</w:t>
            </w:r>
          </w:p>
        </w:tc>
        <w:tc>
          <w:tcPr>
            <w:tcW w:w="4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单轴定值拧紧工具</w:t>
            </w:r>
          </w:p>
        </w:tc>
        <w:tc>
          <w:tcPr>
            <w:tcW w:w="3504"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工具拧紧方向为水平，</w:t>
            </w:r>
            <w:r>
              <w:rPr>
                <w:rFonts w:hint="eastAsia" w:ascii="宋体" w:hAnsi="宋体" w:eastAsia="宋体" w:cs="宋体"/>
                <w:color w:val="000000"/>
                <w:kern w:val="0"/>
                <w:sz w:val="20"/>
                <w:szCs w:val="20"/>
                <w:highlight w:val="none"/>
                <w:lang w:val="en-US" w:eastAsia="zh-CN" w:bidi="ar"/>
              </w:rPr>
              <w:t>增加</w:t>
            </w:r>
            <w:r>
              <w:rPr>
                <w:rFonts w:hint="eastAsia" w:ascii="宋体" w:hAnsi="宋体" w:eastAsia="宋体" w:cs="宋体"/>
                <w:color w:val="000000"/>
                <w:kern w:val="0"/>
                <w:sz w:val="20"/>
                <w:szCs w:val="20"/>
                <w:highlight w:val="none"/>
                <w:lang w:bidi="ar"/>
              </w:rPr>
              <w:t>反作用力臂，</w:t>
            </w:r>
            <w:r>
              <w:rPr>
                <w:rFonts w:hint="eastAsia" w:ascii="宋体" w:hAnsi="宋体" w:eastAsia="宋体" w:cs="宋体"/>
                <w:color w:val="000000"/>
                <w:kern w:val="0"/>
                <w:sz w:val="20"/>
                <w:szCs w:val="20"/>
                <w:highlight w:val="none"/>
                <w:lang w:val="en-US" w:eastAsia="zh-CN" w:bidi="ar"/>
              </w:rPr>
              <w:t>工装设计需同时满足打紧V推和X型臂两种悬架结构的螺栓。</w:t>
            </w:r>
            <w:r>
              <w:rPr>
                <w:rFonts w:hint="eastAsia" w:ascii="宋体" w:hAnsi="宋体" w:eastAsia="宋体" w:cs="宋体"/>
                <w:color w:val="000000"/>
                <w:kern w:val="0"/>
                <w:sz w:val="20"/>
                <w:szCs w:val="20"/>
                <w:highlight w:val="none"/>
                <w:lang w:bidi="ar"/>
              </w:rPr>
              <w:t>现</w:t>
            </w:r>
            <w:r>
              <w:rPr>
                <w:rFonts w:hint="eastAsia" w:ascii="宋体" w:hAnsi="宋体" w:eastAsia="宋体" w:cs="宋体"/>
                <w:color w:val="000000"/>
                <w:kern w:val="0"/>
                <w:sz w:val="20"/>
                <w:szCs w:val="20"/>
                <w:highlight w:val="none"/>
                <w:lang w:val="en-US" w:eastAsia="zh-CN" w:bidi="ar"/>
              </w:rPr>
              <w:t>场KBK轨道下方已有一根横轨，需再增加一根。</w:t>
            </w:r>
          </w:p>
        </w:tc>
      </w:tr>
      <w:tr>
        <w:tblPrEx>
          <w:tblCellMar>
            <w:top w:w="0" w:type="dxa"/>
            <w:left w:w="108" w:type="dxa"/>
            <w:bottom w:w="0" w:type="dxa"/>
            <w:right w:w="108" w:type="dxa"/>
          </w:tblCellMar>
        </w:tblPrEx>
        <w:trPr>
          <w:trHeight w:val="720"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预装线</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Z29</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紧固V推螺栓工序</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M20</w:t>
            </w:r>
          </w:p>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p>
            <w:pPr>
              <w:pStyle w:val="5"/>
              <w:ind w:left="0" w:leftChars="0" w:firstLine="0" w:firstLineChars="0"/>
              <w:jc w:val="center"/>
              <w:rPr>
                <w:rFonts w:hint="eastAsia" w:ascii="Times New Roman" w:hAnsi="Times New Roman" w:eastAsia="宋体" w:cs="Times New Roman"/>
                <w:color w:val="000000"/>
                <w:kern w:val="2"/>
                <w:sz w:val="21"/>
                <w:szCs w:val="24"/>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M24</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565</w:t>
            </w:r>
          </w:p>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750</w:t>
            </w:r>
          </w:p>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960</w:t>
            </w:r>
          </w:p>
        </w:tc>
        <w:tc>
          <w:tcPr>
            <w:tcW w:w="4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双轴定值拧紧工具</w:t>
            </w:r>
          </w:p>
        </w:tc>
        <w:tc>
          <w:tcPr>
            <w:tcW w:w="3504"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left"/>
              <w:textAlignment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kern w:val="0"/>
                <w:sz w:val="20"/>
                <w:szCs w:val="20"/>
                <w:highlight w:val="none"/>
                <w:lang w:bidi="ar"/>
              </w:rPr>
              <w:t>工具拧紧方向为垂直</w:t>
            </w:r>
            <w:r>
              <w:rPr>
                <w:rFonts w:hint="eastAsia" w:ascii="宋体" w:hAnsi="宋体" w:eastAsia="宋体" w:cs="宋体"/>
                <w:color w:val="000000"/>
                <w:kern w:val="0"/>
                <w:sz w:val="20"/>
                <w:szCs w:val="20"/>
                <w:highlight w:val="none"/>
                <w:lang w:val="en-US" w:eastAsia="zh-CN" w:bidi="ar"/>
              </w:rPr>
              <w:t>或水平</w:t>
            </w: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新增</w:t>
            </w:r>
            <w:r>
              <w:rPr>
                <w:rFonts w:hint="eastAsia" w:ascii="宋体" w:hAnsi="宋体" w:eastAsia="宋体" w:cs="宋体"/>
                <w:color w:val="000000"/>
                <w:kern w:val="0"/>
                <w:sz w:val="20"/>
                <w:szCs w:val="20"/>
                <w:highlight w:val="none"/>
                <w:lang w:bidi="ar"/>
              </w:rPr>
              <w:t>井字型轨道</w:t>
            </w:r>
            <w:r>
              <w:rPr>
                <w:rFonts w:hint="eastAsia" w:ascii="宋体" w:hAnsi="宋体" w:eastAsia="宋体" w:cs="宋体"/>
                <w:color w:val="000000"/>
                <w:kern w:val="0"/>
                <w:sz w:val="20"/>
                <w:szCs w:val="20"/>
                <w:highlight w:val="none"/>
                <w:lang w:eastAsia="zh-CN" w:bidi="ar"/>
              </w:rPr>
              <w:t>：</w:t>
            </w:r>
            <w:r>
              <w:rPr>
                <w:rFonts w:hint="eastAsia" w:ascii="宋体" w:hAnsi="宋体" w:eastAsia="宋体" w:cs="宋体"/>
                <w:color w:val="000000"/>
                <w:kern w:val="0"/>
                <w:sz w:val="20"/>
                <w:szCs w:val="20"/>
                <w:highlight w:val="none"/>
                <w:lang w:val="en-US" w:eastAsia="zh-CN" w:bidi="ar"/>
              </w:rPr>
              <w:t>材质选用铝轨</w:t>
            </w: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打紧水平方向的螺栓时，为了防止两轴的螺母跟转，需提供防跟转工装。（每种型号的螺母都需要提供）</w:t>
            </w:r>
          </w:p>
        </w:tc>
      </w:tr>
    </w:tbl>
    <w:p>
      <w:pPr>
        <w:pStyle w:val="139"/>
        <w:adjustRightInd w:val="0"/>
        <w:snapToGrid w:val="0"/>
        <w:rPr>
          <w:rFonts w:hint="eastAsia" w:ascii="宋体" w:hAnsi="宋体" w:eastAsia="宋体" w:cs="Times New Roman"/>
          <w:color w:val="000000"/>
          <w:sz w:val="24"/>
          <w:highlight w:val="none"/>
          <w:lang w:val="en-US" w:eastAsia="zh-CN"/>
        </w:rPr>
      </w:pP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⑤工装吊挂说明：</w:t>
      </w:r>
      <w:r>
        <w:rPr>
          <w:rFonts w:hint="eastAsia" w:ascii="宋体" w:hAnsi="宋体" w:eastAsia="宋体" w:cs="Times New Roman"/>
          <w:color w:val="000000"/>
          <w:sz w:val="24"/>
          <w:highlight w:val="none"/>
          <w:lang w:val="en-US" w:eastAsia="zh-CN"/>
        </w:rPr>
        <w:t>非扭力杆式单轴定值拧紧工具为保证枪体可自由转动，要求枪体吊挂部分采用轴承滑环吊挂的形式，不允许采用铜套结构；线缆式定值工具要求在吊挂后能保持水平、不翘头；</w:t>
      </w:r>
      <w:r>
        <w:rPr>
          <w:rFonts w:hint="eastAsia" w:ascii="宋体" w:hAnsi="宋体" w:eastAsia="宋体" w:cs="Times New Roman"/>
          <w:color w:val="000000"/>
          <w:sz w:val="24"/>
          <w:szCs w:val="24"/>
          <w:highlight w:val="none"/>
          <w:lang w:val="en-US" w:eastAsia="zh-CN"/>
        </w:rPr>
        <w:t>工装在安装、调试等过程中涉及到的螺母均需采用自锁螺母、内丝螺栓安装前必须涂抹螺纹锁固胶；所有吊挂工具（包含双轴定值拧紧工具、线缆式定值电枪）</w:t>
      </w:r>
      <w:r>
        <w:rPr>
          <w:rFonts w:hint="eastAsia" w:ascii="宋体" w:hAnsi="宋体" w:eastAsia="宋体" w:cs="Times New Roman"/>
          <w:color w:val="000000"/>
          <w:sz w:val="24"/>
          <w:highlight w:val="none"/>
          <w:lang w:val="en-US" w:eastAsia="zh-CN"/>
        </w:rPr>
        <w:t>需配置防坠安全带；</w:t>
      </w:r>
      <w:r>
        <w:rPr>
          <w:rFonts w:hint="eastAsia" w:ascii="宋体" w:hAnsi="宋体" w:eastAsia="宋体" w:cs="Times New Roman"/>
          <w:b/>
          <w:bCs/>
          <w:color w:val="000000"/>
          <w:sz w:val="24"/>
          <w:szCs w:val="24"/>
          <w:highlight w:val="yellow"/>
          <w:lang w:val="en-US" w:eastAsia="zh-CN"/>
        </w:rPr>
        <w:t>扭力杆式反作用力臂工具吊挂轨道均为铝轨</w:t>
      </w:r>
      <w:r>
        <w:rPr>
          <w:rFonts w:hint="eastAsia" w:ascii="宋体" w:hAnsi="宋体" w:eastAsia="宋体" w:cs="Times New Roman"/>
          <w:color w:val="000000"/>
          <w:sz w:val="24"/>
          <w:highlight w:val="none"/>
          <w:lang w:val="en-US" w:eastAsia="zh-CN"/>
        </w:rPr>
        <w:t>；现有KBK轨道及其吊挂物的拆除、更换、安装等事宜均由中标方负责，相应工具分项中报价应包含相应费用。</w:t>
      </w:r>
    </w:p>
    <w:p>
      <w:pPr>
        <w:pStyle w:val="139"/>
        <w:adjustRightInd w:val="0"/>
        <w:snapToGrid w:val="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⑥针对双轴定值拧紧工具，为避免其中一轴失效后设备无法正常工作及出于操作安全性考虑，要求双轴定值拧紧工具轴箱上必须单独再配置一个</w:t>
      </w:r>
      <w:r>
        <w:rPr>
          <w:rFonts w:hint="eastAsia" w:ascii="宋体" w:hAnsi="宋体" w:eastAsia="宋体" w:cs="Times New Roman"/>
          <w:b/>
          <w:bCs/>
          <w:color w:val="000000"/>
          <w:sz w:val="24"/>
          <w:highlight w:val="none"/>
          <w:lang w:val="en-US" w:eastAsia="zh-CN"/>
        </w:rPr>
        <w:t>防反力装置</w:t>
      </w:r>
      <w:r>
        <w:rPr>
          <w:rFonts w:hint="eastAsia" w:ascii="宋体" w:hAnsi="宋体" w:eastAsia="宋体" w:cs="Times New Roman"/>
          <w:color w:val="000000"/>
          <w:sz w:val="24"/>
          <w:highlight w:val="none"/>
          <w:lang w:val="en-US" w:eastAsia="zh-CN"/>
        </w:rPr>
        <w:t>。</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⑦双轴定值拧紧工具轴箱上需配</w:t>
      </w:r>
      <w:r>
        <w:rPr>
          <w:rFonts w:hint="eastAsia" w:ascii="宋体" w:hAnsi="宋体" w:eastAsia="宋体" w:cs="Times New Roman"/>
          <w:b/>
          <w:bCs/>
          <w:color w:val="000000"/>
          <w:sz w:val="24"/>
          <w:highlight w:val="none"/>
          <w:lang w:val="en-US" w:eastAsia="zh-CN"/>
        </w:rPr>
        <w:t>急停按钮</w:t>
      </w:r>
      <w:r>
        <w:rPr>
          <w:rFonts w:hint="eastAsia" w:ascii="宋体" w:hAnsi="宋体" w:eastAsia="宋体" w:cs="Times New Roman"/>
          <w:color w:val="000000"/>
          <w:sz w:val="24"/>
          <w:highlight w:val="none"/>
          <w:lang w:val="en-US" w:eastAsia="zh-CN"/>
        </w:rPr>
        <w:t>，急停按钮被按下后，要求线体立刻停止，配套的旋转声光报警灯发出相应报警。</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⑧限位装置：</w:t>
      </w:r>
      <w:r>
        <w:rPr>
          <w:rFonts w:hint="eastAsia" w:ascii="宋体" w:hAnsi="宋体" w:eastAsia="宋体" w:cs="Times New Roman"/>
          <w:color w:val="000000"/>
          <w:sz w:val="24"/>
          <w:highlight w:val="none"/>
          <w:lang w:val="en-US" w:eastAsia="zh-CN"/>
        </w:rPr>
        <w:t>所有工具吊挂工装均应具有前后、左右两个方向上的极限限位装置，导轨两端末端具有极限限位装置，防止吊挂工装移出轨道范围；当危险情况将要发生时，限位装置可急停生产线。其中双轴定值拧紧工具及扭力杆式反作用力臂的线缆式定值电枪均需配置三级接触声光报警设备（一级报警、二级停线、三级机械限位）。</w:t>
      </w:r>
    </w:p>
    <w:p>
      <w:pPr>
        <w:pStyle w:val="139"/>
        <w:adjustRightInd w:val="0"/>
        <w:snapToGrid w:val="0"/>
        <w:rPr>
          <w:rFonts w:hint="eastAsia"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⑨双轴定值拧紧工具的设计需要考虑下图车型的情况</w:t>
      </w:r>
      <w:r>
        <w:rPr>
          <w:rFonts w:hint="eastAsia" w:ascii="宋体" w:hAnsi="宋体" w:eastAsia="宋体" w:cs="Times New Roman"/>
          <w:b/>
          <w:bCs/>
          <w:color w:val="000000"/>
          <w:sz w:val="24"/>
          <w:highlight w:val="yellow"/>
          <w:lang w:val="en-US" w:eastAsia="zh-CN"/>
        </w:rPr>
        <w:t>（需同时满足中后桥V推螺栓的打紧）</w:t>
      </w:r>
      <w:r>
        <w:rPr>
          <w:rFonts w:hint="eastAsia" w:ascii="宋体" w:hAnsi="宋体" w:eastAsia="宋体" w:cs="Times New Roman"/>
          <w:b/>
          <w:bCs/>
          <w:color w:val="000000"/>
          <w:sz w:val="24"/>
          <w:highlight w:val="none"/>
          <w:lang w:val="en-US" w:eastAsia="zh-CN"/>
        </w:rPr>
        <w:t>：</w:t>
      </w:r>
    </w:p>
    <w:p>
      <w:pPr>
        <w:pStyle w:val="139"/>
        <w:numPr>
          <w:ilvl w:val="0"/>
          <w:numId w:val="12"/>
        </w:numPr>
        <w:adjustRightInd w:val="0"/>
        <w:snapToGrid w:val="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打紧中桥与V推连接的水平螺栓时，横梁距离螺栓的长度大约有400mm，车架两侧上翼面相距约585mm。双轴定值拧紧工具需满足在此条件下打紧螺栓。</w:t>
      </w:r>
    </w:p>
    <w:p>
      <w:pPr>
        <w:pStyle w:val="139"/>
        <w:adjustRightInd w:val="0"/>
        <w:snapToGrid w:val="0"/>
        <w:jc w:val="center"/>
        <w:rPr>
          <w:rFonts w:hint="default" w:ascii="宋体" w:hAnsi="宋体" w:eastAsia="宋体" w:cs="Times New Roman"/>
          <w:color w:val="000000"/>
          <w:sz w:val="24"/>
          <w:highlight w:val="none"/>
          <w:lang w:val="en-US" w:eastAsia="zh-CN"/>
        </w:rPr>
      </w:pPr>
      <w:r>
        <w:rPr>
          <w:color w:val="000000"/>
          <w:sz w:val="24"/>
          <w:highlight w:val="none"/>
        </w:rPr>
        <mc:AlternateContent>
          <mc:Choice Requires="wps">
            <w:drawing>
              <wp:anchor distT="0" distB="0" distL="114300" distR="114300" simplePos="0" relativeHeight="251674624" behindDoc="0" locked="0" layoutInCell="1" allowOverlap="1">
                <wp:simplePos x="0" y="0"/>
                <wp:positionH relativeFrom="column">
                  <wp:posOffset>1647190</wp:posOffset>
                </wp:positionH>
                <wp:positionV relativeFrom="paragraph">
                  <wp:posOffset>1878965</wp:posOffset>
                </wp:positionV>
                <wp:extent cx="447040" cy="6572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47040" cy="657225"/>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585mm</w:t>
                            </w:r>
                          </w:p>
                        </w:txbxContent>
                      </wps:txbx>
                      <wps:bodyPr vert="eaVert" upright="1"/>
                    </wps:wsp>
                  </a:graphicData>
                </a:graphic>
              </wp:anchor>
            </w:drawing>
          </mc:Choice>
          <mc:Fallback>
            <w:pict>
              <v:shape id="_x0000_s1026" o:spid="_x0000_s1026" o:spt="202" type="#_x0000_t202" style="position:absolute;left:0pt;margin-left:129.7pt;margin-top:147.95pt;height:51.75pt;width:35.2pt;z-index:251674624;mso-width-relative:page;mso-height-relative:page;" filled="f" stroked="f" coordsize="21600,21600" o:gfxdata="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uMRB2gAAAAsBAAAPAAAAAAAAAAEAIAAAACIAAABkcnMvZG93bnJldi54bWxQSwECFAAU&#10;AAAACACHTuJANBrxo7YBAABdAwAADgAAAAAAAAABACAAAAApAQAAZHJzL2Uyb0RvYy54bWxQSwUG&#10;AAAAAAYABgBZAQAAUQUAAAAA&#10;">
                <v:fill on="f" focussize="0,0"/>
                <v:stroke on="f"/>
                <v:imagedata o:title=""/>
                <o:lock v:ext="edit" aspectratio="f"/>
                <v:textbox style="layout-flow:vertical-ideographic;">
                  <w:txbxContent>
                    <w:p>
                      <w:pPr>
                        <w:rPr>
                          <w:rFonts w:hint="default" w:eastAsia="宋体"/>
                          <w:highlight w:val="yellow"/>
                          <w:lang w:val="en-US" w:eastAsia="zh-CN"/>
                        </w:rPr>
                      </w:pPr>
                      <w:r>
                        <w:rPr>
                          <w:rFonts w:hint="eastAsia"/>
                          <w:highlight w:val="yellow"/>
                          <w:lang w:val="en-US" w:eastAsia="zh-CN"/>
                        </w:rPr>
                        <w:t>585mm</w:t>
                      </w:r>
                    </w:p>
                  </w:txbxContent>
                </v:textbox>
              </v:shape>
            </w:pict>
          </mc:Fallback>
        </mc:AlternateContent>
      </w:r>
      <w:r>
        <w:rPr>
          <w:color w:val="000000"/>
          <w:sz w:val="24"/>
          <w:highlight w:val="none"/>
        </w:rPr>
        <mc:AlternateContent>
          <mc:Choice Requires="wps">
            <w:drawing>
              <wp:anchor distT="0" distB="0" distL="114300" distR="114300" simplePos="0" relativeHeight="251678720" behindDoc="0" locked="0" layoutInCell="1" allowOverlap="1">
                <wp:simplePos x="0" y="0"/>
                <wp:positionH relativeFrom="column">
                  <wp:posOffset>3132455</wp:posOffset>
                </wp:positionH>
                <wp:positionV relativeFrom="paragraph">
                  <wp:posOffset>827405</wp:posOffset>
                </wp:positionV>
                <wp:extent cx="722630" cy="3302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22630" cy="330200"/>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130mm</w:t>
                            </w:r>
                          </w:p>
                        </w:txbxContent>
                      </wps:txbx>
                      <wps:bodyPr upright="1"/>
                    </wps:wsp>
                  </a:graphicData>
                </a:graphic>
              </wp:anchor>
            </w:drawing>
          </mc:Choice>
          <mc:Fallback>
            <w:pict>
              <v:shape id="_x0000_s1026" o:spid="_x0000_s1026" o:spt="202" type="#_x0000_t202" style="position:absolute;left:0pt;margin-left:246.65pt;margin-top:65.15pt;height:26pt;width:56.9pt;z-index:251678720;mso-width-relative:page;mso-height-relative:page;" filled="f" stroked="f" coordsize="21600,21600" o:gfxdata="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bX/2AAA&#10;AAsBAAAPAAAAAAAAAAEAIAAAACIAAABkcnMvZG93bnJldi54bWxQSwECFAAUAAAACACHTuJAKB8j&#10;kawBAABPAwAADgAAAAAAAAABACAAAAAnAQAAZHJzL2Uyb0RvYy54bWxQSwUGAAAAAAYABgBZAQAA&#10;RQUAAAAA&#10;">
                <v:fill on="f" focussize="0,0"/>
                <v:stroke on="f"/>
                <v:imagedata o:title=""/>
                <o:lock v:ext="edit" aspectratio="f"/>
                <v:textbox>
                  <w:txbxContent>
                    <w:p>
                      <w:pPr>
                        <w:rPr>
                          <w:rFonts w:hint="default" w:eastAsia="宋体"/>
                          <w:highlight w:val="yellow"/>
                          <w:lang w:val="en-US" w:eastAsia="zh-CN"/>
                        </w:rPr>
                      </w:pPr>
                      <w:r>
                        <w:rPr>
                          <w:rFonts w:hint="eastAsia"/>
                          <w:highlight w:val="yellow"/>
                          <w:lang w:val="en-US" w:eastAsia="zh-CN"/>
                        </w:rPr>
                        <w:t>130mm</w:t>
                      </w:r>
                    </w:p>
                  </w:txbxContent>
                </v:textbox>
              </v:shape>
            </w:pict>
          </mc:Fallback>
        </mc:AlternateContent>
      </w:r>
      <w:r>
        <w:rPr>
          <w:color w:val="000000"/>
          <w:sz w:val="24"/>
          <w:highlight w:val="none"/>
        </w:rPr>
        <mc:AlternateContent>
          <mc:Choice Requires="wps">
            <w:drawing>
              <wp:anchor distT="0" distB="0" distL="114300" distR="114300" simplePos="0" relativeHeight="251677696" behindDoc="0" locked="0" layoutInCell="1" allowOverlap="1">
                <wp:simplePos x="0" y="0"/>
                <wp:positionH relativeFrom="column">
                  <wp:posOffset>3170555</wp:posOffset>
                </wp:positionH>
                <wp:positionV relativeFrom="paragraph">
                  <wp:posOffset>1163955</wp:posOffset>
                </wp:positionV>
                <wp:extent cx="619125" cy="9525"/>
                <wp:effectExtent l="0" t="62230" r="5715" b="65405"/>
                <wp:wrapNone/>
                <wp:docPr id="35" name="直接箭头连接符 35"/>
                <wp:cNvGraphicFramePr/>
                <a:graphic xmlns:a="http://schemas.openxmlformats.org/drawingml/2006/main">
                  <a:graphicData uri="http://schemas.microsoft.com/office/word/2010/wordprocessingShape">
                    <wps:wsp>
                      <wps:cNvCnPr/>
                      <wps:spPr>
                        <a:xfrm flipH="1">
                          <a:off x="0" y="0"/>
                          <a:ext cx="619125" cy="9525"/>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x;margin-left:249.65pt;margin-top:91.65pt;height:0.75pt;width:48.75pt;z-index:251677696;mso-width-relative:page;mso-height-relative:page;" filled="f" stroked="t" coordsize="21600,21600" o:gfxdata="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KXLMtkAAAALAQAADwAAAAAAAAABACAAAAAi&#10;AAAAZHJzL2Rvd25yZXYueG1sUEsBAhQAFAAAAAgAh07iQEwg9JgJAgAA/QMAAA4AAAAAAAAAAQAg&#10;AAAAKAEAAGRycy9lMm9Eb2MueG1sUEsFBgAAAAAGAAYAWQEAAKMFAAAAAA==&#10;">
                <v:fill on="f" focussize="0,0"/>
                <v:stroke weight="2.25pt" color="#FF0000" joinstyle="round" startarrow="open" endarrow="open"/>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76672" behindDoc="0" locked="0" layoutInCell="1" allowOverlap="1">
                <wp:simplePos x="0" y="0"/>
                <wp:positionH relativeFrom="column">
                  <wp:posOffset>3742055</wp:posOffset>
                </wp:positionH>
                <wp:positionV relativeFrom="paragraph">
                  <wp:posOffset>1944370</wp:posOffset>
                </wp:positionV>
                <wp:extent cx="371475" cy="5537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71475" cy="553720"/>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200mm</w:t>
                            </w:r>
                          </w:p>
                        </w:txbxContent>
                      </wps:txbx>
                      <wps:bodyPr vert="eaVert" upright="1"/>
                    </wps:wsp>
                  </a:graphicData>
                </a:graphic>
              </wp:anchor>
            </w:drawing>
          </mc:Choice>
          <mc:Fallback>
            <w:pict>
              <v:shape id="_x0000_s1026" o:spid="_x0000_s1026" o:spt="202" type="#_x0000_t202" style="position:absolute;left:0pt;margin-left:294.65pt;margin-top:153.1pt;height:43.6pt;width:29.25pt;z-index:251676672;mso-width-relative:page;mso-height-relative:page;" filled="f" stroked="f" coordsize="21600,21600" o:gfxdata="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oDl3AAAAAsBAAAPAAAAAAAAAAEAIAAAACIAAABkcnMvZG93bnJldi54bWxQSwEC&#10;FAAUAAAACACHTuJA4aKQlLcBAABdAwAADgAAAAAAAAABACAAAAArAQAAZHJzL2Uyb0RvYy54bWxQ&#10;SwUGAAAAAAYABgBZAQAAVAUAAAAA&#10;">
                <v:fill on="f" focussize="0,0"/>
                <v:stroke on="f"/>
                <v:imagedata o:title=""/>
                <o:lock v:ext="edit" aspectratio="f"/>
                <v:textbox style="layout-flow:vertical-ideographic;">
                  <w:txbxContent>
                    <w:p>
                      <w:pPr>
                        <w:rPr>
                          <w:rFonts w:hint="default" w:eastAsia="宋体"/>
                          <w:highlight w:val="yellow"/>
                          <w:lang w:val="en-US" w:eastAsia="zh-CN"/>
                        </w:rPr>
                      </w:pPr>
                      <w:r>
                        <w:rPr>
                          <w:rFonts w:hint="eastAsia"/>
                          <w:highlight w:val="yellow"/>
                          <w:lang w:val="en-US" w:eastAsia="zh-CN"/>
                        </w:rPr>
                        <w:t>200mm</w:t>
                      </w:r>
                    </w:p>
                  </w:txbxContent>
                </v:textbox>
              </v:shape>
            </w:pict>
          </mc:Fallback>
        </mc:AlternateContent>
      </w:r>
      <w:r>
        <w:rPr>
          <w:color w:val="000000"/>
          <w:sz w:val="24"/>
          <w:highlight w:val="none"/>
        </w:rPr>
        <mc:AlternateContent>
          <mc:Choice Requires="wps">
            <w:drawing>
              <wp:anchor distT="0" distB="0" distL="114300" distR="114300" simplePos="0" relativeHeight="251675648" behindDoc="0" locked="0" layoutInCell="1" allowOverlap="1">
                <wp:simplePos x="0" y="0"/>
                <wp:positionH relativeFrom="column">
                  <wp:posOffset>3761105</wp:posOffset>
                </wp:positionH>
                <wp:positionV relativeFrom="paragraph">
                  <wp:posOffset>1773555</wp:posOffset>
                </wp:positionV>
                <wp:extent cx="28575" cy="914400"/>
                <wp:effectExtent l="60960" t="0" r="62865" b="0"/>
                <wp:wrapNone/>
                <wp:docPr id="34" name="直接箭头连接符 34"/>
                <wp:cNvGraphicFramePr/>
                <a:graphic xmlns:a="http://schemas.openxmlformats.org/drawingml/2006/main">
                  <a:graphicData uri="http://schemas.microsoft.com/office/word/2010/wordprocessingShape">
                    <wps:wsp>
                      <wps:cNvCnPr/>
                      <wps:spPr>
                        <a:xfrm flipH="1" flipV="1">
                          <a:off x="0" y="0"/>
                          <a:ext cx="28575" cy="914400"/>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x y;margin-left:296.15pt;margin-top:139.65pt;height:72pt;width:2.25pt;z-index:251675648;mso-width-relative:page;mso-height-relative:page;" filled="f" stroked="t" coordsize="21600,21600" o:gfxdata="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sCcbbAAAACwEAAA8AAAAAAAAA&#10;AQAgAAAAIgAAAGRycy9kb3ducmV2LnhtbFBLAQIUABQAAAAIAIdO4kBEJ+++DgIAAAgEAAAOAAAA&#10;AAAAAAEAIAAAACoBAABkcnMvZTJvRG9jLnhtbFBLBQYAAAAABgAGAFkBAACqBQAAAAA=&#10;">
                <v:fill on="f" focussize="0,0"/>
                <v:stroke weight="2.25pt" color="#FF0000" joinstyle="round" startarrow="open" endarrow="open"/>
                <v:imagedata o:title=""/>
                <o:lock v:ext="edit" aspectratio="f"/>
              </v:shape>
            </w:pict>
          </mc:Fallback>
        </mc:AlternateContent>
      </w:r>
      <w:r>
        <w:rPr>
          <w:rFonts w:hint="default" w:ascii="宋体" w:hAnsi="宋体" w:eastAsia="宋体" w:cs="Times New Roman"/>
          <w:color w:val="000000"/>
          <w:sz w:val="24"/>
          <w:highlight w:val="none"/>
          <w:lang w:val="en-US" w:eastAsia="zh-CN"/>
        </w:rPr>
        <w:drawing>
          <wp:inline distT="0" distB="0" distL="114300" distR="114300">
            <wp:extent cx="5393690" cy="4045585"/>
            <wp:effectExtent l="0" t="0" r="1270" b="8255"/>
            <wp:docPr id="37" name="图片 1" descr="IMG2024013016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20240130162526"/>
                    <pic:cNvPicPr>
                      <a:picLocks noChangeAspect="1"/>
                    </pic:cNvPicPr>
                  </pic:nvPicPr>
                  <pic:blipFill>
                    <a:blip r:embed="rId36"/>
                    <a:stretch>
                      <a:fillRect/>
                    </a:stretch>
                  </pic:blipFill>
                  <pic:spPr>
                    <a:xfrm>
                      <a:off x="0" y="0"/>
                      <a:ext cx="5393690" cy="4045585"/>
                    </a:xfrm>
                    <a:prstGeom prst="rect">
                      <a:avLst/>
                    </a:prstGeom>
                    <a:noFill/>
                    <a:ln>
                      <a:noFill/>
                    </a:ln>
                  </pic:spPr>
                </pic:pic>
              </a:graphicData>
            </a:graphic>
          </wp:inline>
        </w:drawing>
      </w:r>
      <w:r>
        <w:rPr>
          <w:color w:val="000000"/>
          <w:sz w:val="24"/>
          <w:highlight w:val="none"/>
        </w:rPr>
        <mc:AlternateContent>
          <mc:Choice Requires="wps">
            <w:drawing>
              <wp:anchor distT="0" distB="0" distL="114300" distR="114300" simplePos="0" relativeHeight="251673600" behindDoc="0" locked="0" layoutInCell="1" allowOverlap="1">
                <wp:simplePos x="0" y="0"/>
                <wp:positionH relativeFrom="column">
                  <wp:posOffset>2113280</wp:posOffset>
                </wp:positionH>
                <wp:positionV relativeFrom="paragraph">
                  <wp:posOffset>1229995</wp:posOffset>
                </wp:positionV>
                <wp:extent cx="0" cy="2134235"/>
                <wp:effectExtent l="64135" t="0" r="73025" b="14605"/>
                <wp:wrapNone/>
                <wp:docPr id="1" name="直接箭头连接符 1"/>
                <wp:cNvGraphicFramePr/>
                <a:graphic xmlns:a="http://schemas.openxmlformats.org/drawingml/2006/main">
                  <a:graphicData uri="http://schemas.microsoft.com/office/word/2010/wordprocessingShape">
                    <wps:wsp>
                      <wps:cNvCnPr/>
                      <wps:spPr>
                        <a:xfrm flipV="1">
                          <a:off x="0" y="0"/>
                          <a:ext cx="0" cy="2134235"/>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y;margin-left:166.4pt;margin-top:96.85pt;height:168.05pt;width:0pt;z-index:251673600;mso-width-relative:page;mso-height-relative:page;" filled="f" stroked="t" coordsize="21600,21600" o:gfxdata="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7j/NHZAAAACwEAAA8AAAAAAAAAAQAgAAAAIgAAAGRy&#10;cy9kb3ducmV2LnhtbFBLAQIUABQAAAAIAIdO4kC5PftMBAIAAPkDAAAOAAAAAAAAAAEAIAAAACgB&#10;AABkcnMvZTJvRG9jLnhtbFBLBQYAAAAABgAGAFkBAACeBQAAAAA=&#10;">
                <v:fill on="f" focussize="0,0"/>
                <v:stroke weight="2.25pt" color="#FF0000" joinstyle="round" startarrow="open" endarrow="open"/>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72576" behindDoc="0" locked="0" layoutInCell="1" allowOverlap="1">
                <wp:simplePos x="0" y="0"/>
                <wp:positionH relativeFrom="column">
                  <wp:posOffset>2770505</wp:posOffset>
                </wp:positionH>
                <wp:positionV relativeFrom="paragraph">
                  <wp:posOffset>2239645</wp:posOffset>
                </wp:positionV>
                <wp:extent cx="920115" cy="26733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20115" cy="267335"/>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400mm</w:t>
                            </w:r>
                          </w:p>
                        </w:txbxContent>
                      </wps:txbx>
                      <wps:bodyPr upright="1"/>
                    </wps:wsp>
                  </a:graphicData>
                </a:graphic>
              </wp:anchor>
            </w:drawing>
          </mc:Choice>
          <mc:Fallback>
            <w:pict>
              <v:shape id="_x0000_s1026" o:spid="_x0000_s1026" o:spt="202" type="#_x0000_t202" style="position:absolute;left:0pt;margin-left:218.15pt;margin-top:176.35pt;height:21.05pt;width:72.45pt;z-index:251672576;mso-width-relative:page;mso-height-relative:page;" filled="f" stroked="f" coordsize="21600,21600" o:gfxdata="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2731dgA&#10;AAALAQAADwAAAAAAAAABACAAAAAiAAAAZHJzL2Rvd25yZXYueG1sUEsBAhQAFAAAAAgAh07iQNYL&#10;0pKtAQAATwMAAA4AAAAAAAAAAQAgAAAAJwEAAGRycy9lMm9Eb2MueG1sUEsFBgAAAAAGAAYAWQEA&#10;AEYFAAAAAA==&#10;">
                <v:fill on="f" focussize="0,0"/>
                <v:stroke on="f"/>
                <v:imagedata o:title=""/>
                <o:lock v:ext="edit" aspectratio="f"/>
                <v:textbox>
                  <w:txbxContent>
                    <w:p>
                      <w:pPr>
                        <w:rPr>
                          <w:rFonts w:hint="default" w:eastAsia="宋体"/>
                          <w:highlight w:val="yellow"/>
                          <w:lang w:val="en-US" w:eastAsia="zh-CN"/>
                        </w:rPr>
                      </w:pPr>
                      <w:r>
                        <w:rPr>
                          <w:rFonts w:hint="eastAsia"/>
                          <w:highlight w:val="yellow"/>
                          <w:lang w:val="en-US" w:eastAsia="zh-CN"/>
                        </w:rPr>
                        <w:t>400mm</w:t>
                      </w:r>
                    </w:p>
                  </w:txbxContent>
                </v:textbox>
              </v:shape>
            </w:pict>
          </mc:Fallback>
        </mc:AlternateContent>
      </w:r>
      <w:r>
        <w:rPr>
          <w:color w:val="000000"/>
          <w:sz w:val="24"/>
          <w:highlight w:val="none"/>
        </w:rPr>
        <mc:AlternateContent>
          <mc:Choice Requires="wps">
            <w:drawing>
              <wp:anchor distT="0" distB="0" distL="114300" distR="114300" simplePos="0" relativeHeight="251671552" behindDoc="0" locked="0" layoutInCell="1" allowOverlap="1">
                <wp:simplePos x="0" y="0"/>
                <wp:positionH relativeFrom="column">
                  <wp:posOffset>2379980</wp:posOffset>
                </wp:positionH>
                <wp:positionV relativeFrom="paragraph">
                  <wp:posOffset>2487295</wp:posOffset>
                </wp:positionV>
                <wp:extent cx="1409700" cy="0"/>
                <wp:effectExtent l="0" t="64135" r="7620" b="73025"/>
                <wp:wrapNone/>
                <wp:docPr id="40" name="直接箭头连接符 40"/>
                <wp:cNvGraphicFramePr/>
                <a:graphic xmlns:a="http://schemas.openxmlformats.org/drawingml/2006/main">
                  <a:graphicData uri="http://schemas.microsoft.com/office/word/2010/wordprocessingShape">
                    <wps:wsp>
                      <wps:cNvCnPr/>
                      <wps:spPr>
                        <a:xfrm flipH="1">
                          <a:off x="0" y="0"/>
                          <a:ext cx="1409700" cy="0"/>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x;margin-left:187.4pt;margin-top:195.85pt;height:0pt;width:111pt;z-index:251671552;mso-width-relative:page;mso-height-relative:page;" filled="f" stroked="t" coordsize="21600,21600" o:gfxdata="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OsUDdkAAAALAQAADwAAAAAAAAABACAAAAAi&#10;AAAAZHJzL2Rvd25yZXYueG1sUEsBAhQAFAAAAAgAh07iQE5u+cUJAgAA+wMAAA4AAAAAAAAAAQAg&#10;AAAAKAEAAGRycy9lMm9Eb2MueG1sUEsFBgAAAAAGAAYAWQEAAKMFAAAAAA==&#10;">
                <v:fill on="f" focussize="0,0"/>
                <v:stroke weight="2.25pt" color="#FF0000" joinstyle="round" startarrow="open" endarrow="open"/>
                <v:imagedata o:title=""/>
                <o:lock v:ext="edit" aspectratio="f"/>
              </v:shape>
            </w:pict>
          </mc:Fallback>
        </mc:AlternateContent>
      </w:r>
    </w:p>
    <w:p>
      <w:pPr>
        <w:pStyle w:val="139"/>
        <w:numPr>
          <w:ilvl w:val="0"/>
          <w:numId w:val="12"/>
        </w:numPr>
        <w:adjustRightInd w:val="0"/>
        <w:snapToGrid w:val="0"/>
        <w:rPr>
          <w:rFonts w:hint="default" w:ascii="宋体" w:hAnsi="宋体" w:eastAsia="宋体" w:cs="Times New Roman"/>
          <w:b/>
          <w:bCs/>
          <w:color w:val="000000"/>
          <w:sz w:val="24"/>
          <w:highlight w:val="yellow"/>
          <w:lang w:val="en-US" w:eastAsia="zh-CN"/>
        </w:rPr>
      </w:pPr>
      <w:r>
        <w:rPr>
          <w:rFonts w:hint="eastAsia" w:ascii="宋体" w:hAnsi="宋体" w:eastAsia="宋体" w:cs="Times New Roman"/>
          <w:b/>
          <w:bCs/>
          <w:color w:val="000000"/>
          <w:sz w:val="24"/>
          <w:highlight w:val="yellow"/>
          <w:lang w:val="en-US" w:eastAsia="zh-CN"/>
        </w:rPr>
        <w:t>中桥最高点距离V推螺栓大约220mm，水平高度差约30mm。</w:t>
      </w:r>
    </w:p>
    <w:p>
      <w:pPr>
        <w:pStyle w:val="139"/>
        <w:numPr>
          <w:ilvl w:val="0"/>
          <w:numId w:val="0"/>
        </w:numPr>
        <w:adjustRightInd w:val="0"/>
        <w:snapToGrid w:val="0"/>
        <w:rPr>
          <w:rFonts w:hint="default" w:ascii="宋体" w:hAnsi="宋体" w:eastAsia="宋体" w:cs="Times New Roman"/>
          <w:color w:val="000000"/>
          <w:sz w:val="24"/>
          <w:highlight w:val="none"/>
          <w:lang w:val="en-US" w:eastAsia="zh-CN"/>
        </w:rPr>
      </w:pPr>
      <w:r>
        <w:rPr>
          <w:rFonts w:hint="default" w:ascii="宋体" w:hAnsi="宋体" w:eastAsia="宋体" w:cs="Times New Roman"/>
          <w:b/>
          <w:bCs/>
          <w:color w:val="000000"/>
          <w:sz w:val="24"/>
          <w:highlight w:val="none"/>
          <w:lang w:val="en-US" w:eastAsia="zh-CN"/>
        </w:rPr>
        <w:drawing>
          <wp:anchor distT="0" distB="0" distL="114300" distR="114300" simplePos="0" relativeHeight="251679744" behindDoc="0" locked="0" layoutInCell="1" allowOverlap="1">
            <wp:simplePos x="0" y="0"/>
            <wp:positionH relativeFrom="column">
              <wp:posOffset>304800</wp:posOffset>
            </wp:positionH>
            <wp:positionV relativeFrom="paragraph">
              <wp:posOffset>0</wp:posOffset>
            </wp:positionV>
            <wp:extent cx="5367655" cy="4026535"/>
            <wp:effectExtent l="0" t="0" r="12065" b="12065"/>
            <wp:wrapSquare wrapText="bothSides"/>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
                    <pic:cNvPicPr>
                      <a:picLocks noChangeAspect="1"/>
                    </pic:cNvPicPr>
                  </pic:nvPicPr>
                  <pic:blipFill>
                    <a:blip r:embed="rId37"/>
                    <a:stretch>
                      <a:fillRect/>
                    </a:stretch>
                  </pic:blipFill>
                  <pic:spPr>
                    <a:xfrm>
                      <a:off x="0" y="0"/>
                      <a:ext cx="5367655" cy="4026535"/>
                    </a:xfrm>
                    <a:prstGeom prst="rect">
                      <a:avLst/>
                    </a:prstGeom>
                  </pic:spPr>
                </pic:pic>
              </a:graphicData>
            </a:graphic>
          </wp:anchor>
        </w:drawing>
      </w:r>
    </w:p>
    <w:p>
      <w:pPr>
        <w:pStyle w:val="139"/>
        <w:numPr>
          <w:ilvl w:val="0"/>
          <w:numId w:val="0"/>
        </w:numPr>
        <w:adjustRightInd w:val="0"/>
        <w:snapToGrid w:val="0"/>
        <w:rPr>
          <w:rFonts w:hint="default" w:ascii="宋体" w:hAnsi="宋体" w:eastAsia="宋体" w:cs="Times New Roman"/>
          <w:color w:val="000000"/>
          <w:sz w:val="24"/>
          <w:highlight w:val="none"/>
          <w:lang w:val="en-US" w:eastAsia="zh-CN"/>
        </w:rPr>
      </w:pPr>
      <w:r>
        <w:rPr>
          <w:color w:val="000000"/>
          <w:sz w:val="24"/>
          <w:highlight w:val="none"/>
        </w:rPr>
        <mc:AlternateContent>
          <mc:Choice Requires="wps">
            <w:drawing>
              <wp:anchor distT="0" distB="0" distL="114300" distR="114300" simplePos="0" relativeHeight="251682816" behindDoc="0" locked="0" layoutInCell="1" allowOverlap="1">
                <wp:simplePos x="0" y="0"/>
                <wp:positionH relativeFrom="column">
                  <wp:posOffset>2453005</wp:posOffset>
                </wp:positionH>
                <wp:positionV relativeFrom="paragraph">
                  <wp:posOffset>2185035</wp:posOffset>
                </wp:positionV>
                <wp:extent cx="666750" cy="26733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666750" cy="267335"/>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220mm</w:t>
                            </w:r>
                          </w:p>
                        </w:txbxContent>
                      </wps:txbx>
                      <wps:bodyPr upright="1"/>
                    </wps:wsp>
                  </a:graphicData>
                </a:graphic>
              </wp:anchor>
            </w:drawing>
          </mc:Choice>
          <mc:Fallback>
            <w:pict>
              <v:shape id="_x0000_s1026" o:spid="_x0000_s1026" o:spt="202" type="#_x0000_t202" style="position:absolute;left:0pt;margin-left:193.15pt;margin-top:172.05pt;height:21.05pt;width:52.5pt;z-index:251682816;mso-width-relative:page;mso-height-relative:page;" filled="f" stroked="f" coordsize="21600,21600" o:gfxdata="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lxnF1wAA&#10;AAsBAAAPAAAAAAAAAAEAIAAAACIAAABkcnMvZG93bnJldi54bWxQSwECFAAUAAAACACHTuJAL8bi&#10;/a0BAABPAwAADgAAAAAAAAABACAAAAAmAQAAZHJzL2Uyb0RvYy54bWxQSwUGAAAAAAYABgBZAQAA&#10;RQUAAAAA&#10;">
                <v:fill on="f" focussize="0,0"/>
                <v:stroke on="f"/>
                <v:imagedata o:title=""/>
                <o:lock v:ext="edit" aspectratio="f"/>
                <v:textbox>
                  <w:txbxContent>
                    <w:p>
                      <w:pPr>
                        <w:rPr>
                          <w:rFonts w:hint="default" w:eastAsia="宋体"/>
                          <w:highlight w:val="yellow"/>
                          <w:lang w:val="en-US" w:eastAsia="zh-CN"/>
                        </w:rPr>
                      </w:pPr>
                      <w:r>
                        <w:rPr>
                          <w:rFonts w:hint="eastAsia"/>
                          <w:highlight w:val="yellow"/>
                          <w:lang w:val="en-US" w:eastAsia="zh-CN"/>
                        </w:rPr>
                        <w:t>220mm</w:t>
                      </w:r>
                    </w:p>
                  </w:txbxContent>
                </v:textbox>
              </v:shape>
            </w:pict>
          </mc:Fallback>
        </mc:AlternateContent>
      </w:r>
      <w:r>
        <w:rPr>
          <w:color w:val="000000"/>
          <w:sz w:val="24"/>
          <w:highlight w:val="none"/>
        </w:rPr>
        <mc:AlternateContent>
          <mc:Choice Requires="wps">
            <w:drawing>
              <wp:anchor distT="0" distB="0" distL="114300" distR="114300" simplePos="0" relativeHeight="251683840" behindDoc="0" locked="0" layoutInCell="1" allowOverlap="1">
                <wp:simplePos x="0" y="0"/>
                <wp:positionH relativeFrom="column">
                  <wp:posOffset>4347845</wp:posOffset>
                </wp:positionH>
                <wp:positionV relativeFrom="paragraph">
                  <wp:posOffset>1718945</wp:posOffset>
                </wp:positionV>
                <wp:extent cx="8255" cy="357505"/>
                <wp:effectExtent l="61595" t="0" r="67310" b="8255"/>
                <wp:wrapNone/>
                <wp:docPr id="51" name="直接箭头连接符 51"/>
                <wp:cNvGraphicFramePr/>
                <a:graphic xmlns:a="http://schemas.openxmlformats.org/drawingml/2006/main">
                  <a:graphicData uri="http://schemas.microsoft.com/office/word/2010/wordprocessingShape">
                    <wps:wsp>
                      <wps:cNvCnPr/>
                      <wps:spPr>
                        <a:xfrm flipV="1">
                          <a:off x="0" y="0"/>
                          <a:ext cx="8255" cy="357505"/>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y;margin-left:342.35pt;margin-top:135.35pt;height:28.15pt;width:0.65pt;z-index:251683840;mso-width-relative:page;mso-height-relative:page;" filled="f" stroked="t" coordsize="21600,21600" o:gfxdata="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LFN2QAAAAsBAAAPAAAAAAAAAAEAIAAAACIA&#10;AABkcnMvZG93bnJldi54bWxQSwECFAAUAAAACACHTuJAq9BtIAgCAAD9AwAADgAAAAAAAAABACAA&#10;AAAoAQAAZHJzL2Uyb0RvYy54bWxQSwUGAAAAAAYABgBZAQAAogUAAAAA&#10;">
                <v:fill on="f" focussize="0,0"/>
                <v:stroke weight="2.25pt" color="#FF0000" joinstyle="round" startarrow="open" endarrow="open"/>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84864" behindDoc="0" locked="0" layoutInCell="1" allowOverlap="1">
                <wp:simplePos x="0" y="0"/>
                <wp:positionH relativeFrom="column">
                  <wp:posOffset>4464685</wp:posOffset>
                </wp:positionH>
                <wp:positionV relativeFrom="paragraph">
                  <wp:posOffset>1764030</wp:posOffset>
                </wp:positionV>
                <wp:extent cx="371475" cy="55372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71475" cy="553720"/>
                        </a:xfrm>
                        <a:prstGeom prst="rect">
                          <a:avLst/>
                        </a:prstGeom>
                        <a:noFill/>
                        <a:ln>
                          <a:noFill/>
                        </a:ln>
                      </wps:spPr>
                      <wps:txbx>
                        <w:txbxContent>
                          <w:p>
                            <w:pPr>
                              <w:rPr>
                                <w:rFonts w:hint="default" w:eastAsia="宋体"/>
                                <w:highlight w:val="yellow"/>
                                <w:lang w:val="en-US" w:eastAsia="zh-CN"/>
                              </w:rPr>
                            </w:pPr>
                            <w:r>
                              <w:rPr>
                                <w:rFonts w:hint="eastAsia"/>
                                <w:highlight w:val="yellow"/>
                                <w:lang w:val="en-US" w:eastAsia="zh-CN"/>
                              </w:rPr>
                              <w:t>30mm</w:t>
                            </w:r>
                          </w:p>
                        </w:txbxContent>
                      </wps:txbx>
                      <wps:bodyPr vert="eaVert" upright="1"/>
                    </wps:wsp>
                  </a:graphicData>
                </a:graphic>
              </wp:anchor>
            </w:drawing>
          </mc:Choice>
          <mc:Fallback>
            <w:pict>
              <v:shape id="_x0000_s1026" o:spid="_x0000_s1026" o:spt="202" type="#_x0000_t202" style="position:absolute;left:0pt;margin-left:351.55pt;margin-top:138.9pt;height:43.6pt;width:29.25pt;z-index:251684864;mso-width-relative:page;mso-height-relative:page;" filled="f" stroked="f" coordsize="21600,21600" o:gfxdata="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v3LHtwAAAALAQAADwAAAAAAAAABACAAAAAiAAAAZHJzL2Rvd25yZXYueG1sUEsB&#10;AhQAFAAAAAgAh07iQLJdNYq4AQAAXQMAAA4AAAAAAAAAAQAgAAAAKwEAAGRycy9lMm9Eb2MueG1s&#10;UEsFBgAAAAAGAAYAWQEAAFUFAAAAAA==&#10;">
                <v:fill on="f" focussize="0,0"/>
                <v:stroke on="f"/>
                <v:imagedata o:title=""/>
                <o:lock v:ext="edit" aspectratio="f"/>
                <v:textbox style="layout-flow:vertical-ideographic;">
                  <w:txbxContent>
                    <w:p>
                      <w:pPr>
                        <w:rPr>
                          <w:rFonts w:hint="default" w:eastAsia="宋体"/>
                          <w:highlight w:val="yellow"/>
                          <w:lang w:val="en-US" w:eastAsia="zh-CN"/>
                        </w:rPr>
                      </w:pPr>
                      <w:r>
                        <w:rPr>
                          <w:rFonts w:hint="eastAsia"/>
                          <w:highlight w:val="yellow"/>
                          <w:lang w:val="en-US" w:eastAsia="zh-CN"/>
                        </w:rPr>
                        <w:t>30mm</w:t>
                      </w:r>
                    </w:p>
                  </w:txbxContent>
                </v:textbox>
              </v:shape>
            </w:pict>
          </mc:Fallback>
        </mc:AlternateContent>
      </w:r>
      <w:r>
        <w:rPr>
          <w:rFonts w:hint="default" w:ascii="宋体" w:hAnsi="宋体" w:eastAsia="宋体" w:cs="Times New Roman"/>
          <w:color w:val="000000"/>
          <w:sz w:val="24"/>
          <w:highlight w:val="none"/>
          <w:lang w:val="en-US" w:eastAsia="zh-CN"/>
        </w:rPr>
        <w:drawing>
          <wp:anchor distT="0" distB="0" distL="114300" distR="114300" simplePos="0" relativeHeight="251680768" behindDoc="0" locked="0" layoutInCell="1" allowOverlap="1">
            <wp:simplePos x="0" y="0"/>
            <wp:positionH relativeFrom="column">
              <wp:posOffset>0</wp:posOffset>
            </wp:positionH>
            <wp:positionV relativeFrom="paragraph">
              <wp:posOffset>295910</wp:posOffset>
            </wp:positionV>
            <wp:extent cx="5714365" cy="4286250"/>
            <wp:effectExtent l="0" t="0" r="635" b="11430"/>
            <wp:wrapSquare wrapText="bothSides"/>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38"/>
                    <a:stretch>
                      <a:fillRect/>
                    </a:stretch>
                  </pic:blipFill>
                  <pic:spPr>
                    <a:xfrm>
                      <a:off x="0" y="0"/>
                      <a:ext cx="5714365" cy="4286250"/>
                    </a:xfrm>
                    <a:prstGeom prst="rect">
                      <a:avLst/>
                    </a:prstGeom>
                  </pic:spPr>
                </pic:pic>
              </a:graphicData>
            </a:graphic>
          </wp:anchor>
        </w:drawing>
      </w:r>
    </w:p>
    <w:p>
      <w:pPr>
        <w:pStyle w:val="139"/>
        <w:numPr>
          <w:ilvl w:val="0"/>
          <w:numId w:val="0"/>
        </w:numPr>
        <w:adjustRightInd w:val="0"/>
        <w:snapToGrid w:val="0"/>
        <w:rPr>
          <w:rFonts w:hint="default" w:ascii="宋体" w:hAnsi="宋体" w:eastAsia="宋体" w:cs="Times New Roman"/>
          <w:color w:val="000000"/>
          <w:sz w:val="24"/>
          <w:highlight w:val="none"/>
          <w:lang w:val="en-US" w:eastAsia="zh-CN"/>
        </w:rPr>
      </w:pPr>
      <w:r>
        <w:rPr>
          <w:color w:val="000000"/>
          <w:sz w:val="24"/>
          <w:highlight w:val="none"/>
        </w:rPr>
        <mc:AlternateContent>
          <mc:Choice Requires="wps">
            <w:drawing>
              <wp:anchor distT="0" distB="0" distL="114300" distR="114300" simplePos="0" relativeHeight="251681792" behindDoc="0" locked="0" layoutInCell="1" allowOverlap="1">
                <wp:simplePos x="0" y="0"/>
                <wp:positionH relativeFrom="column">
                  <wp:posOffset>1496695</wp:posOffset>
                </wp:positionH>
                <wp:positionV relativeFrom="paragraph">
                  <wp:posOffset>1837690</wp:posOffset>
                </wp:positionV>
                <wp:extent cx="2809875" cy="8255"/>
                <wp:effectExtent l="0" t="64135" r="9525" b="64770"/>
                <wp:wrapNone/>
                <wp:docPr id="53" name="直接箭头连接符 53"/>
                <wp:cNvGraphicFramePr/>
                <a:graphic xmlns:a="http://schemas.openxmlformats.org/drawingml/2006/main">
                  <a:graphicData uri="http://schemas.microsoft.com/office/word/2010/wordprocessingShape">
                    <wps:wsp>
                      <wps:cNvCnPr/>
                      <wps:spPr>
                        <a:xfrm flipH="1" flipV="1">
                          <a:off x="0" y="0"/>
                          <a:ext cx="2809875" cy="8255"/>
                        </a:xfrm>
                        <a:prstGeom prst="straightConnector1">
                          <a:avLst/>
                        </a:prstGeom>
                        <a:ln w="28575" cap="flat" cmpd="sng">
                          <a:solidFill>
                            <a:srgbClr val="FF00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x y;margin-left:117.85pt;margin-top:144.7pt;height:0.65pt;width:221.25pt;z-index:251681792;mso-width-relative:page;mso-height-relative:page;" filled="f" stroked="t" coordsize="21600,21600" o:gfxdata="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8+ymW2gAAAAsBAAAPAAAAAAAAAAEA&#10;IAAAACIAAABkcnMvZG93bnJldi54bWxQSwECFAAUAAAACACHTuJAfLpb3A0CAAAIBAAADgAAAAAA&#10;AAABACAAAAApAQAAZHJzL2Uyb0RvYy54bWxQSwUGAAAAAAYABgBZAQAAqAUAAAAA&#10;">
                <v:fill on="f" focussize="0,0"/>
                <v:stroke weight="2.25pt" color="#FF0000" joinstyle="round" startarrow="open" endarrow="open"/>
                <v:imagedata o:title=""/>
                <o:lock v:ext="edit" aspectratio="f"/>
              </v:shape>
            </w:pict>
          </mc:Fallback>
        </mc:AlternateContent>
      </w:r>
    </w:p>
    <w:p>
      <w:pPr>
        <w:pStyle w:val="139"/>
        <w:numPr>
          <w:ilvl w:val="0"/>
          <w:numId w:val="12"/>
        </w:numPr>
        <w:adjustRightInd w:val="0"/>
        <w:snapToGrid w:val="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双轴定值拧紧工具</w:t>
      </w:r>
      <w:r>
        <w:rPr>
          <w:rFonts w:hint="eastAsia" w:ascii="宋体" w:hAnsi="宋体" w:eastAsia="宋体" w:cs="Times New Roman"/>
          <w:b/>
          <w:bCs/>
          <w:color w:val="000000"/>
          <w:sz w:val="24"/>
          <w:highlight w:val="none"/>
          <w:lang w:val="en-US" w:eastAsia="zh-CN"/>
        </w:rPr>
        <w:t>拧紧过程</w:t>
      </w:r>
      <w:r>
        <w:rPr>
          <w:rFonts w:hint="eastAsia" w:ascii="宋体" w:hAnsi="宋体" w:eastAsia="宋体" w:cs="Times New Roman"/>
          <w:color w:val="000000"/>
          <w:sz w:val="24"/>
          <w:highlight w:val="none"/>
          <w:lang w:val="en-US" w:eastAsia="zh-CN"/>
        </w:rPr>
        <w:t>：双轴定值拧紧工具吊挂气缸行程根据现场使用环境及自动拧紧需要确定；满足操作人员在车架一侧打紧所有螺栓、螺母。</w:t>
      </w:r>
      <w:r>
        <w:rPr>
          <w:rFonts w:hint="eastAsia" w:ascii="宋体" w:hAnsi="宋体" w:eastAsia="宋体" w:cs="Times New Roman"/>
          <w:color w:val="000000"/>
          <w:sz w:val="24"/>
          <w:szCs w:val="24"/>
          <w:highlight w:val="none"/>
          <w:lang w:val="en-US" w:eastAsia="zh-CN"/>
        </w:rPr>
        <w:t>在完成拧紧作业后需有卸荷的动作，方便</w:t>
      </w:r>
      <w:r>
        <w:rPr>
          <w:rFonts w:hint="eastAsia" w:ascii="宋体" w:hAnsi="宋体" w:eastAsia="宋体" w:cs="Times New Roman"/>
          <w:color w:val="000000"/>
          <w:sz w:val="24"/>
          <w:highlight w:val="none"/>
          <w:lang w:val="en-US" w:eastAsia="zh-CN"/>
        </w:rPr>
        <w:t>套筒与螺栓/螺母的分离。针对不同配置车型，实现力矩快速准确切换，并具备防错设计。在综合考虑现有拧紧空间、不影响拧紧的情况下，双轴定值拧紧工具在水平竖直翻转时优先采用气缸式结构，实现自动翻转，到相应位置后自动限位，员工需操作方便。</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其中采集的</w:t>
      </w:r>
      <w:r>
        <w:rPr>
          <w:rFonts w:hint="eastAsia" w:ascii="宋体" w:hAnsi="宋体" w:eastAsia="宋体" w:cs="Times New Roman"/>
          <w:b/>
          <w:bCs/>
          <w:color w:val="000000"/>
          <w:sz w:val="24"/>
          <w:highlight w:val="none"/>
          <w:lang w:val="en-US" w:eastAsia="zh-CN"/>
        </w:rPr>
        <w:t>拧紧数据</w:t>
      </w:r>
      <w:r>
        <w:rPr>
          <w:rFonts w:hint="eastAsia" w:ascii="宋体" w:hAnsi="宋体" w:eastAsia="宋体" w:cs="Times New Roman"/>
          <w:color w:val="000000"/>
          <w:sz w:val="24"/>
          <w:highlight w:val="none"/>
          <w:lang w:val="en-US" w:eastAsia="zh-CN"/>
        </w:rPr>
        <w:t>至少需包含目标扭矩、拧紧结果、拧紧角度、是否合格、过程曲线、时间、车架号、双轴定值拧紧工具序列号（轴类工具）等信息。</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新增扫码枪</w:t>
      </w:r>
      <w:r>
        <w:rPr>
          <w:rFonts w:hint="eastAsia" w:ascii="宋体" w:hAnsi="宋体" w:eastAsia="宋体" w:cs="Times New Roman"/>
          <w:color w:val="000000"/>
          <w:sz w:val="24"/>
          <w:highlight w:val="none"/>
          <w:lang w:val="en-US" w:eastAsia="zh-CN"/>
        </w:rPr>
        <w:t>：为保证工具拧紧信息和车辆能够有效绑定，每套工具需要配套增加无线扫码枪，将车辆信息和拧紧信息进行绑定。要求可扫描二维码也可以扫描条形码，同时可扫描纸质码也可扫描金属码。</w:t>
      </w:r>
    </w:p>
    <w:p>
      <w:pPr>
        <w:pStyle w:val="139"/>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网络铺设</w:t>
      </w:r>
      <w:r>
        <w:rPr>
          <w:rFonts w:hint="eastAsia" w:ascii="宋体" w:hAnsi="宋体" w:eastAsia="宋体" w:cs="Times New Roman"/>
          <w:color w:val="000000"/>
          <w:sz w:val="24"/>
          <w:highlight w:val="none"/>
          <w:lang w:val="en-US" w:eastAsia="zh-CN"/>
        </w:rPr>
        <w:t>：为实现追溯拧紧工具的数据上传，各拧紧工具控制器到重汽现场交换机之间需铺设网络进行通讯，网络铺设包含网线、接头等主要设备的安装。</w:t>
      </w:r>
    </w:p>
    <w:p>
      <w:pPr>
        <w:pStyle w:val="139"/>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其他重要组成部件或要求</w:t>
      </w:r>
      <w:r>
        <w:rPr>
          <w:rFonts w:hint="eastAsia" w:ascii="宋体" w:hAnsi="宋体" w:eastAsia="宋体" w:cs="Times New Roman"/>
          <w:color w:val="000000"/>
          <w:sz w:val="24"/>
          <w:szCs w:val="24"/>
          <w:highlight w:val="none"/>
          <w:lang w:val="en-US" w:eastAsia="zh-CN"/>
        </w:rPr>
        <w:t>：</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每套拧紧工具配套的</w:t>
      </w:r>
      <w:r>
        <w:rPr>
          <w:rFonts w:hint="eastAsia" w:ascii="宋体" w:hAnsi="宋体" w:eastAsia="宋体" w:cs="Times New Roman"/>
          <w:b/>
          <w:bCs/>
          <w:color w:val="000000"/>
          <w:sz w:val="24"/>
          <w:szCs w:val="24"/>
          <w:highlight w:val="none"/>
          <w:lang w:val="en-US" w:eastAsia="zh-CN"/>
        </w:rPr>
        <w:t>电缆线长度</w:t>
      </w:r>
      <w:r>
        <w:rPr>
          <w:rFonts w:hint="eastAsia" w:ascii="宋体" w:hAnsi="宋体" w:eastAsia="宋体" w:cs="Times New Roman"/>
          <w:color w:val="000000"/>
          <w:sz w:val="24"/>
          <w:szCs w:val="24"/>
          <w:highlight w:val="none"/>
          <w:lang w:val="en-US" w:eastAsia="zh-CN"/>
        </w:rPr>
        <w:t>满足随线生产的要求，非双轴定值拧紧工具工具电缆线长度不低于15米，双轴定值拧紧工具工具电缆线长度不低于25米，具体长度以现场实际布置为准，要求电缆为数字通讯，电缆有边缘保护和防漏电护套，电缆为进口品牌；具有电缆自锁功能，可以防止电缆意外松脱而造成的部件维护等损失；与双轴定值拧紧工具相对应的电缆，每根电缆都应有清晰的编号；电缆吊挂使用原厂附件。双轴定值拧紧工具轨道处管线束应配套使用电线电缆保护拖链。</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拧紧工具配套工装中增加的</w:t>
      </w:r>
      <w:r>
        <w:rPr>
          <w:rFonts w:hint="eastAsia" w:ascii="宋体" w:hAnsi="宋体" w:eastAsia="宋体" w:cs="Times New Roman"/>
          <w:b/>
          <w:bCs/>
          <w:color w:val="000000"/>
          <w:sz w:val="24"/>
          <w:szCs w:val="24"/>
          <w:highlight w:val="none"/>
          <w:lang w:val="en-US" w:eastAsia="zh-CN"/>
        </w:rPr>
        <w:t>滑轨长度</w:t>
      </w:r>
      <w:r>
        <w:rPr>
          <w:rFonts w:hint="eastAsia" w:ascii="宋体" w:hAnsi="宋体" w:eastAsia="宋体" w:cs="Times New Roman"/>
          <w:color w:val="000000"/>
          <w:sz w:val="24"/>
          <w:szCs w:val="24"/>
          <w:highlight w:val="none"/>
          <w:lang w:val="en-US" w:eastAsia="zh-CN"/>
        </w:rPr>
        <w:t>满足生产需求，每个工序的滑轨需求长度以现场实际布置为准。</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设备通电</w:t>
      </w:r>
      <w:r>
        <w:rPr>
          <w:rFonts w:hint="eastAsia" w:ascii="宋体" w:hAnsi="宋体" w:eastAsia="宋体" w:cs="Times New Roman"/>
          <w:b/>
          <w:bCs/>
          <w:color w:val="000000"/>
          <w:sz w:val="24"/>
          <w:szCs w:val="24"/>
          <w:highlight w:val="none"/>
          <w:lang w:val="en-US" w:eastAsia="zh-CN"/>
        </w:rPr>
        <w:t>电缆</w:t>
      </w:r>
      <w:r>
        <w:rPr>
          <w:rFonts w:hint="eastAsia" w:ascii="宋体" w:hAnsi="宋体" w:eastAsia="宋体" w:cs="Times New Roman"/>
          <w:color w:val="000000"/>
          <w:sz w:val="24"/>
          <w:szCs w:val="24"/>
          <w:highlight w:val="none"/>
          <w:lang w:val="en-US" w:eastAsia="zh-CN"/>
        </w:rPr>
        <w:t>现场就近</w:t>
      </w:r>
      <w:r>
        <w:rPr>
          <w:rFonts w:hint="eastAsia" w:ascii="宋体" w:hAnsi="宋体" w:eastAsia="宋体" w:cs="Times New Roman"/>
          <w:b/>
          <w:bCs/>
          <w:color w:val="000000"/>
          <w:sz w:val="24"/>
          <w:szCs w:val="24"/>
          <w:highlight w:val="none"/>
          <w:lang w:val="en-US" w:eastAsia="zh-CN"/>
        </w:rPr>
        <w:t>布置</w:t>
      </w:r>
      <w:r>
        <w:rPr>
          <w:rFonts w:hint="eastAsia" w:ascii="宋体" w:hAnsi="宋体" w:eastAsia="宋体" w:cs="Times New Roman"/>
          <w:color w:val="000000"/>
          <w:sz w:val="24"/>
          <w:szCs w:val="24"/>
          <w:highlight w:val="none"/>
          <w:lang w:val="en-US" w:eastAsia="zh-CN"/>
        </w:rPr>
        <w:t>，所用到的配件、接头、施工等均由中标方负责，投标报价中应包含所有费用。</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单轴定值拧紧工具使用平衡器加吊挂附件的形式</w:t>
      </w:r>
      <w:r>
        <w:rPr>
          <w:rFonts w:hint="eastAsia" w:ascii="宋体" w:hAnsi="宋体" w:eastAsia="宋体" w:cs="Times New Roman"/>
          <w:color w:val="000000"/>
          <w:sz w:val="24"/>
          <w:szCs w:val="24"/>
          <w:highlight w:val="none"/>
          <w:lang w:val="en-US" w:eastAsia="zh-CN"/>
        </w:rPr>
        <w:t>吊挂在滑轨上；</w:t>
      </w:r>
      <w:r>
        <w:rPr>
          <w:rFonts w:hint="eastAsia" w:ascii="宋体" w:hAnsi="宋体" w:eastAsia="宋体" w:cs="Times New Roman"/>
          <w:b/>
          <w:bCs/>
          <w:color w:val="000000"/>
          <w:sz w:val="24"/>
          <w:szCs w:val="24"/>
          <w:highlight w:val="none"/>
          <w:lang w:val="en-US" w:eastAsia="zh-CN"/>
        </w:rPr>
        <w:t>双轴定值拧紧工具采用气缸为主、平衡器为辅的吊挂方式</w:t>
      </w:r>
      <w:r>
        <w:rPr>
          <w:rFonts w:hint="eastAsia" w:ascii="宋体" w:hAnsi="宋体" w:eastAsia="宋体" w:cs="Times New Roman"/>
          <w:color w:val="000000"/>
          <w:sz w:val="24"/>
          <w:szCs w:val="24"/>
          <w:highlight w:val="none"/>
          <w:lang w:val="en-US" w:eastAsia="zh-CN"/>
        </w:rPr>
        <w:t>吊挂在滑轨上。</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考虑到一个拧紧设备可能有多个拧紧力矩的情况，本次招标的拧紧工具均需</w:t>
      </w:r>
      <w:r>
        <w:rPr>
          <w:rFonts w:hint="eastAsia" w:ascii="宋体" w:hAnsi="宋体" w:eastAsia="宋体" w:cs="Times New Roman"/>
          <w:b/>
          <w:bCs/>
          <w:color w:val="000000"/>
          <w:sz w:val="24"/>
          <w:szCs w:val="24"/>
          <w:highlight w:val="none"/>
          <w:lang w:val="en-US" w:eastAsia="zh-CN"/>
        </w:rPr>
        <w:t>配备</w:t>
      </w:r>
      <w:r>
        <w:rPr>
          <w:rFonts w:hint="eastAsia" w:ascii="宋体" w:hAnsi="宋体" w:eastAsia="宋体" w:cs="Times New Roman"/>
          <w:color w:val="000000"/>
          <w:sz w:val="24"/>
          <w:szCs w:val="24"/>
          <w:highlight w:val="none"/>
          <w:lang w:val="en-US" w:eastAsia="zh-CN"/>
        </w:rPr>
        <w:t>工具相匹配的</w:t>
      </w:r>
      <w:r>
        <w:rPr>
          <w:rFonts w:hint="eastAsia" w:ascii="宋体" w:hAnsi="宋体" w:eastAsia="宋体" w:cs="Times New Roman"/>
          <w:b/>
          <w:bCs/>
          <w:color w:val="000000"/>
          <w:sz w:val="24"/>
          <w:szCs w:val="24"/>
          <w:highlight w:val="none"/>
          <w:lang w:val="en-US" w:eastAsia="zh-CN"/>
        </w:rPr>
        <w:t>挡位调整装置</w:t>
      </w:r>
      <w:r>
        <w:rPr>
          <w:rFonts w:hint="eastAsia" w:ascii="宋体" w:hAnsi="宋体" w:eastAsia="宋体" w:cs="Times New Roman"/>
          <w:color w:val="000000"/>
          <w:sz w:val="24"/>
          <w:szCs w:val="24"/>
          <w:highlight w:val="none"/>
          <w:lang w:val="en-US" w:eastAsia="zh-CN"/>
        </w:rPr>
        <w:t>，便于现场快速实现力矩切换，</w:t>
      </w:r>
      <w:r>
        <w:rPr>
          <w:rFonts w:hint="eastAsia" w:ascii="宋体" w:hAnsi="宋体" w:eastAsia="宋体" w:cs="Times New Roman"/>
          <w:b/>
          <w:bCs/>
          <w:color w:val="000000"/>
          <w:sz w:val="24"/>
          <w:szCs w:val="24"/>
          <w:highlight w:val="none"/>
          <w:lang w:val="en-US" w:eastAsia="zh-CN"/>
        </w:rPr>
        <w:t>单轴设备挡位不低于3挡，双轴设备挡位不低于5挡</w:t>
      </w:r>
      <w:r>
        <w:rPr>
          <w:rFonts w:hint="eastAsia" w:ascii="宋体" w:hAnsi="宋体" w:eastAsia="宋体" w:cs="Times New Roman"/>
          <w:color w:val="000000"/>
          <w:sz w:val="24"/>
          <w:szCs w:val="24"/>
          <w:highlight w:val="none"/>
          <w:lang w:val="en-US" w:eastAsia="zh-CN"/>
        </w:rPr>
        <w:t>。</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控制器吊挂时，</w:t>
      </w:r>
      <w:r>
        <w:rPr>
          <w:rFonts w:hint="eastAsia" w:ascii="宋体" w:hAnsi="宋体" w:eastAsia="宋体" w:cs="Times New Roman"/>
          <w:b/>
          <w:bCs/>
          <w:color w:val="000000"/>
          <w:sz w:val="24"/>
          <w:szCs w:val="24"/>
          <w:highlight w:val="none"/>
          <w:lang w:val="en-US" w:eastAsia="zh-CN"/>
        </w:rPr>
        <w:t>优先考虑固定式吊挂</w:t>
      </w:r>
      <w:r>
        <w:rPr>
          <w:rFonts w:hint="eastAsia" w:ascii="宋体" w:hAnsi="宋体" w:eastAsia="宋体" w:cs="Times New Roman"/>
          <w:color w:val="000000"/>
          <w:sz w:val="24"/>
          <w:szCs w:val="24"/>
          <w:highlight w:val="none"/>
          <w:lang w:val="en-US" w:eastAsia="zh-CN"/>
        </w:rPr>
        <w:t>，即拧紧工具随线移动，控制器尽量不移动或者较小移动量。</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新增设备中有替换现有拧紧设备时，现有拧紧设备、机柜及轨道等相关附件的拆除均由中标方负责。</w:t>
      </w:r>
    </w:p>
    <w:p>
      <w:pPr>
        <w:pStyle w:val="139"/>
        <w:numPr>
          <w:ilvl w:val="0"/>
          <w:numId w:val="12"/>
        </w:numPr>
        <w:adjustRightInd w:val="0"/>
        <w:snapToGrid w:val="0"/>
        <w:rPr>
          <w:rFonts w:hint="eastAsia" w:ascii="宋体" w:hAnsi="宋体" w:eastAsia="宋体" w:cs="Times New Roman"/>
          <w:b/>
          <w:bCs/>
          <w:color w:val="000000"/>
          <w:sz w:val="24"/>
          <w:szCs w:val="24"/>
          <w:highlight w:val="yellow"/>
          <w:lang w:val="en-US" w:eastAsia="zh-CN"/>
        </w:rPr>
      </w:pPr>
      <w:r>
        <w:rPr>
          <w:rFonts w:hint="eastAsia" w:ascii="宋体" w:hAnsi="宋体" w:eastAsia="宋体" w:cs="Times New Roman"/>
          <w:b/>
          <w:bCs/>
          <w:color w:val="000000"/>
          <w:sz w:val="24"/>
          <w:szCs w:val="24"/>
          <w:highlight w:val="yellow"/>
          <w:lang w:val="en-US" w:eastAsia="zh-CN"/>
        </w:rPr>
        <w:t>为保证各投标方报价合理、方案可靠，要求所有投标方在开标前必须进行现场实地考察。</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两套单轴定值拧紧工具需</w:t>
      </w:r>
      <w:r>
        <w:rPr>
          <w:rFonts w:hint="eastAsia" w:ascii="宋体" w:hAnsi="宋体" w:eastAsia="宋体" w:cs="Times New Roman"/>
          <w:b/>
          <w:bCs/>
          <w:color w:val="000000"/>
          <w:sz w:val="24"/>
          <w:szCs w:val="24"/>
          <w:highlight w:val="none"/>
          <w:lang w:val="en-US" w:eastAsia="zh-CN"/>
        </w:rPr>
        <w:t>提供相应的套筒及转接头</w:t>
      </w:r>
      <w:r>
        <w:rPr>
          <w:rFonts w:hint="eastAsia" w:ascii="宋体" w:hAnsi="宋体" w:eastAsia="宋体" w:cs="Times New Roman"/>
          <w:color w:val="000000"/>
          <w:sz w:val="24"/>
          <w:szCs w:val="24"/>
          <w:highlight w:val="none"/>
          <w:lang w:val="en-US" w:eastAsia="zh-CN"/>
        </w:rPr>
        <w:t>，套筒及转接头一备一用，两套单轴定值拧紧工具需配备四个套筒及四个转接头；一套双轴定值拧紧工具需要拧紧三种螺栓，需配套提供六个相应套筒及六个转接头，保证工具采购后可直接投入使用；其次要求所有双轴定值拧紧工具配套套筒采用快换结构。</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各工序工具</w:t>
      </w:r>
      <w:r>
        <w:rPr>
          <w:rFonts w:hint="eastAsia" w:ascii="宋体" w:hAnsi="宋体" w:eastAsia="宋体" w:cs="Times New Roman"/>
          <w:b/>
          <w:bCs/>
          <w:color w:val="000000"/>
          <w:sz w:val="24"/>
          <w:szCs w:val="24"/>
          <w:highlight w:val="none"/>
          <w:lang w:val="en-US" w:eastAsia="zh-CN"/>
        </w:rPr>
        <w:t>作业者高度、拧紧螺栓数量及配套套筒对边尺寸等信息</w:t>
      </w:r>
      <w:r>
        <w:rPr>
          <w:rFonts w:hint="eastAsia" w:ascii="宋体" w:hAnsi="宋体" w:eastAsia="宋体" w:cs="Times New Roman"/>
          <w:color w:val="000000"/>
          <w:sz w:val="24"/>
          <w:szCs w:val="24"/>
          <w:highlight w:val="none"/>
          <w:lang w:val="en-US" w:eastAsia="zh-CN"/>
        </w:rPr>
        <w:t>（套筒对边尺寸为参考值，实际尺寸以中标厂家现场测量结果为准）如下：</w:t>
      </w:r>
    </w:p>
    <w:p>
      <w:pPr>
        <w:pStyle w:val="139"/>
        <w:numPr>
          <w:ilvl w:val="0"/>
          <w:numId w:val="0"/>
        </w:numPr>
        <w:adjustRightInd w:val="0"/>
        <w:snapToGrid w:val="0"/>
        <w:rPr>
          <w:rFonts w:hint="eastAsia" w:ascii="宋体" w:hAnsi="宋体" w:eastAsia="宋体" w:cs="Times New Roman"/>
          <w:color w:val="000000"/>
          <w:sz w:val="24"/>
          <w:szCs w:val="24"/>
          <w:highlight w:val="none"/>
          <w:lang w:val="en-US" w:eastAsia="zh-CN"/>
        </w:rPr>
      </w:pPr>
    </w:p>
    <w:tbl>
      <w:tblPr>
        <w:tblStyle w:val="3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492"/>
        <w:gridCol w:w="972"/>
        <w:gridCol w:w="768"/>
        <w:gridCol w:w="984"/>
        <w:gridCol w:w="636"/>
        <w:gridCol w:w="1044"/>
        <w:gridCol w:w="1181"/>
        <w:gridCol w:w="913"/>
        <w:gridCol w:w="739"/>
        <w:gridCol w:w="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77" w:type="pct"/>
            <w:tcBorders>
              <w:top w:val="single" w:color="000000" w:sz="8" w:space="0"/>
              <w:left w:val="single" w:color="000000" w:sz="8" w:space="0"/>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生产线</w:t>
            </w:r>
          </w:p>
        </w:tc>
        <w:tc>
          <w:tcPr>
            <w:tcW w:w="264"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工位</w:t>
            </w:r>
          </w:p>
        </w:tc>
        <w:tc>
          <w:tcPr>
            <w:tcW w:w="523"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工序名称</w:t>
            </w:r>
          </w:p>
        </w:tc>
        <w:tc>
          <w:tcPr>
            <w:tcW w:w="413"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螺栓型号</w:t>
            </w:r>
          </w:p>
        </w:tc>
        <w:tc>
          <w:tcPr>
            <w:tcW w:w="529"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拧紧力矩（Nm）</w:t>
            </w:r>
          </w:p>
        </w:tc>
        <w:tc>
          <w:tcPr>
            <w:tcW w:w="342" w:type="pct"/>
            <w:tcBorders>
              <w:top w:val="single" w:color="000000" w:sz="8" w:space="0"/>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562"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工具类型</w:t>
            </w:r>
          </w:p>
        </w:tc>
        <w:tc>
          <w:tcPr>
            <w:tcW w:w="636"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最多拧紧螺栓数量（个）</w:t>
            </w:r>
          </w:p>
        </w:tc>
        <w:tc>
          <w:tcPr>
            <w:tcW w:w="491"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作业者高度（mm）</w:t>
            </w:r>
          </w:p>
        </w:tc>
        <w:tc>
          <w:tcPr>
            <w:tcW w:w="397"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螺栓拧紧位置</w:t>
            </w:r>
          </w:p>
        </w:tc>
        <w:tc>
          <w:tcPr>
            <w:tcW w:w="459"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套筒对边尺寸（mm）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377"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车架线</w:t>
            </w:r>
          </w:p>
        </w:tc>
        <w:tc>
          <w:tcPr>
            <w:tcW w:w="264"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Z39</w:t>
            </w:r>
          </w:p>
        </w:tc>
        <w:tc>
          <w:tcPr>
            <w:tcW w:w="523"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装配后桥V推工序</w:t>
            </w:r>
          </w:p>
        </w:tc>
        <w:tc>
          <w:tcPr>
            <w:tcW w:w="413"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M22</w:t>
            </w:r>
          </w:p>
        </w:tc>
        <w:tc>
          <w:tcPr>
            <w:tcW w:w="529"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795</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1100</w:t>
            </w:r>
          </w:p>
        </w:tc>
        <w:tc>
          <w:tcPr>
            <w:tcW w:w="342"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62"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单轴定值拧紧工具</w:t>
            </w:r>
          </w:p>
        </w:tc>
        <w:tc>
          <w:tcPr>
            <w:tcW w:w="636"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491"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550-1050</w:t>
            </w:r>
          </w:p>
        </w:tc>
        <w:tc>
          <w:tcPr>
            <w:tcW w:w="397"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螺栓</w:t>
            </w:r>
          </w:p>
        </w:tc>
        <w:tc>
          <w:tcPr>
            <w:tcW w:w="459"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77" w:type="pct"/>
            <w:tcBorders>
              <w:top w:val="nil"/>
              <w:left w:val="single" w:color="000000" w:sz="8"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预装线</w:t>
            </w:r>
          </w:p>
        </w:tc>
        <w:tc>
          <w:tcPr>
            <w:tcW w:w="264"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Z29</w:t>
            </w:r>
          </w:p>
        </w:tc>
        <w:tc>
          <w:tcPr>
            <w:tcW w:w="523"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紧固V推螺栓工序</w:t>
            </w:r>
          </w:p>
        </w:tc>
        <w:tc>
          <w:tcPr>
            <w:tcW w:w="413" w:type="pct"/>
            <w:tcBorders>
              <w:top w:val="nil"/>
              <w:left w:val="nil"/>
              <w:bottom w:val="single" w:color="000000" w:sz="8" w:space="0"/>
              <w:right w:val="single" w:color="000000" w:sz="8" w:space="0"/>
            </w:tcBorders>
            <w:noWrap w:val="0"/>
            <w:vAlign w:val="center"/>
          </w:tcPr>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M20</w:t>
            </w:r>
          </w:p>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p>
            <w:pPr>
              <w:pStyle w:val="5"/>
              <w:ind w:left="0" w:leftChars="0" w:firstLine="0" w:firstLineChars="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M24</w:t>
            </w:r>
          </w:p>
        </w:tc>
        <w:tc>
          <w:tcPr>
            <w:tcW w:w="529" w:type="pct"/>
            <w:tcBorders>
              <w:top w:val="nil"/>
              <w:left w:val="nil"/>
              <w:bottom w:val="single" w:color="000000" w:sz="8" w:space="0"/>
              <w:right w:val="single" w:color="000000" w:sz="8" w:space="0"/>
            </w:tcBorders>
            <w:noWrap w:val="0"/>
            <w:vAlign w:val="center"/>
          </w:tcPr>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565</w:t>
            </w:r>
          </w:p>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750</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18"/>
                <w:szCs w:val="18"/>
                <w:highlight w:val="none"/>
                <w:u w:val="none"/>
                <w:lang w:val="en-US" w:eastAsia="zh-CN"/>
              </w:rPr>
              <w:t>960</w:t>
            </w:r>
          </w:p>
        </w:tc>
        <w:tc>
          <w:tcPr>
            <w:tcW w:w="342" w:type="pct"/>
            <w:tcBorders>
              <w:top w:val="nil"/>
              <w:left w:val="nil"/>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62" w:type="pct"/>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双轴定值拧紧工具</w:t>
            </w:r>
          </w:p>
        </w:tc>
        <w:tc>
          <w:tcPr>
            <w:tcW w:w="636"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491"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550-1050</w:t>
            </w:r>
          </w:p>
        </w:tc>
        <w:tc>
          <w:tcPr>
            <w:tcW w:w="397"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螺栓/螺母</w:t>
            </w:r>
          </w:p>
        </w:tc>
        <w:tc>
          <w:tcPr>
            <w:tcW w:w="459" w:type="pct"/>
            <w:tcBorders>
              <w:top w:val="nil"/>
              <w:left w:val="nil"/>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30</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34</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36</w:t>
            </w:r>
          </w:p>
        </w:tc>
      </w:tr>
    </w:tbl>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本次招标购买工具相关硬件、协议等均需满足数据采集及追溯功能，后续只要网络铺设完成，数据采集和追溯可直接实现。</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所选设备操作界面及附属软件、说明书等为中文，控制器可外接中文界面显示屏；拧紧工具的控制器等相关设备及软件应具备时间同步功能，避免信息混乱。</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所有拧紧工具可正转、反转，通过切换按钮方便地切换，具有过电流、过电压自动断电保护功能，并具有欠压自动保护功能。</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 xml:space="preserve">双轴定值拧紧工具及线缆式定值拧紧工具的控制器及数据分析软件选型应为现市场上应用的高配产品，优先选用相应品牌的最高配置产品；控制器应具有一定的存储能力，可以对拧紧过程中所有的参数进行存储，参数包括但不限于以下内容：时间、扭矩、拧紧角度、是否合格（OK/NOK）、曲线，控制器本身可存储5000组拧紧数据，如果控制器故障，设备维护人员能够立刻将所有数据包括拧紧程序直接备份到新的控制器上，以最大限度减少停线损失。控制器存储拧紧过程的拧紧曲线可根据需要自由设定坐标，如扭矩/时间、扭矩/角度、角度/时间等，控制器要求连接到重汽IOT平台，可以实现结果、曲线实时上传，把每一个结果、曲线都存储于控制器，也可以实现断网回传，且数据不遗漏；控制器有独立的运行软件系统，面板上设有宽大的显示屏和按钮，控制器的所有功能设置可以通过连接笔记本电脑，通过工具软件轻松完成设置。工具控制器内故障报警信息不允许删除或需要设置删除权限；项目追溯软件部分应具备设备维修管理模块。                                                                                                                                                                                                                                                                           </w:t>
      </w:r>
    </w:p>
    <w:p>
      <w:pPr>
        <w:pStyle w:val="139"/>
        <w:numPr>
          <w:ilvl w:val="0"/>
          <w:numId w:val="12"/>
        </w:numPr>
        <w:adjustRightInd w:val="0"/>
        <w:snapToGrid w:val="0"/>
        <w:rPr>
          <w:rFonts w:hint="eastAsia" w:ascii="宋体" w:hAnsi="宋体" w:eastAsia="宋体" w:cs="Times New Roman"/>
          <w:b/>
          <w:bCs/>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双轴定值拧紧工具配备变距功能，变距系统可实现手动变距且带有挡位（130mm、152mm），并带手动标尺，用于确定轴距，手动变距的手摇轮为可拆除结构，手摇轮和轴箱连接采用方榫结构且方榫为嵌入式结构，不影响轴箱的整体结构；其次双轴定值拧紧工具各轴需同步拧紧；各双轴定值拧紧工具常用变距要求如下表，要求拧紧工具实际变距包含下表说明范围并比下表中的范围上下各大20%左右以应对其他特殊车型。</w:t>
      </w:r>
      <w:r>
        <w:rPr>
          <w:rFonts w:hint="eastAsia" w:ascii="宋体" w:hAnsi="宋体" w:eastAsia="宋体" w:cs="Times New Roman"/>
          <w:b/>
          <w:bCs/>
          <w:color w:val="000000"/>
          <w:sz w:val="24"/>
          <w:szCs w:val="24"/>
          <w:highlight w:val="none"/>
          <w:lang w:val="en-US" w:eastAsia="zh-CN"/>
        </w:rPr>
        <w:t>双轴定值拧紧工具的套筒更换需便捷。在完成拧紧作业后需有卸荷的动作，方便套筒与螺栓/螺母分离。</w:t>
      </w:r>
    </w:p>
    <w:tbl>
      <w:tblPr>
        <w:tblStyle w:val="38"/>
        <w:tblW w:w="444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1"/>
        <w:gridCol w:w="1245"/>
        <w:gridCol w:w="1331"/>
        <w:gridCol w:w="985"/>
        <w:gridCol w:w="859"/>
        <w:gridCol w:w="1274"/>
        <w:gridCol w:w="1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61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工位</w:t>
            </w:r>
          </w:p>
        </w:tc>
        <w:tc>
          <w:tcPr>
            <w:tcW w:w="753"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名称</w:t>
            </w:r>
          </w:p>
        </w:tc>
        <w:tc>
          <w:tcPr>
            <w:tcW w:w="805" w:type="pct"/>
            <w:tcBorders>
              <w:top w:val="single" w:color="000000" w:sz="8" w:space="0"/>
              <w:left w:val="nil"/>
              <w:bottom w:val="single" w:color="auto" w:sz="4"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螺栓型号</w:t>
            </w:r>
          </w:p>
        </w:tc>
        <w:tc>
          <w:tcPr>
            <w:tcW w:w="596" w:type="pct"/>
            <w:tcBorders>
              <w:top w:val="single" w:color="000000" w:sz="8" w:space="0"/>
              <w:left w:val="nil"/>
              <w:bottom w:val="single" w:color="auto" w:sz="4"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拧紧力矩（Nm）</w:t>
            </w:r>
          </w:p>
        </w:tc>
        <w:tc>
          <w:tcPr>
            <w:tcW w:w="520"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771"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工具类型</w:t>
            </w:r>
          </w:p>
        </w:tc>
        <w:tc>
          <w:tcPr>
            <w:tcW w:w="934"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变距说明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jc w:val="center"/>
        </w:trPr>
        <w:tc>
          <w:tcPr>
            <w:tcW w:w="618"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Z29</w:t>
            </w:r>
          </w:p>
        </w:tc>
        <w:tc>
          <w:tcPr>
            <w:tcW w:w="753" w:type="pct"/>
            <w:tcBorders>
              <w:top w:val="nil"/>
              <w:left w:val="nil"/>
              <w:bottom w:val="single" w:color="000000" w:sz="8"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紧固V推螺栓工序</w:t>
            </w:r>
          </w:p>
        </w:tc>
        <w:tc>
          <w:tcPr>
            <w:tcW w:w="805" w:type="pct"/>
            <w:tcBorders>
              <w:top w:val="single" w:color="auto" w:sz="4" w:space="0"/>
              <w:left w:val="single" w:color="auto" w:sz="4" w:space="0"/>
              <w:bottom w:val="single" w:color="auto" w:sz="4" w:space="0"/>
              <w:right w:val="single" w:color="000000" w:sz="8" w:space="0"/>
            </w:tcBorders>
            <w:noWrap w:val="0"/>
            <w:vAlign w:val="center"/>
          </w:tcPr>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M20</w:t>
            </w:r>
          </w:p>
          <w:p>
            <w:pPr>
              <w:pStyle w:val="5"/>
              <w:ind w:left="0" w:leftChars="0" w:firstLine="0" w:firstLineChars="0"/>
              <w:jc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M22</w:t>
            </w:r>
          </w:p>
          <w:p>
            <w:pPr>
              <w:pStyle w:val="5"/>
              <w:ind w:left="0" w:leftChars="0" w:firstLine="0" w:firstLineChars="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18"/>
                <w:szCs w:val="18"/>
                <w:highlight w:val="none"/>
                <w:u w:val="none"/>
                <w:lang w:val="en-US" w:eastAsia="zh-CN" w:bidi="ar"/>
              </w:rPr>
              <w:t>M24</w:t>
            </w:r>
          </w:p>
        </w:tc>
        <w:tc>
          <w:tcPr>
            <w:tcW w:w="596" w:type="pct"/>
            <w:tcBorders>
              <w:top w:val="single" w:color="auto" w:sz="4" w:space="0"/>
              <w:left w:val="nil"/>
              <w:bottom w:val="single" w:color="auto" w:sz="4" w:space="0"/>
              <w:right w:val="single" w:color="auto" w:sz="4" w:space="0"/>
            </w:tcBorders>
            <w:noWrap w:val="0"/>
            <w:vAlign w:val="center"/>
          </w:tcPr>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565</w:t>
            </w:r>
          </w:p>
          <w:p>
            <w:pPr>
              <w:pStyle w:val="5"/>
              <w:ind w:left="0" w:leftChars="0" w:firstLine="0" w:firstLineChars="0"/>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750</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18"/>
                <w:szCs w:val="18"/>
                <w:highlight w:val="none"/>
                <w:u w:val="none"/>
                <w:lang w:val="en-US" w:eastAsia="zh-CN"/>
              </w:rPr>
              <w:t>960</w:t>
            </w:r>
          </w:p>
        </w:tc>
        <w:tc>
          <w:tcPr>
            <w:tcW w:w="520" w:type="pct"/>
            <w:tcBorders>
              <w:top w:val="nil"/>
              <w:left w:val="single" w:color="auto" w:sz="4"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771" w:type="pct"/>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双轴定值拧紧工具（2轴、变距）</w:t>
            </w:r>
          </w:p>
        </w:tc>
        <w:tc>
          <w:tcPr>
            <w:tcW w:w="934" w:type="pct"/>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中心距120mm-160mm</w:t>
            </w:r>
          </w:p>
        </w:tc>
      </w:tr>
    </w:tbl>
    <w:p>
      <w:pPr>
        <w:pStyle w:val="139"/>
        <w:numPr>
          <w:ilvl w:val="0"/>
          <w:numId w:val="0"/>
        </w:numPr>
        <w:adjustRightInd w:val="0"/>
        <w:snapToGrid w:val="0"/>
        <w:rPr>
          <w:rFonts w:hint="eastAsia" w:ascii="宋体" w:hAnsi="宋体" w:eastAsia="宋体" w:cs="Times New Roman"/>
          <w:color w:val="000000"/>
          <w:sz w:val="24"/>
          <w:szCs w:val="24"/>
          <w:highlight w:val="none"/>
          <w:lang w:val="en-US" w:eastAsia="zh-CN"/>
        </w:rPr>
      </w:pP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采集拧紧过程曲线时，为使曲线更为详尽，要求每条曲线包含不低于500个点的数据（每个点包含扭矩、角度、时间、电流等）。</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双轴定值拧紧工具设备自动化控制系统PLC建议选用西门子S7-1200系列产品或不低于同档次品牌产品，设备自动化控制系统（PLC、工业软件）的品牌推荐是建议性的，是根据招标人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如控制系统包含在设备内，控制系统设计使用寿命应满足设备整体设计使用寿命的要求；独立采购的控制系统设计使用寿命应不低于15年,PLC所有模块（板）的平均无故障时间(MTBF)不小于20万小时。双轴定值拧紧工具设备故障信息要求永久保存不可删除，或需要管理员权限才可删除。</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双轴定值拧紧工具机柜：机柜防护等级为IP65，通风口防护等级为IP54,柜内应有电源总开关，电源总开关的操作应设置在柜体外边，柜内配备照明设施，各机柜内需有1个三孔电源插座（220VAC）、1个二孔电源插座（220VAC）和1个文件盒；机柜上装有声光报警装置（采用四色灯塔和报警器）和状态指示；控制面板上装有急停和复位按钮，急停按钮是带蘑菇头的急停自锁按钮，操作面板上留有备用开关（按钮），每个开关和按钮处有动作内容标牌，标牌文字字母用白底黑字塑料制成可更换铭牌；控制柜内所有元件粘贴有符号，所安装位置部位上也应有相应的符号，线号采用对应线径的标准线号管，打印线号字母或数字，不允许手写，所有操作按钮须标上相应的功能文字，应采用标准宋体,字体需持久耐磨不褪色；所有电控柜（包括主控柜、操作面板、I/O柜、分线柜）按威图公司产品标准制作；机柜内的端子排应布置在易于安装接线的地方，即为离柜底300mm以上和距柜顶150mm以下，控制柜内应预留充足的空间，元器件安装裕量大于20%，使招标人能增加部分元器件，方便地接线、汇线、布线和查线；所有信号屏蔽层接地应在控制柜侧完成，柜门至少能打开95度，柜门全开不会影响人员迅速离开供电柜；供电柜里要有良好的接地处理；柜内电缆和接线端子，如主电源开关的两端和变压器的两端等必须有效防护绝缘；机柜采用空调结构进行散热，机柜上的屏幕需具备拧紧曲线实时显示功能。</w:t>
      </w:r>
    </w:p>
    <w:p>
      <w:pPr>
        <w:pStyle w:val="139"/>
        <w:numPr>
          <w:ilvl w:val="0"/>
          <w:numId w:val="12"/>
        </w:numPr>
        <w:adjustRightInd w:val="0"/>
        <w:snapToGrid w:val="0"/>
        <w:rPr>
          <w:rFonts w:hint="eastAsia" w:ascii="宋体" w:hAnsi="宋体" w:eastAsia="宋体" w:cs="宋体"/>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双轴定值拧紧工</w:t>
      </w:r>
      <w:r>
        <w:rPr>
          <w:rFonts w:hint="eastAsia" w:ascii="宋体" w:hAnsi="宋体" w:eastAsia="宋体" w:cs="宋体"/>
          <w:color w:val="000000"/>
          <w:sz w:val="24"/>
          <w:szCs w:val="24"/>
          <w:highlight w:val="none"/>
          <w:lang w:val="en-US" w:eastAsia="zh-CN"/>
        </w:rPr>
        <w:t>具工装需增加控制把手、辅助把手，以方便操作，原则上可不使用原设备的控制开关；双轴定值拧紧工具</w:t>
      </w:r>
      <w:r>
        <w:rPr>
          <w:rFonts w:hint="eastAsia" w:ascii="宋体" w:hAnsi="宋体" w:eastAsia="宋体" w:cs="宋体"/>
          <w:color w:val="000000"/>
          <w:sz w:val="24"/>
          <w:szCs w:val="24"/>
          <w:highlight w:val="none"/>
        </w:rPr>
        <w:t>单次拧紧不合格，</w:t>
      </w:r>
      <w:r>
        <w:rPr>
          <w:rFonts w:hint="eastAsia" w:ascii="宋体" w:hAnsi="宋体" w:eastAsia="宋体" w:cs="宋体"/>
          <w:color w:val="000000"/>
          <w:sz w:val="24"/>
          <w:szCs w:val="24"/>
          <w:highlight w:val="none"/>
          <w:lang w:eastAsia="zh-CN"/>
        </w:rPr>
        <w:t>双轴定值拧紧工具</w:t>
      </w:r>
      <w:r>
        <w:rPr>
          <w:rFonts w:hint="eastAsia" w:ascii="宋体" w:hAnsi="宋体" w:eastAsia="宋体" w:cs="宋体"/>
          <w:color w:val="000000"/>
          <w:sz w:val="24"/>
          <w:szCs w:val="24"/>
          <w:highlight w:val="none"/>
        </w:rPr>
        <w:t>会报警提示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双轴定值拧紧工具应具备降低拧紧过程中的啸叫功能。</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本次购买的定值拧紧工具在维修后，要求设备必须和我公司现有的标定小车系统或追溯系统上的服务器或其他系统进行通信，请求设备进行标定，相应系统发出标定提示当标定结果合格后，设备才可正常进行作业。联网的可追溯工具需具备远程电脑端或手机软件或网页端更改设备相关参数的功能。</w:t>
      </w:r>
    </w:p>
    <w:p>
      <w:pPr>
        <w:pStyle w:val="139"/>
        <w:numPr>
          <w:ilvl w:val="0"/>
          <w:numId w:val="12"/>
        </w:numPr>
        <w:adjustRightInd w:val="0"/>
        <w:snapToGrid w:val="0"/>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每套设备配套的控制器应预留一个工业以太网接口，用于与上位系统（如：HMES等）通讯。</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szCs w:val="24"/>
          <w:highlight w:val="none"/>
          <w:lang w:val="en-US" w:eastAsia="zh-CN"/>
        </w:rPr>
        <w:t>设备工具的选型：考虑作业姿势，使用空间，紧固速度等因素，必须满足工艺扭矩设定值及生产节拍，拧紧力矩精度不低于±5%，角度精度不低于±2º，工具可设定多种拧紧程序，每个拧紧程序中可设置多个拧紧步骤，可设置诸如认帽、快速拧紧、最终拧紧、顺序拧紧、多次拧紧跳转、角度拧紧等等各种拧紧步骤，识别螺栓错误及假扭矩的错误；所选设备扭矩控制采用扭矩传感器控制，不得使用电流控制，所选设备的扭矩范围对应买方要求的目标扭矩应有20%及以上的储备量，即设备扭矩最大值≥目标扭矩*1.2；选用设备的拧矩传感器在齿轮组前，更加靠近螺栓，确保传感器的准确性；正常使用50万次以内免维护，工具寿命不低于200万次；工具稳定性必须达到：CMK≥1.67，,招标工具在交付时均需提供原版CMK精度合格报告；在1个校准周期内（暂定6个月），设备设定扭矩值偏差不大于±3%，即（扭矩传感器示值-设备设定扭矩值）/设备设定扭矩值≤±3%；驱动方榫应采用标准规格的驱动方榫，如3/8’、1/2’、1’、1.5’、2’等驱动头，驱动头具备高强度、耐磨损，保证与套筒、连杆等附件连接可靠、准确；所有设备运行平稳，工作噪声等级≤75db；所有设备在枪体45℃下，持续正常工作，无停机等故障；所选设备具备模块化快速维修结构，便于维护及维修；所选设备具备远程诊断功能，可监控设备运行情况；</w:t>
      </w:r>
      <w:r>
        <w:rPr>
          <w:rFonts w:hint="eastAsia" w:ascii="宋体" w:hAnsi="宋体"/>
          <w:color w:val="000000"/>
          <w:sz w:val="24"/>
          <w:szCs w:val="24"/>
          <w:highlight w:val="none"/>
        </w:rPr>
        <w:t>所选设备配备相应的抗扭装置，抗扭工装最大抗扭力≥所用设备扭矩最大值*1.5</w:t>
      </w:r>
      <w:r>
        <w:rPr>
          <w:rFonts w:hint="eastAsia" w:ascii="宋体" w:hAnsi="宋体"/>
          <w:color w:val="000000"/>
          <w:sz w:val="24"/>
          <w:szCs w:val="24"/>
          <w:highlight w:val="none"/>
          <w:lang w:eastAsia="zh-CN"/>
        </w:rPr>
        <w:t>。</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投标方负责所有工具设备首次标定，并在工具上粘贴标定的时间及有效日期。质保期内拧紧设备保养由投标方负责，不再额外收取费用。</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中标方所提供的产品必须为进口知名品牌，必须是全新的、原产地生产的、同类产品中最先进可靠的产品，生产日期编号为近30个月内产品（以交货日期为准）。</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各投标方技术方案中要求有该项目的详细布置图及相关尺寸等相关信息；同时投标方案中应明确告知项目选型设备在济南商用车有限公司作业环境下的保养维修间隔或频率等相关信息。</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本项目中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pStyle w:val="139"/>
        <w:numPr>
          <w:ilvl w:val="0"/>
          <w:numId w:val="12"/>
        </w:numPr>
        <w:adjustRightInd w:val="0"/>
        <w:snapToGrid w:val="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中标方在设备验收前必须提供线体二维布局（文件格式DWG），布局图应包含设备布局等信息；对线体进行详细说明，包括产品生产流程描述、设备运行说明、工位节拍、物料消耗方法（不同产品分别说明）、工位器具信息等。同时中标方必须提供产线所涉及的所有设备、工装夹具、工位器具、工具的三维数模，线体按照工位进行分段，存储格式为CGR/STEP/3dxml/IGS等通用格式。</w:t>
      </w:r>
    </w:p>
    <w:p>
      <w:pPr>
        <w:pStyle w:val="139"/>
        <w:adjustRightInd w:val="0"/>
        <w:snapToGrid w:val="0"/>
        <w:rPr>
          <w:rFonts w:hint="default" w:ascii="宋体" w:hAnsi="宋体"/>
          <w:b/>
          <w:bCs/>
          <w:color w:val="000000"/>
          <w:sz w:val="24"/>
          <w:highlight w:val="none"/>
          <w:lang w:val="en-US" w:eastAsia="zh-CN"/>
        </w:rPr>
      </w:pPr>
      <w:r>
        <w:rPr>
          <w:rFonts w:hint="eastAsia" w:ascii="宋体" w:hAnsi="宋体"/>
          <w:b/>
          <w:bCs/>
          <w:color w:val="000000"/>
          <w:sz w:val="24"/>
          <w:highlight w:val="none"/>
          <w:lang w:val="en-US" w:eastAsia="zh-CN"/>
        </w:rPr>
        <w:t>3.2.1.3</w:t>
      </w:r>
      <w:r>
        <w:rPr>
          <w:rFonts w:hint="eastAsia" w:ascii="宋体" w:hAnsi="宋体" w:eastAsia="宋体" w:cs="Times New Roman"/>
          <w:b/>
          <w:bCs/>
          <w:color w:val="000000"/>
          <w:sz w:val="24"/>
          <w:highlight w:val="none"/>
          <w:lang w:val="en-US" w:eastAsia="zh-CN"/>
        </w:rPr>
        <w:t>设备清单及推荐品牌</w:t>
      </w:r>
    </w:p>
    <w:tbl>
      <w:tblPr>
        <w:tblStyle w:val="3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3314"/>
        <w:gridCol w:w="5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双轴定值拧紧工具（2轴、阶梯）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阿特拉斯、马头、库柏、AMT或不低于同档次进口品牌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单轴定值拧紧工具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阿特拉斯、马头、库柏、AMT或不低于同档次进口品牌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扫描枪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yellow"/>
                <w:u w:val="none"/>
                <w:lang w:val="en-US" w:eastAsia="zh-CN" w:bidi="ar-SA"/>
              </w:rPr>
            </w:pPr>
            <w:r>
              <w:rPr>
                <w:rFonts w:hint="eastAsia" w:ascii="宋体" w:hAnsi="宋体" w:eastAsia="宋体" w:cs="宋体"/>
                <w:i w:val="0"/>
                <w:iCs w:val="0"/>
                <w:color w:val="000000"/>
                <w:kern w:val="0"/>
                <w:sz w:val="21"/>
                <w:szCs w:val="21"/>
                <w:highlight w:val="yellow"/>
                <w:u w:val="none"/>
                <w:lang w:val="en-US" w:eastAsia="zh-CN" w:bidi="ar"/>
              </w:rPr>
              <w:t>斑马、霍尼韦尔无线扫码枪或不低于同档次品牌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平衡器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ENDO或不低于同档次品牌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yellow"/>
                <w:u w:val="none"/>
                <w:lang w:val="en-US" w:eastAsia="zh-CN" w:bidi="ar-SA"/>
              </w:rPr>
            </w:pPr>
            <w:r>
              <w:rPr>
                <w:rFonts w:hint="eastAsia" w:ascii="宋体" w:hAnsi="宋体" w:eastAsia="宋体" w:cs="宋体"/>
                <w:i w:val="0"/>
                <w:iCs w:val="0"/>
                <w:color w:val="000000"/>
                <w:sz w:val="21"/>
                <w:szCs w:val="21"/>
                <w:highlight w:val="yellow"/>
                <w:u w:val="none"/>
                <w:lang w:val="en-US" w:eastAsia="zh-CN"/>
              </w:rPr>
              <w:t>套筒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yellow"/>
                <w:u w:val="none"/>
                <w:lang w:val="en-US" w:eastAsia="zh-CN" w:bidi="ar-SA"/>
              </w:rPr>
            </w:pPr>
            <w:r>
              <w:rPr>
                <w:rFonts w:hint="eastAsia" w:ascii="宋体" w:hAnsi="宋体" w:eastAsia="宋体" w:cs="宋体"/>
                <w:i w:val="0"/>
                <w:iCs w:val="0"/>
                <w:color w:val="000000"/>
                <w:sz w:val="21"/>
                <w:szCs w:val="21"/>
                <w:highlight w:val="yellow"/>
                <w:u w:val="none"/>
                <w:lang w:val="en-US" w:eastAsia="zh-CN"/>
              </w:rPr>
              <w:t>霹雳马、蓝带</w:t>
            </w:r>
            <w:r>
              <w:rPr>
                <w:rFonts w:hint="eastAsia" w:ascii="宋体" w:hAnsi="宋体" w:eastAsia="宋体" w:cs="宋体"/>
                <w:i w:val="0"/>
                <w:iCs w:val="0"/>
                <w:color w:val="000000"/>
                <w:kern w:val="0"/>
                <w:sz w:val="21"/>
                <w:szCs w:val="21"/>
                <w:highlight w:val="yellow"/>
                <w:u w:val="none"/>
                <w:lang w:val="en-US" w:eastAsia="zh-CN" w:bidi="ar"/>
              </w:rPr>
              <w:t>或不低于同档次品牌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yellow"/>
                <w:u w:val="none"/>
                <w:lang w:val="en-US" w:eastAsia="zh-CN" w:bidi="ar-SA"/>
              </w:rPr>
            </w:pPr>
            <w:r>
              <w:rPr>
                <w:rFonts w:hint="eastAsia" w:ascii="宋体" w:hAnsi="宋体" w:eastAsia="宋体" w:cs="宋体"/>
                <w:i w:val="0"/>
                <w:iCs w:val="0"/>
                <w:color w:val="000000"/>
                <w:sz w:val="21"/>
                <w:szCs w:val="21"/>
                <w:highlight w:val="yellow"/>
                <w:u w:val="none"/>
                <w:lang w:val="en-US" w:eastAsia="zh-CN"/>
              </w:rPr>
              <w:t>工装吊挂等设计及制造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yellow"/>
                <w:u w:val="none"/>
                <w:lang w:val="en-US" w:eastAsia="zh-CN" w:bidi="ar-SA"/>
              </w:rPr>
            </w:pPr>
            <w:r>
              <w:rPr>
                <w:rFonts w:hint="eastAsia" w:ascii="宋体" w:hAnsi="宋体" w:eastAsia="宋体" w:cs="宋体"/>
                <w:i w:val="0"/>
                <w:iCs w:val="0"/>
                <w:color w:val="000000"/>
                <w:sz w:val="21"/>
                <w:szCs w:val="21"/>
                <w:highlight w:val="yellow"/>
                <w:u w:val="none"/>
                <w:lang w:val="en-US" w:eastAsia="zh-CN"/>
              </w:rPr>
              <w:t>投标工具品牌方、上海永乾或同等水平及以上品牌设计</w:t>
            </w:r>
          </w:p>
        </w:tc>
      </w:tr>
    </w:tbl>
    <w:p>
      <w:pPr>
        <w:pStyle w:val="139"/>
        <w:adjustRightInd w:val="0"/>
        <w:snapToGrid w:val="0"/>
        <w:ind w:left="0" w:leftChars="0" w:firstLine="0" w:firstLineChars="0"/>
        <w:rPr>
          <w:rFonts w:hint="eastAsia" w:ascii="宋体" w:hAnsi="宋体" w:eastAsia="宋体" w:cs="Times New Roman"/>
          <w:b w:val="0"/>
          <w:bCs w:val="0"/>
          <w:color w:val="000000"/>
          <w:sz w:val="24"/>
          <w:highlight w:val="none"/>
          <w:lang w:val="en-US" w:eastAsia="zh-CN"/>
        </w:rPr>
      </w:pPr>
    </w:p>
    <w:p>
      <w:pPr>
        <w:pStyle w:val="139"/>
        <w:adjustRightInd w:val="0"/>
        <w:snapToGrid w:val="0"/>
        <w:rPr>
          <w:rFonts w:hint="eastAsia"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3.2.1.4项目其他要求</w:t>
      </w:r>
    </w:p>
    <w:p>
      <w:pPr>
        <w:pStyle w:val="139"/>
        <w:numPr>
          <w:ilvl w:val="0"/>
          <w:numId w:val="0"/>
        </w:numPr>
        <w:adjustRightInd w:val="0"/>
        <w:snapToGrid w:val="0"/>
        <w:ind w:firstLine="480" w:firstLineChars="200"/>
        <w:rPr>
          <w:rFonts w:hint="eastAsia" w:ascii="宋体" w:hAnsi="宋体" w:eastAsia="宋体" w:cs="宋体"/>
          <w:color w:val="000000"/>
          <w:highlight w:val="none"/>
        </w:rPr>
      </w:pPr>
      <w:r>
        <w:rPr>
          <w:rFonts w:hint="eastAsia" w:ascii="宋体" w:hAnsi="宋体" w:eastAsia="宋体" w:cs="宋体"/>
          <w:color w:val="000000"/>
          <w:sz w:val="24"/>
          <w:highlight w:val="none"/>
          <w:lang w:val="en-US" w:eastAsia="zh-CN"/>
        </w:rPr>
        <w:t>为配合后期重汽数据中心负责搭建 IOT 数据平台，收集拧紧数据，要求拧紧工具控制器支持采集数据、开放协议及接口，具备后续数据采集的条件，同时需提供设备数据标准、设备点位表。</w:t>
      </w:r>
    </w:p>
    <w:p>
      <w:pPr>
        <w:pStyle w:val="139"/>
        <w:numPr>
          <w:ilvl w:val="0"/>
          <w:numId w:val="0"/>
        </w:numPr>
        <w:adjustRightInd w:val="0"/>
        <w:snapToGrid w:val="0"/>
        <w:ind w:firstLine="480" w:firstLineChars="2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扫码枪：手持扫码枪安装在拧紧设备端，扫码枪扫描随车单，实现拧紧数据与车辆车架号绑定。</w:t>
      </w:r>
    </w:p>
    <w:p>
      <w:pPr>
        <w:pStyle w:val="139"/>
        <w:numPr>
          <w:ilvl w:val="0"/>
          <w:numId w:val="0"/>
        </w:numPr>
        <w:adjustRightInd w:val="0"/>
        <w:snapToGrid w:val="0"/>
        <w:ind w:firstLine="480" w:firstLineChars="2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项目中标方应允许招标方派专业人员去中标方单位学习相关的设备保养、运行、简单维修等相关知识。</w:t>
      </w:r>
    </w:p>
    <w:p>
      <w:pPr>
        <w:pStyle w:val="139"/>
        <w:adjustRightInd w:val="0"/>
        <w:snapToGrid w:val="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3.2</w:t>
      </w:r>
      <w:r>
        <w:rPr>
          <w:rFonts w:hint="eastAsia" w:ascii="宋体" w:hAnsi="宋体" w:eastAsia="宋体" w:cs="宋体"/>
          <w:b/>
          <w:bCs/>
          <w:color w:val="000000"/>
          <w:sz w:val="24"/>
          <w:highlight w:val="none"/>
        </w:rPr>
        <w:t>.</w:t>
      </w:r>
      <w:r>
        <w:rPr>
          <w:rFonts w:hint="eastAsia" w:ascii="宋体" w:hAnsi="宋体" w:eastAsia="宋体" w:cs="宋体"/>
          <w:b/>
          <w:bCs/>
          <w:color w:val="000000"/>
          <w:sz w:val="24"/>
          <w:highlight w:val="none"/>
          <w:lang w:val="en-US" w:eastAsia="zh-CN"/>
        </w:rPr>
        <w:t>2</w:t>
      </w:r>
      <w:r>
        <w:rPr>
          <w:rFonts w:hint="eastAsia" w:ascii="宋体" w:hAnsi="宋体" w:eastAsia="宋体" w:cs="宋体"/>
          <w:b/>
          <w:bCs/>
          <w:color w:val="000000"/>
          <w:sz w:val="24"/>
          <w:highlight w:val="none"/>
        </w:rPr>
        <w:t>用电规划</w:t>
      </w:r>
    </w:p>
    <w:p>
      <w:pPr>
        <w:spacing w:line="360" w:lineRule="auto"/>
        <w:ind w:firstLine="480" w:firstLineChars="200"/>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val="en-US" w:eastAsia="zh-CN"/>
        </w:rPr>
        <w:t>3.2.2.1</w:t>
      </w:r>
      <w:r>
        <w:rPr>
          <w:rFonts w:hint="eastAsia" w:ascii="宋体" w:hAnsi="宋体" w:eastAsia="宋体" w:cs="宋体"/>
          <w:color w:val="000000"/>
          <w:kern w:val="0"/>
          <w:sz w:val="24"/>
          <w:highlight w:val="none"/>
        </w:rPr>
        <w:t>遵循国家相关电气标准、法规及环保、能源等要求；工艺设备运行安全、稳定、可靠</w:t>
      </w:r>
      <w:r>
        <w:rPr>
          <w:rFonts w:hint="eastAsia" w:ascii="宋体" w:hAnsi="宋体" w:eastAsia="宋体" w:cs="宋体"/>
          <w:color w:val="000000"/>
          <w:kern w:val="0"/>
          <w:sz w:val="24"/>
          <w:highlight w:val="none"/>
          <w:lang w:eastAsia="zh-CN"/>
        </w:rPr>
        <w:t>。</w:t>
      </w:r>
    </w:p>
    <w:p>
      <w:pPr>
        <w:spacing w:line="360" w:lineRule="auto"/>
        <w:ind w:firstLine="480" w:firstLineChars="200"/>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val="en-US" w:eastAsia="zh-CN"/>
        </w:rPr>
        <w:t>3.2.2.2</w:t>
      </w:r>
      <w:r>
        <w:rPr>
          <w:rFonts w:hint="eastAsia" w:ascii="宋体" w:hAnsi="宋体" w:eastAsia="宋体" w:cs="宋体"/>
          <w:color w:val="000000"/>
          <w:kern w:val="0"/>
          <w:sz w:val="24"/>
          <w:highlight w:val="none"/>
        </w:rPr>
        <w:t>电气设计必须充分考虑电磁干扰等特殊环境的要求，保证控制系统软、硬件运行稳定</w:t>
      </w:r>
      <w:r>
        <w:rPr>
          <w:rFonts w:hint="eastAsia" w:ascii="宋体" w:hAnsi="宋体" w:eastAsia="宋体" w:cs="宋体"/>
          <w:color w:val="000000"/>
          <w:kern w:val="0"/>
          <w:sz w:val="24"/>
          <w:highlight w:val="none"/>
          <w:lang w:eastAsia="zh-CN"/>
        </w:rPr>
        <w:t>。</w:t>
      </w:r>
    </w:p>
    <w:p>
      <w:pPr>
        <w:spacing w:line="360" w:lineRule="auto"/>
        <w:ind w:firstLine="480" w:firstLineChars="200"/>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val="en-US" w:eastAsia="zh-CN"/>
        </w:rPr>
        <w:t>3.2.2.3</w:t>
      </w:r>
      <w:r>
        <w:rPr>
          <w:rFonts w:hint="eastAsia" w:ascii="宋体" w:hAnsi="宋体" w:eastAsia="宋体" w:cs="宋体"/>
          <w:color w:val="000000"/>
          <w:kern w:val="0"/>
          <w:sz w:val="24"/>
          <w:highlight w:val="none"/>
        </w:rPr>
        <w:t>设备线路的敷设不得使用明线或电缆，操作高度及结构形式要符合人机工程学的有关要求，设备具有必要的安全、防护装置</w:t>
      </w:r>
      <w:r>
        <w:rPr>
          <w:rFonts w:hint="eastAsia" w:ascii="宋体" w:hAnsi="宋体" w:eastAsia="宋体" w:cs="宋体"/>
          <w:color w:val="000000"/>
          <w:kern w:val="0"/>
          <w:sz w:val="24"/>
          <w:highlight w:val="none"/>
          <w:lang w:eastAsia="zh-CN"/>
        </w:rPr>
        <w:t>。</w:t>
      </w:r>
    </w:p>
    <w:p>
      <w:pPr>
        <w:spacing w:line="360" w:lineRule="auto"/>
        <w:ind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lang w:val="en-US" w:eastAsia="zh-CN"/>
        </w:rPr>
        <w:t>3.2.2.4</w:t>
      </w:r>
      <w:r>
        <w:rPr>
          <w:rFonts w:hint="eastAsia" w:ascii="宋体" w:hAnsi="宋体" w:eastAsia="宋体" w:cs="宋体"/>
          <w:color w:val="000000"/>
          <w:kern w:val="0"/>
          <w:sz w:val="24"/>
          <w:highlight w:val="none"/>
        </w:rPr>
        <w:t>电缆和电线须符合国家标准、设计及安全规范，导线颜色规范，电缆必须穿线槽，电线必须穿电线管、软管或线槽，强弱电源线须分离布置，同一线槽必须用隔板隔开。</w:t>
      </w:r>
    </w:p>
    <w:p>
      <w:pPr>
        <w:spacing w:line="360" w:lineRule="auto"/>
        <w:ind w:firstLine="480" w:firstLineChars="200"/>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3.2.2.5系统具有抗干扰措施，确保控制系统软、硬件运行稳定；双轴定值拧紧工具系统软件根据需要提供免费版本升级；设备操作体上设有操作把手及可靠的漏电保护装置。</w:t>
      </w:r>
    </w:p>
    <w:p>
      <w:pPr>
        <w:spacing w:line="360" w:lineRule="auto"/>
        <w:ind w:firstLine="480" w:firstLineChars="200"/>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3.2.2.6系统具有掉电、欠压、互锁等保护功能；电机具有断电、过电、过热及过载保护功能。</w:t>
      </w:r>
    </w:p>
    <w:p>
      <w:pPr>
        <w:spacing w:line="360" w:lineRule="auto"/>
        <w:ind w:firstLine="482" w:firstLineChars="200"/>
        <w:rPr>
          <w:rFonts w:hint="eastAsia" w:ascii="宋体" w:hAnsi="宋体" w:eastAsia="宋体" w:cs="宋体"/>
          <w:b/>
          <w:bCs/>
          <w:color w:val="000000"/>
          <w:kern w:val="0"/>
          <w:sz w:val="24"/>
          <w:highlight w:val="none"/>
        </w:rPr>
      </w:pPr>
      <w:r>
        <w:rPr>
          <w:rFonts w:hint="eastAsia" w:ascii="宋体" w:hAnsi="宋体" w:eastAsia="宋体" w:cs="宋体"/>
          <w:b/>
          <w:bCs/>
          <w:color w:val="000000"/>
          <w:kern w:val="0"/>
          <w:sz w:val="24"/>
          <w:highlight w:val="none"/>
          <w:lang w:val="en-US" w:eastAsia="zh-CN"/>
        </w:rPr>
        <w:t>3</w:t>
      </w:r>
      <w:r>
        <w:rPr>
          <w:rFonts w:hint="eastAsia" w:ascii="宋体" w:hAnsi="宋体" w:eastAsia="宋体" w:cs="宋体"/>
          <w:b/>
          <w:bCs/>
          <w:color w:val="000000"/>
          <w:kern w:val="0"/>
          <w:sz w:val="24"/>
          <w:highlight w:val="none"/>
        </w:rPr>
        <w:t>.3.</w:t>
      </w:r>
      <w:r>
        <w:rPr>
          <w:rFonts w:hint="eastAsia" w:ascii="宋体" w:hAnsi="宋体" w:eastAsia="宋体" w:cs="宋体"/>
          <w:b/>
          <w:bCs/>
          <w:color w:val="000000"/>
          <w:kern w:val="0"/>
          <w:sz w:val="24"/>
          <w:highlight w:val="none"/>
          <w:lang w:val="en-US" w:eastAsia="zh-CN"/>
        </w:rPr>
        <w:t>3</w:t>
      </w:r>
      <w:r>
        <w:rPr>
          <w:rFonts w:hint="eastAsia" w:ascii="宋体" w:hAnsi="宋体" w:eastAsia="宋体" w:cs="宋体"/>
          <w:b/>
          <w:bCs/>
          <w:color w:val="000000"/>
          <w:kern w:val="0"/>
          <w:sz w:val="24"/>
          <w:highlight w:val="none"/>
        </w:rPr>
        <w:t>其他要求</w:t>
      </w:r>
    </w:p>
    <w:bookmarkEnd w:id="38"/>
    <w:p>
      <w:pPr>
        <w:numPr>
          <w:ilvl w:val="0"/>
          <w:numId w:val="13"/>
        </w:numPr>
        <w:spacing w:line="360" w:lineRule="auto"/>
        <w:ind w:firstLine="480"/>
        <w:jc w:val="left"/>
        <w:rPr>
          <w:rFonts w:hint="eastAsia" w:ascii="宋体" w:hAnsi="宋体" w:eastAsia="宋体" w:cs="Times New Roman"/>
          <w:color w:val="000000"/>
          <w:kern w:val="0"/>
          <w:sz w:val="24"/>
          <w:szCs w:val="20"/>
          <w:highlight w:val="none"/>
          <w:lang w:val="en-US" w:eastAsia="zh-CN" w:bidi="ar-SA"/>
        </w:rPr>
      </w:pPr>
      <w:r>
        <w:rPr>
          <w:rFonts w:hint="eastAsia" w:ascii="宋体" w:hAnsi="宋体" w:eastAsia="宋体" w:cs="Times New Roman"/>
          <w:color w:val="000000"/>
          <w:kern w:val="0"/>
          <w:sz w:val="24"/>
          <w:szCs w:val="20"/>
          <w:highlight w:val="none"/>
          <w:lang w:val="en-US" w:eastAsia="zh-CN" w:bidi="ar-SA"/>
        </w:rPr>
        <w:t>没有招标方的书面同意，投标方不得直接或间接披露获得的任何保密信息。</w:t>
      </w:r>
    </w:p>
    <w:p>
      <w:pPr>
        <w:numPr>
          <w:ilvl w:val="0"/>
          <w:numId w:val="13"/>
        </w:numPr>
        <w:spacing w:line="360" w:lineRule="auto"/>
        <w:ind w:firstLine="496"/>
        <w:rPr>
          <w:rFonts w:hint="eastAsia" w:ascii="宋体" w:hAnsi="宋体" w:eastAsia="宋体" w:cs="Times New Roman"/>
          <w:color w:val="000000"/>
          <w:kern w:val="0"/>
          <w:sz w:val="24"/>
          <w:szCs w:val="20"/>
          <w:highlight w:val="none"/>
          <w:lang w:val="en-US" w:eastAsia="zh-CN" w:bidi="ar-SA"/>
        </w:rPr>
      </w:pPr>
      <w:r>
        <w:rPr>
          <w:rFonts w:hint="eastAsia" w:ascii="宋体" w:hAnsi="宋体" w:eastAsia="宋体" w:cs="Times New Roman"/>
          <w:color w:val="000000"/>
          <w:kern w:val="0"/>
          <w:sz w:val="24"/>
          <w:szCs w:val="20"/>
          <w:highlight w:val="none"/>
          <w:lang w:val="en-US" w:eastAsia="zh-CN" w:bidi="ar-SA"/>
        </w:rPr>
        <w:t xml:space="preserve">中文版投标书为有效投标书，所有外文翻译工作由投标方负责。 </w:t>
      </w:r>
    </w:p>
    <w:p>
      <w:pPr>
        <w:numPr>
          <w:ilvl w:val="0"/>
          <w:numId w:val="13"/>
        </w:numPr>
        <w:spacing w:line="360" w:lineRule="auto"/>
        <w:ind w:firstLine="480"/>
        <w:jc w:val="left"/>
        <w:rPr>
          <w:rFonts w:hint="eastAsia" w:ascii="宋体" w:hAnsi="宋体" w:eastAsia="宋体" w:cs="Times New Roman"/>
          <w:color w:val="000000"/>
          <w:kern w:val="0"/>
          <w:sz w:val="24"/>
          <w:szCs w:val="20"/>
          <w:highlight w:val="none"/>
          <w:lang w:val="en-US" w:eastAsia="zh-CN" w:bidi="ar-SA"/>
        </w:rPr>
      </w:pPr>
      <w:r>
        <w:rPr>
          <w:rFonts w:hint="eastAsia" w:ascii="宋体" w:hAnsi="宋体" w:eastAsia="宋体" w:cs="Times New Roman"/>
          <w:color w:val="000000"/>
          <w:kern w:val="0"/>
          <w:sz w:val="24"/>
          <w:szCs w:val="20"/>
          <w:highlight w:val="none"/>
          <w:lang w:val="en-US" w:eastAsia="zh-CN" w:bidi="ar-SA"/>
        </w:rPr>
        <w:t>投标方要在规定期限内完成设备调试使用，如超过期限，造成的直接或间接损失由投标方负责。</w:t>
      </w:r>
    </w:p>
    <w:p>
      <w:pPr>
        <w:numPr>
          <w:ilvl w:val="0"/>
          <w:numId w:val="13"/>
        </w:numPr>
        <w:spacing w:line="360" w:lineRule="auto"/>
        <w:ind w:firstLine="480"/>
        <w:jc w:val="left"/>
        <w:rPr>
          <w:rFonts w:hint="eastAsia" w:ascii="宋体" w:hAnsi="宋体" w:eastAsia="宋体" w:cs="Times New Roman"/>
          <w:color w:val="000000"/>
          <w:kern w:val="0"/>
          <w:sz w:val="24"/>
          <w:szCs w:val="20"/>
          <w:highlight w:val="none"/>
          <w:lang w:val="en-US" w:eastAsia="zh-CN" w:bidi="ar-SA"/>
        </w:rPr>
      </w:pPr>
      <w:r>
        <w:rPr>
          <w:rFonts w:hint="eastAsia" w:ascii="宋体" w:hAnsi="宋体" w:eastAsia="宋体" w:cs="Times New Roman"/>
          <w:color w:val="000000"/>
          <w:kern w:val="0"/>
          <w:sz w:val="24"/>
          <w:szCs w:val="20"/>
          <w:highlight w:val="none"/>
          <w:lang w:val="en-US" w:eastAsia="zh-CN" w:bidi="ar-SA"/>
        </w:rPr>
        <w:t>投标方在投标时需提供详细的水、电、气(压缩空气、天然气)的装机容量与运行能耗计算书；不包括人工、折旧及耗材。</w:t>
      </w:r>
    </w:p>
    <w:p>
      <w:pPr>
        <w:numPr>
          <w:ilvl w:val="0"/>
          <w:numId w:val="13"/>
        </w:numPr>
        <w:spacing w:line="360" w:lineRule="auto"/>
        <w:ind w:firstLine="480"/>
        <w:jc w:val="left"/>
        <w:rPr>
          <w:rFonts w:hint="eastAsia" w:ascii="宋体" w:hAnsi="宋体" w:eastAsia="宋体" w:cs="Times New Roman"/>
          <w:color w:val="000000"/>
          <w:kern w:val="0"/>
          <w:sz w:val="24"/>
          <w:szCs w:val="20"/>
          <w:highlight w:val="none"/>
          <w:lang w:val="en-US" w:eastAsia="zh-CN" w:bidi="ar-SA"/>
        </w:rPr>
      </w:pPr>
      <w:r>
        <w:rPr>
          <w:rFonts w:hint="eastAsia" w:ascii="宋体" w:hAnsi="宋体" w:eastAsia="宋体" w:cs="Times New Roman"/>
          <w:color w:val="000000"/>
          <w:kern w:val="0"/>
          <w:sz w:val="24"/>
          <w:szCs w:val="20"/>
          <w:highlight w:val="none"/>
          <w:lang w:val="en-US" w:eastAsia="zh-CN" w:bidi="ar-SA"/>
        </w:rPr>
        <w:t>备件供给：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人，以便招标人增加这些备品备件储备。投标方应提供有关备品备件的保管资料，如：存放期限、温度、湿度、是否需干燥剂等。</w:t>
      </w:r>
    </w:p>
    <w:p>
      <w:pPr>
        <w:numPr>
          <w:ilvl w:val="0"/>
          <w:numId w:val="13"/>
        </w:numPr>
        <w:spacing w:line="360" w:lineRule="auto"/>
        <w:ind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质保期内</w:t>
      </w:r>
      <w:r>
        <w:rPr>
          <w:rFonts w:hint="eastAsia" w:ascii="宋体" w:hAnsi="宋体" w:eastAsia="宋体" w:cs="宋体"/>
          <w:color w:val="000000"/>
          <w:kern w:val="0"/>
          <w:sz w:val="24"/>
          <w:highlight w:val="none"/>
          <w:lang w:eastAsia="zh-CN"/>
        </w:rPr>
        <w:t>，</w:t>
      </w:r>
      <w:r>
        <w:rPr>
          <w:rFonts w:hint="eastAsia" w:ascii="宋体" w:hAnsi="宋体" w:eastAsia="宋体" w:cs="Times New Roman"/>
          <w:color w:val="000000"/>
          <w:kern w:val="0"/>
          <w:sz w:val="24"/>
          <w:szCs w:val="20"/>
          <w:highlight w:val="none"/>
          <w:lang w:val="en-US" w:eastAsia="zh-CN" w:bidi="ar-SA"/>
        </w:rPr>
        <w:t>投标方</w:t>
      </w:r>
      <w:r>
        <w:rPr>
          <w:rFonts w:hint="eastAsia" w:ascii="宋体" w:hAnsi="宋体" w:eastAsia="宋体" w:cs="宋体"/>
          <w:color w:val="000000"/>
          <w:kern w:val="0"/>
          <w:sz w:val="24"/>
          <w:highlight w:val="none"/>
        </w:rPr>
        <w:t>免费维护工具，包括工具的周期性点检、维护、保养；并免费配备备品备件、易损件及专用耗材等</w:t>
      </w:r>
      <w:r>
        <w:rPr>
          <w:rFonts w:hint="eastAsia"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rPr>
        <w:t>质保期满，</w:t>
      </w:r>
      <w:r>
        <w:rPr>
          <w:rFonts w:hint="eastAsia" w:ascii="宋体" w:hAnsi="宋体" w:eastAsia="宋体" w:cs="Times New Roman"/>
          <w:color w:val="000000"/>
          <w:kern w:val="0"/>
          <w:sz w:val="24"/>
          <w:szCs w:val="20"/>
          <w:highlight w:val="none"/>
          <w:lang w:val="en-US" w:eastAsia="zh-CN" w:bidi="ar-SA"/>
        </w:rPr>
        <w:t>投标方</w:t>
      </w:r>
      <w:r>
        <w:rPr>
          <w:rFonts w:hint="eastAsia" w:ascii="宋体" w:hAnsi="宋体" w:eastAsia="宋体" w:cs="宋体"/>
          <w:color w:val="000000"/>
          <w:kern w:val="0"/>
          <w:sz w:val="24"/>
          <w:highlight w:val="none"/>
        </w:rPr>
        <w:t>提供保证</w:t>
      </w:r>
      <w:r>
        <w:rPr>
          <w:rFonts w:hint="eastAsia" w:ascii="宋体" w:hAnsi="宋体" w:eastAsia="宋体" w:cs="宋体"/>
          <w:color w:val="000000"/>
          <w:kern w:val="0"/>
          <w:sz w:val="24"/>
          <w:highlight w:val="none"/>
          <w:lang w:val="en-US" w:eastAsia="zh-CN"/>
        </w:rPr>
        <w:t>招标</w:t>
      </w:r>
      <w:r>
        <w:rPr>
          <w:rFonts w:hint="eastAsia" w:ascii="宋体" w:hAnsi="宋体" w:eastAsia="宋体" w:cs="宋体"/>
          <w:color w:val="000000"/>
          <w:kern w:val="0"/>
          <w:sz w:val="24"/>
          <w:highlight w:val="none"/>
        </w:rPr>
        <w:t>方设备正常运行一年所自备自用的备品备件、易损件和专用耗材</w:t>
      </w:r>
      <w:r>
        <w:rPr>
          <w:rFonts w:hint="eastAsia"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rPr>
        <w:t>并附详细清单（包括名称、型号、规格、单位、数量、生产厂家、单价、总价等条目）</w:t>
      </w:r>
      <w:r>
        <w:rPr>
          <w:rFonts w:hint="eastAsia" w:ascii="宋体" w:hAnsi="宋体" w:eastAsia="宋体" w:cs="宋体"/>
          <w:color w:val="000000"/>
          <w:kern w:val="0"/>
          <w:sz w:val="24"/>
          <w:highlight w:val="none"/>
          <w:lang w:val="en-US" w:eastAsia="zh-CN"/>
        </w:rPr>
        <w:t>.</w:t>
      </w:r>
    </w:p>
    <w:p>
      <w:pPr>
        <w:numPr>
          <w:ilvl w:val="0"/>
          <w:numId w:val="13"/>
        </w:numPr>
        <w:spacing w:line="360" w:lineRule="auto"/>
        <w:ind w:firstLine="480" w:firstLineChars="200"/>
        <w:rPr>
          <w:rFonts w:hint="eastAsia" w:ascii="宋体" w:hAnsi="宋体" w:eastAsia="宋体" w:cs="宋体"/>
          <w:color w:val="000000"/>
          <w:kern w:val="0"/>
          <w:sz w:val="24"/>
          <w:highlight w:val="none"/>
        </w:rPr>
      </w:pPr>
      <w:r>
        <w:rPr>
          <w:rFonts w:hint="eastAsia" w:ascii="宋体" w:hAnsi="宋体" w:eastAsia="宋体" w:cs="Times New Roman"/>
          <w:color w:val="000000"/>
          <w:kern w:val="0"/>
          <w:sz w:val="24"/>
          <w:szCs w:val="20"/>
          <w:highlight w:val="none"/>
          <w:lang w:val="en-US" w:eastAsia="zh-CN" w:bidi="ar-SA"/>
        </w:rPr>
        <w:t>投标方</w:t>
      </w:r>
      <w:r>
        <w:rPr>
          <w:rFonts w:hint="eastAsia" w:ascii="宋体" w:hAnsi="宋体" w:eastAsia="宋体" w:cs="宋体"/>
          <w:color w:val="000000"/>
          <w:kern w:val="0"/>
          <w:sz w:val="24"/>
          <w:highlight w:val="none"/>
        </w:rPr>
        <w:t>提供设备维修所必需的专用工具，并附详细清单（包括名称、型号、规格、单位、数量、生产厂家、单价、总价等条目）</w:t>
      </w:r>
      <w:r>
        <w:rPr>
          <w:rFonts w:hint="eastAsia" w:ascii="宋体" w:hAnsi="宋体" w:eastAsia="宋体" w:cs="宋体"/>
          <w:color w:val="000000"/>
          <w:kern w:val="0"/>
          <w:sz w:val="24"/>
          <w:highlight w:val="none"/>
          <w:lang w:eastAsia="zh-CN"/>
        </w:rPr>
        <w:t>。</w:t>
      </w:r>
    </w:p>
    <w:p>
      <w:pPr>
        <w:numPr>
          <w:ilvl w:val="0"/>
          <w:numId w:val="13"/>
        </w:numPr>
        <w:spacing w:line="360" w:lineRule="auto"/>
        <w:ind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招标文件所指备品备件、易损件和专用耗材，是招标</w:t>
      </w:r>
      <w:r>
        <w:rPr>
          <w:rFonts w:hint="eastAsia" w:ascii="宋体" w:hAnsi="宋体" w:eastAsia="宋体" w:cs="宋体"/>
          <w:color w:val="000000"/>
          <w:kern w:val="0"/>
          <w:sz w:val="24"/>
          <w:highlight w:val="none"/>
          <w:lang w:val="en-US" w:eastAsia="zh-CN"/>
        </w:rPr>
        <w:t>方</w:t>
      </w:r>
      <w:r>
        <w:rPr>
          <w:rFonts w:hint="eastAsia" w:ascii="宋体" w:hAnsi="宋体" w:eastAsia="宋体" w:cs="宋体"/>
          <w:color w:val="000000"/>
          <w:kern w:val="0"/>
          <w:sz w:val="24"/>
          <w:highlight w:val="none"/>
        </w:rPr>
        <w:t>为保证设备质保期之后正常运行一年所自备自用的备品备件、易损件和专用耗材；备品备件、易损件和专用耗材，其费用应分类单列，并计入投标总报价之内。</w:t>
      </w:r>
    </w:p>
    <w:p>
      <w:pPr>
        <w:numPr>
          <w:ilvl w:val="0"/>
          <w:numId w:val="13"/>
        </w:numPr>
        <w:spacing w:line="360" w:lineRule="auto"/>
        <w:ind w:firstLine="482" w:firstLineChars="200"/>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代理商参标时，需出具原厂售后服务承诺</w:t>
      </w:r>
      <w:r>
        <w:rPr>
          <w:rFonts w:hint="eastAsia" w:ascii="宋体" w:hAnsi="宋体" w:eastAsia="宋体" w:cs="宋体"/>
          <w:b/>
          <w:bCs/>
          <w:color w:val="000000"/>
          <w:kern w:val="0"/>
          <w:sz w:val="24"/>
          <w:highlight w:val="none"/>
          <w:lang w:eastAsia="zh-CN"/>
        </w:rPr>
        <w:t>。</w:t>
      </w:r>
    </w:p>
    <w:p>
      <w:pPr>
        <w:numPr>
          <w:ilvl w:val="0"/>
          <w:numId w:val="13"/>
        </w:numPr>
        <w:spacing w:line="360" w:lineRule="auto"/>
        <w:ind w:firstLine="480" w:firstLineChars="200"/>
        <w:rPr>
          <w:rFonts w:ascii="宋体" w:hAnsi="宋体"/>
          <w:color w:val="000000"/>
          <w:kern w:val="0"/>
          <w:sz w:val="24"/>
          <w:highlight w:val="none"/>
        </w:rPr>
      </w:pPr>
      <w:r>
        <w:rPr>
          <w:rFonts w:hint="eastAsia" w:ascii="宋体" w:hAnsi="宋体" w:eastAsia="宋体" w:cs="Times New Roman"/>
          <w:color w:val="000000"/>
          <w:kern w:val="0"/>
          <w:sz w:val="24"/>
          <w:szCs w:val="20"/>
          <w:highlight w:val="none"/>
          <w:lang w:val="en-US" w:eastAsia="zh-CN" w:bidi="ar-SA"/>
        </w:rPr>
        <w:t>未尽事宜，届时招投标双方协商解决</w:t>
      </w:r>
      <w:r>
        <w:rPr>
          <w:rFonts w:hint="eastAsia" w:ascii="宋体" w:hAnsi="宋体"/>
          <w:color w:val="000000"/>
          <w:spacing w:val="4"/>
          <w:sz w:val="24"/>
          <w:highlight w:val="none"/>
        </w:rPr>
        <w:t>。</w:t>
      </w:r>
    </w:p>
    <w:p>
      <w:pPr>
        <w:spacing w:line="360" w:lineRule="auto"/>
        <w:ind w:firstLine="482" w:firstLineChars="200"/>
        <w:rPr>
          <w:rFonts w:hint="eastAsia" w:ascii="宋体" w:hAnsi="宋体" w:eastAsia="宋体" w:cs="宋体"/>
          <w:b/>
          <w:color w:val="000000"/>
          <w:sz w:val="24"/>
          <w:highlight w:val="none"/>
        </w:rPr>
      </w:pPr>
      <w:bookmarkStart w:id="39" w:name="_Hlk68076496"/>
      <w:r>
        <w:rPr>
          <w:rFonts w:hint="eastAsia" w:ascii="宋体" w:hAnsi="宋体" w:eastAsia="宋体" w:cs="宋体"/>
          <w:b/>
          <w:color w:val="000000"/>
          <w:sz w:val="24"/>
          <w:highlight w:val="none"/>
          <w:lang w:val="en-US" w:eastAsia="zh-CN"/>
        </w:rPr>
        <w:t>4</w:t>
      </w:r>
      <w:r>
        <w:rPr>
          <w:rFonts w:hint="eastAsia" w:ascii="宋体" w:hAnsi="宋体" w:eastAsia="宋体" w:cs="宋体"/>
          <w:b/>
          <w:color w:val="000000"/>
          <w:sz w:val="24"/>
          <w:highlight w:val="none"/>
        </w:rPr>
        <w:t>.其他技术要求</w:t>
      </w:r>
    </w:p>
    <w:p>
      <w:pPr>
        <w:spacing w:line="360" w:lineRule="auto"/>
        <w:ind w:firstLine="482" w:firstLineChars="200"/>
        <w:rPr>
          <w:rFonts w:hint="eastAsia" w:ascii="宋体" w:hAnsi="宋体" w:eastAsia="宋体" w:cs="宋体"/>
          <w:b/>
          <w:bCs/>
          <w:color w:val="000000"/>
          <w:kern w:val="0"/>
          <w:sz w:val="24"/>
          <w:highlight w:val="none"/>
        </w:rPr>
      </w:pPr>
      <w:r>
        <w:rPr>
          <w:rFonts w:hint="eastAsia" w:ascii="宋体" w:hAnsi="宋体" w:eastAsia="宋体" w:cs="宋体"/>
          <w:b/>
          <w:bCs/>
          <w:color w:val="000000"/>
          <w:kern w:val="0"/>
          <w:sz w:val="24"/>
          <w:highlight w:val="none"/>
          <w:lang w:val="en-US" w:eastAsia="zh-CN"/>
        </w:rPr>
        <w:t>4</w:t>
      </w:r>
      <w:r>
        <w:rPr>
          <w:rFonts w:hint="eastAsia" w:ascii="宋体" w:hAnsi="宋体" w:eastAsia="宋体" w:cs="宋体"/>
          <w:b/>
          <w:bCs/>
          <w:color w:val="000000"/>
          <w:kern w:val="0"/>
          <w:sz w:val="24"/>
          <w:highlight w:val="none"/>
        </w:rPr>
        <w:t>.1电控系统要求：</w:t>
      </w:r>
    </w:p>
    <w:p>
      <w:pPr>
        <w:widowControl/>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无</w:t>
      </w:r>
    </w:p>
    <w:bookmarkEnd w:id="39"/>
    <w:p>
      <w:pPr>
        <w:spacing w:line="360" w:lineRule="auto"/>
        <w:ind w:firstLine="482" w:firstLineChars="200"/>
        <w:rPr>
          <w:rFonts w:hint="eastAsia" w:ascii="宋体" w:hAnsi="宋体" w:eastAsia="宋体" w:cs="宋体"/>
          <w:b/>
          <w:bCs/>
          <w:color w:val="000000"/>
          <w:kern w:val="0"/>
          <w:sz w:val="24"/>
          <w:highlight w:val="none"/>
        </w:rPr>
      </w:pPr>
      <w:r>
        <w:rPr>
          <w:rFonts w:hint="eastAsia" w:ascii="宋体" w:hAnsi="宋体" w:eastAsia="宋体" w:cs="宋体"/>
          <w:b/>
          <w:bCs/>
          <w:color w:val="000000"/>
          <w:kern w:val="0"/>
          <w:sz w:val="24"/>
          <w:highlight w:val="none"/>
          <w:lang w:val="en-US" w:eastAsia="zh-CN"/>
        </w:rPr>
        <w:t>4</w:t>
      </w:r>
      <w:r>
        <w:rPr>
          <w:rFonts w:hint="eastAsia" w:ascii="宋体" w:hAnsi="宋体" w:eastAsia="宋体" w:cs="宋体"/>
          <w:b/>
          <w:bCs/>
          <w:color w:val="000000"/>
          <w:kern w:val="0"/>
          <w:sz w:val="24"/>
          <w:highlight w:val="none"/>
        </w:rPr>
        <w:t>.2、执行标准：</w:t>
      </w:r>
    </w:p>
    <w:tbl>
      <w:tblPr>
        <w:tblStyle w:val="38"/>
        <w:tblW w:w="9870" w:type="dxa"/>
        <w:jc w:val="center"/>
        <w:tblLayout w:type="autofit"/>
        <w:tblCellMar>
          <w:top w:w="0" w:type="dxa"/>
          <w:left w:w="108" w:type="dxa"/>
          <w:bottom w:w="0" w:type="dxa"/>
          <w:right w:w="108" w:type="dxa"/>
        </w:tblCellMar>
      </w:tblPr>
      <w:tblGrid>
        <w:gridCol w:w="671"/>
        <w:gridCol w:w="6173"/>
        <w:gridCol w:w="2065"/>
        <w:gridCol w:w="961"/>
      </w:tblGrid>
      <w:tr>
        <w:tblPrEx>
          <w:tblCellMar>
            <w:top w:w="0" w:type="dxa"/>
            <w:left w:w="108" w:type="dxa"/>
            <w:bottom w:w="0" w:type="dxa"/>
            <w:right w:w="108" w:type="dxa"/>
          </w:tblCellMar>
        </w:tblPrEx>
        <w:trPr>
          <w:trHeight w:val="211" w:hRule="atLeast"/>
          <w:jc w:val="center"/>
        </w:trPr>
        <w:tc>
          <w:tcPr>
            <w:tcW w:w="6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6173"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标准名称</w:t>
            </w:r>
          </w:p>
        </w:tc>
        <w:tc>
          <w:tcPr>
            <w:tcW w:w="2065"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标准编号</w:t>
            </w:r>
          </w:p>
        </w:tc>
        <w:tc>
          <w:tcPr>
            <w:tcW w:w="961"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备注</w:t>
            </w:r>
          </w:p>
        </w:tc>
      </w:tr>
      <w:tr>
        <w:tblPrEx>
          <w:tblCellMar>
            <w:top w:w="0" w:type="dxa"/>
            <w:left w:w="108" w:type="dxa"/>
            <w:bottom w:w="0" w:type="dxa"/>
            <w:right w:w="108" w:type="dxa"/>
          </w:tblCellMar>
        </w:tblPrEx>
        <w:trPr>
          <w:trHeight w:val="399"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机械安全防护装置固定式和活动式防护装置设计与制造一般要求</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GB/T 8196-2003</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工业企业生产过程中噪声控制规范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GBJ87-85</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工业企业设计卫生标准</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TJ36-79</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机械设备防护罩要求</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GB8196-87</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5</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有限空间作业安全技术要求</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GB12942-2006</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施工现场临时用电安全技术规范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JGJ46-88</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机械工业职工安全卫生设计规定</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JBJ18-88</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机械工业环境保护设计规定</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JBJ16-88</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9</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电气装置安装工程施工及验收规范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GB147-149-90</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10</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电气装置安装工程电缆线路施工及验收规范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GB50168-92</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11</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电气装置安装工程接地装置施工及验收规范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GB50169-92</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12</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电气装置安装工程旋转电机施工及验收规范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GB50170-92</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399"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13</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电气装置安装工程盘柜及二次回路接地施工及验收规范</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GB50171-92</w:t>
            </w:r>
          </w:p>
        </w:tc>
        <w:tc>
          <w:tcPr>
            <w:tcW w:w="961"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w:t>
            </w:r>
          </w:p>
        </w:tc>
      </w:tr>
      <w:tr>
        <w:tblPrEx>
          <w:tblCellMar>
            <w:top w:w="0" w:type="dxa"/>
            <w:left w:w="108" w:type="dxa"/>
            <w:bottom w:w="0" w:type="dxa"/>
            <w:right w:w="108" w:type="dxa"/>
          </w:tblCellMar>
        </w:tblPrEx>
        <w:trPr>
          <w:trHeight w:val="399"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14</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信息安全技术 工业控制系统产品信息安全通用评估准则</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GB/T 37962-2019</w:t>
            </w:r>
          </w:p>
        </w:tc>
        <w:tc>
          <w:tcPr>
            <w:tcW w:w="961" w:type="dxa"/>
            <w:tcBorders>
              <w:top w:val="nil"/>
              <w:left w:val="nil"/>
              <w:bottom w:val="single" w:color="auto" w:sz="4" w:space="0"/>
              <w:right w:val="single" w:color="auto" w:sz="4" w:space="0"/>
            </w:tcBorders>
            <w:noWrap/>
            <w:vAlign w:val="center"/>
          </w:tcPr>
          <w:p>
            <w:pPr>
              <w:widowControl/>
              <w:spacing w:line="240" w:lineRule="auto"/>
              <w:ind w:firstLine="0" w:firstLineChars="0"/>
              <w:jc w:val="left"/>
              <w:rPr>
                <w:rFonts w:hint="eastAsia" w:ascii="宋体" w:hAnsi="宋体" w:eastAsia="宋体" w:cs="宋体"/>
                <w:color w:val="000000"/>
                <w:kern w:val="0"/>
                <w:sz w:val="22"/>
                <w:highlight w:val="none"/>
              </w:rPr>
            </w:pPr>
            <w:r>
              <w:rPr>
                <w:rFonts w:hint="eastAsia" w:ascii="宋体" w:hAnsi="宋体" w:eastAsia="宋体" w:cs="宋体"/>
                <w:color w:val="000000"/>
                <w:kern w:val="0"/>
                <w:sz w:val="22"/>
                <w:highlight w:val="none"/>
              </w:rPr>
              <w:t>　</w:t>
            </w:r>
          </w:p>
        </w:tc>
      </w:tr>
      <w:tr>
        <w:tblPrEx>
          <w:tblCellMar>
            <w:top w:w="0" w:type="dxa"/>
            <w:left w:w="108" w:type="dxa"/>
            <w:bottom w:w="0" w:type="dxa"/>
            <w:right w:w="108" w:type="dxa"/>
          </w:tblCellMar>
        </w:tblPrEx>
        <w:trPr>
          <w:trHeight w:val="399"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15</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工业过程测量和控制系统用电动和气动模拟计算器性能评定方法</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GB/T 28470-2012</w:t>
            </w:r>
          </w:p>
        </w:tc>
        <w:tc>
          <w:tcPr>
            <w:tcW w:w="961" w:type="dxa"/>
            <w:tcBorders>
              <w:top w:val="nil"/>
              <w:left w:val="nil"/>
              <w:bottom w:val="single" w:color="auto" w:sz="4" w:space="0"/>
              <w:right w:val="single" w:color="auto" w:sz="4" w:space="0"/>
            </w:tcBorders>
            <w:noWrap/>
            <w:vAlign w:val="center"/>
          </w:tcPr>
          <w:p>
            <w:pPr>
              <w:widowControl/>
              <w:spacing w:line="240" w:lineRule="auto"/>
              <w:ind w:firstLine="0" w:firstLineChars="0"/>
              <w:jc w:val="left"/>
              <w:rPr>
                <w:rFonts w:hint="eastAsia" w:ascii="宋体" w:hAnsi="宋体" w:eastAsia="宋体" w:cs="宋体"/>
                <w:color w:val="000000"/>
                <w:kern w:val="0"/>
                <w:sz w:val="22"/>
                <w:highlight w:val="none"/>
              </w:rPr>
            </w:pPr>
            <w:r>
              <w:rPr>
                <w:rFonts w:hint="eastAsia" w:ascii="宋体" w:hAnsi="宋体" w:eastAsia="宋体" w:cs="宋体"/>
                <w:color w:val="000000"/>
                <w:kern w:val="0"/>
                <w:sz w:val="22"/>
                <w:highlight w:val="none"/>
              </w:rPr>
              <w:t>　</w:t>
            </w:r>
          </w:p>
        </w:tc>
      </w:tr>
      <w:tr>
        <w:tblPrEx>
          <w:tblCellMar>
            <w:top w:w="0" w:type="dxa"/>
            <w:left w:w="108" w:type="dxa"/>
            <w:bottom w:w="0" w:type="dxa"/>
            <w:right w:w="108" w:type="dxa"/>
          </w:tblCellMar>
        </w:tblPrEx>
        <w:trPr>
          <w:trHeight w:val="422"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16</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现场设备工具（FDT）接口规范 第62部分：现场设备工具（FDT）样式指南</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GB/T 29618.62-2017</w:t>
            </w:r>
          </w:p>
        </w:tc>
        <w:tc>
          <w:tcPr>
            <w:tcW w:w="961" w:type="dxa"/>
            <w:tcBorders>
              <w:top w:val="nil"/>
              <w:left w:val="nil"/>
              <w:bottom w:val="single" w:color="auto" w:sz="4" w:space="0"/>
              <w:right w:val="single" w:color="auto" w:sz="4" w:space="0"/>
            </w:tcBorders>
            <w:noWrap/>
            <w:vAlign w:val="center"/>
          </w:tcPr>
          <w:p>
            <w:pPr>
              <w:widowControl/>
              <w:spacing w:line="240" w:lineRule="auto"/>
              <w:ind w:firstLine="0" w:firstLineChars="0"/>
              <w:jc w:val="left"/>
              <w:rPr>
                <w:rFonts w:hint="eastAsia" w:ascii="宋体" w:hAnsi="宋体" w:eastAsia="宋体" w:cs="宋体"/>
                <w:color w:val="000000"/>
                <w:kern w:val="0"/>
                <w:sz w:val="22"/>
                <w:highlight w:val="none"/>
              </w:rPr>
            </w:pPr>
            <w:r>
              <w:rPr>
                <w:rFonts w:hint="eastAsia" w:ascii="宋体" w:hAnsi="宋体" w:eastAsia="宋体" w:cs="宋体"/>
                <w:color w:val="000000"/>
                <w:kern w:val="0"/>
                <w:sz w:val="22"/>
                <w:highlight w:val="none"/>
              </w:rPr>
              <w:t>　</w:t>
            </w:r>
          </w:p>
        </w:tc>
      </w:tr>
      <w:tr>
        <w:tblPrEx>
          <w:tblCellMar>
            <w:top w:w="0" w:type="dxa"/>
            <w:left w:w="108" w:type="dxa"/>
            <w:bottom w:w="0" w:type="dxa"/>
            <w:right w:w="108" w:type="dxa"/>
          </w:tblCellMar>
        </w:tblPrEx>
        <w:trPr>
          <w:trHeight w:val="211" w:hRule="atLeast"/>
          <w:jc w:val="center"/>
        </w:trPr>
        <w:tc>
          <w:tcPr>
            <w:tcW w:w="67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17</w:t>
            </w:r>
          </w:p>
        </w:tc>
        <w:tc>
          <w:tcPr>
            <w:tcW w:w="617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气动系统通用技术条件</w:t>
            </w:r>
          </w:p>
        </w:tc>
        <w:tc>
          <w:tcPr>
            <w:tcW w:w="20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GB/T7932-1987 </w:t>
            </w:r>
          </w:p>
        </w:tc>
        <w:tc>
          <w:tcPr>
            <w:tcW w:w="961" w:type="dxa"/>
            <w:tcBorders>
              <w:top w:val="nil"/>
              <w:left w:val="nil"/>
              <w:bottom w:val="single" w:color="auto" w:sz="4" w:space="0"/>
              <w:right w:val="single" w:color="auto" w:sz="4" w:space="0"/>
            </w:tcBorders>
            <w:noWrap/>
            <w:vAlign w:val="center"/>
          </w:tcPr>
          <w:p>
            <w:pPr>
              <w:widowControl/>
              <w:spacing w:line="240" w:lineRule="auto"/>
              <w:ind w:firstLine="0" w:firstLineChars="0"/>
              <w:jc w:val="left"/>
              <w:rPr>
                <w:rFonts w:hint="eastAsia" w:ascii="宋体" w:hAnsi="宋体" w:eastAsia="宋体" w:cs="宋体"/>
                <w:color w:val="000000"/>
                <w:kern w:val="0"/>
                <w:sz w:val="22"/>
                <w:highlight w:val="none"/>
              </w:rPr>
            </w:pPr>
            <w:r>
              <w:rPr>
                <w:rFonts w:hint="eastAsia" w:ascii="宋体" w:hAnsi="宋体" w:eastAsia="宋体" w:cs="宋体"/>
                <w:color w:val="000000"/>
                <w:kern w:val="0"/>
                <w:sz w:val="22"/>
                <w:highlight w:val="none"/>
              </w:rPr>
              <w:t>　</w:t>
            </w:r>
          </w:p>
        </w:tc>
      </w:tr>
    </w:tbl>
    <w:p>
      <w:pPr>
        <w:spacing w:line="360" w:lineRule="auto"/>
        <w:ind w:firstLine="540"/>
        <w:rPr>
          <w:rFonts w:hint="eastAsia" w:ascii="宋体" w:hAnsi="宋体"/>
          <w:b/>
          <w:bCs/>
          <w:color w:val="000000"/>
          <w:sz w:val="24"/>
          <w:highlight w:val="none"/>
        </w:rPr>
      </w:pPr>
    </w:p>
    <w:p>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textWrapping"/>
      </w:r>
    </w:p>
    <w:p>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tbl>
      <w:tblPr>
        <w:tblStyle w:val="38"/>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074"/>
        <w:gridCol w:w="814"/>
        <w:gridCol w:w="700"/>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074"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814"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700"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3610"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1" w:type="dxa"/>
            <w:vAlign w:val="center"/>
          </w:tcPr>
          <w:p>
            <w:pPr>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p>
        </w:tc>
        <w:tc>
          <w:tcPr>
            <w:tcW w:w="3074" w:type="dxa"/>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单轴定值拧紧工具</w:t>
            </w:r>
          </w:p>
        </w:tc>
        <w:tc>
          <w:tcPr>
            <w:tcW w:w="814" w:type="dxa"/>
            <w:vAlign w:val="center"/>
          </w:tcPr>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sz w:val="24"/>
                <w:szCs w:val="24"/>
              </w:rPr>
              <w:t>套</w:t>
            </w:r>
          </w:p>
        </w:tc>
        <w:tc>
          <w:tcPr>
            <w:tcW w:w="700" w:type="dxa"/>
            <w:vAlign w:val="center"/>
          </w:tcPr>
          <w:p>
            <w:pPr>
              <w:pStyle w:val="127"/>
              <w:spacing w:beforeLines="0" w:afterLines="0" w:line="360" w:lineRule="auto"/>
              <w:jc w:val="center"/>
              <w:rPr>
                <w:rFonts w:hint="eastAsia" w:ascii="宋体" w:hAnsi="宋体" w:eastAsia="宋体" w:cs="宋体"/>
                <w:b/>
                <w:bCs/>
                <w:sz w:val="24"/>
                <w:szCs w:val="24"/>
                <w:lang w:val="en-US" w:eastAsia="zh-CN"/>
              </w:rPr>
            </w:pPr>
            <w:r>
              <w:rPr>
                <w:rFonts w:hint="eastAsia" w:ascii="宋体" w:hAnsi="宋体" w:eastAsia="宋体" w:cs="宋体"/>
                <w:sz w:val="24"/>
                <w:lang w:val="en-US" w:eastAsia="zh-CN"/>
              </w:rPr>
              <w:t>2</w:t>
            </w:r>
          </w:p>
        </w:tc>
        <w:tc>
          <w:tcPr>
            <w:tcW w:w="361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含工装、悬挂系统、控制器、扫码枪、KBK横轨、网络铺设等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074" w:type="dxa"/>
            <w:vAlign w:val="center"/>
          </w:tcPr>
          <w:p>
            <w:pPr>
              <w:widowControl/>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双轴定值拧紧工具（变距）</w:t>
            </w:r>
          </w:p>
        </w:tc>
        <w:tc>
          <w:tcPr>
            <w:tcW w:w="814"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700" w:type="dxa"/>
            <w:vAlign w:val="center"/>
          </w:tcPr>
          <w:p>
            <w:pPr>
              <w:pStyle w:val="127"/>
              <w:spacing w:beforeLines="0" w:afterLines="0" w:line="360" w:lineRule="auto"/>
              <w:jc w:val="center"/>
              <w:rPr>
                <w:rFonts w:hint="eastAsia" w:ascii="宋体" w:hAnsi="宋体" w:eastAsia="宋体" w:cs="宋体"/>
                <w:sz w:val="24"/>
                <w:szCs w:val="24"/>
                <w:lang w:val="en-US" w:eastAsia="zh-CN"/>
              </w:rPr>
            </w:pPr>
            <w:r>
              <w:rPr>
                <w:rFonts w:hint="eastAsia" w:ascii="宋体" w:hAnsi="宋体" w:eastAsia="宋体" w:cs="宋体"/>
                <w:sz w:val="24"/>
              </w:rPr>
              <w:t>1</w:t>
            </w:r>
          </w:p>
        </w:tc>
        <w:tc>
          <w:tcPr>
            <w:tcW w:w="361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含工装、悬挂系统、控制器、扫码枪、井字形轨道、网络铺设等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074" w:type="dxa"/>
            <w:vAlign w:val="center"/>
          </w:tcPr>
          <w:p>
            <w:pPr>
              <w:pStyle w:val="127"/>
              <w:spacing w:beforeLines="0" w:afterLines="0" w:line="24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安装调试及验收</w:t>
            </w:r>
          </w:p>
        </w:tc>
        <w:tc>
          <w:tcPr>
            <w:tcW w:w="814" w:type="dxa"/>
            <w:vAlign w:val="center"/>
          </w:tcPr>
          <w:p>
            <w:pPr>
              <w:spacing w:line="360" w:lineRule="auto"/>
              <w:jc w:val="center"/>
              <w:rPr>
                <w:rFonts w:hint="eastAsia" w:ascii="宋体" w:hAnsi="宋体" w:eastAsia="宋体" w:cs="宋体"/>
                <w:sz w:val="24"/>
                <w:szCs w:val="24"/>
                <w:lang w:val="en-US" w:eastAsia="zh-CN"/>
              </w:rPr>
            </w:pPr>
          </w:p>
        </w:tc>
        <w:tc>
          <w:tcPr>
            <w:tcW w:w="700" w:type="dxa"/>
            <w:vAlign w:val="center"/>
          </w:tcPr>
          <w:p>
            <w:pPr>
              <w:pStyle w:val="127"/>
              <w:spacing w:beforeLines="0" w:afterLines="0" w:line="360" w:lineRule="auto"/>
              <w:jc w:val="center"/>
              <w:rPr>
                <w:rFonts w:hint="eastAsia" w:ascii="宋体" w:hAnsi="宋体" w:eastAsia="宋体" w:cs="宋体"/>
                <w:sz w:val="24"/>
                <w:szCs w:val="24"/>
                <w:lang w:val="en-US" w:eastAsia="zh-CN"/>
              </w:rPr>
            </w:pPr>
          </w:p>
        </w:tc>
        <w:tc>
          <w:tcPr>
            <w:tcW w:w="3610" w:type="dxa"/>
            <w:vAlign w:val="center"/>
          </w:tcPr>
          <w:p>
            <w:pPr>
              <w:spacing w:line="240" w:lineRule="auto"/>
              <w:jc w:val="center"/>
              <w:textAlignment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074" w:type="dxa"/>
            <w:vAlign w:val="center"/>
          </w:tcPr>
          <w:p>
            <w:pPr>
              <w:pStyle w:val="127"/>
              <w:spacing w:beforeLines="0" w:afterLines="0" w:line="24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w:t>
            </w:r>
          </w:p>
        </w:tc>
        <w:tc>
          <w:tcPr>
            <w:tcW w:w="814" w:type="dxa"/>
            <w:vAlign w:val="center"/>
          </w:tcPr>
          <w:p>
            <w:pPr>
              <w:spacing w:line="360" w:lineRule="auto"/>
              <w:jc w:val="center"/>
              <w:rPr>
                <w:rFonts w:hint="eastAsia" w:ascii="宋体" w:hAnsi="宋体" w:eastAsia="宋体" w:cs="宋体"/>
                <w:sz w:val="24"/>
                <w:szCs w:val="24"/>
                <w:lang w:val="en-US" w:eastAsia="zh-CN"/>
              </w:rPr>
            </w:pPr>
          </w:p>
        </w:tc>
        <w:tc>
          <w:tcPr>
            <w:tcW w:w="700" w:type="dxa"/>
            <w:vAlign w:val="center"/>
          </w:tcPr>
          <w:p>
            <w:pPr>
              <w:pStyle w:val="127"/>
              <w:spacing w:beforeLines="0" w:afterLines="0" w:line="360" w:lineRule="auto"/>
              <w:jc w:val="center"/>
              <w:rPr>
                <w:rFonts w:hint="eastAsia" w:ascii="宋体" w:hAnsi="宋体" w:eastAsia="宋体" w:cs="宋体"/>
                <w:sz w:val="24"/>
                <w:szCs w:val="24"/>
                <w:lang w:val="en-US" w:eastAsia="zh-CN"/>
              </w:rPr>
            </w:pPr>
          </w:p>
        </w:tc>
        <w:tc>
          <w:tcPr>
            <w:tcW w:w="3610" w:type="dxa"/>
            <w:vAlign w:val="center"/>
          </w:tcPr>
          <w:p>
            <w:pPr>
              <w:spacing w:line="240" w:lineRule="auto"/>
              <w:jc w:val="center"/>
              <w:textAlignment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074" w:type="dxa"/>
            <w:vAlign w:val="center"/>
          </w:tcPr>
          <w:p>
            <w:pPr>
              <w:pStyle w:val="127"/>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纸质版</w:t>
            </w:r>
            <w:r>
              <w:rPr>
                <w:rFonts w:hint="eastAsia" w:ascii="宋体" w:hAnsi="宋体" w:eastAsia="宋体" w:cs="宋体"/>
                <w:sz w:val="24"/>
              </w:rPr>
              <w:t>设备资料</w:t>
            </w:r>
            <w:r>
              <w:rPr>
                <w:rFonts w:hint="eastAsia" w:ascii="宋体" w:hAnsi="宋体" w:eastAsia="宋体" w:cs="宋体"/>
                <w:sz w:val="24"/>
                <w:lang w:val="en-US" w:eastAsia="zh-CN"/>
              </w:rPr>
              <w:t>（</w:t>
            </w:r>
            <w:r>
              <w:rPr>
                <w:rFonts w:hint="eastAsia" w:ascii="宋体" w:hAnsi="宋体" w:eastAsia="宋体" w:cs="宋体"/>
                <w:sz w:val="24"/>
              </w:rPr>
              <w:t>电子版WORD或PDF版</w:t>
            </w:r>
            <w:r>
              <w:rPr>
                <w:rFonts w:hint="eastAsia" w:ascii="宋体" w:hAnsi="宋体" w:eastAsia="宋体" w:cs="宋体"/>
                <w:sz w:val="24"/>
                <w:lang w:val="en-US" w:eastAsia="zh-CN"/>
              </w:rPr>
              <w:t>一套）</w:t>
            </w:r>
          </w:p>
        </w:tc>
        <w:tc>
          <w:tcPr>
            <w:tcW w:w="814" w:type="dxa"/>
            <w:vAlign w:val="center"/>
          </w:tcPr>
          <w:p>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套</w:t>
            </w:r>
          </w:p>
        </w:tc>
        <w:tc>
          <w:tcPr>
            <w:tcW w:w="700" w:type="dxa"/>
            <w:vAlign w:val="center"/>
          </w:tcPr>
          <w:p>
            <w:pPr>
              <w:pStyle w:val="127"/>
              <w:spacing w:beforeLines="0" w:afterLines="0" w:line="36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sz w:val="24"/>
                <w:lang w:val="en-US" w:eastAsia="zh-CN"/>
              </w:rPr>
              <w:t>1</w:t>
            </w:r>
          </w:p>
        </w:tc>
        <w:tc>
          <w:tcPr>
            <w:tcW w:w="3610"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rPr>
              <w:t>中文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w:t>
            </w:r>
            <w:r>
              <w:rPr>
                <w:rFonts w:hint="eastAsia" w:ascii="宋体" w:hAnsi="宋体" w:eastAsia="宋体" w:cs="宋体"/>
                <w:sz w:val="24"/>
              </w:rPr>
              <w:t>设备使用说明书</w:t>
            </w:r>
            <w:r>
              <w:rPr>
                <w:rFonts w:hint="eastAsia" w:ascii="宋体" w:hAnsi="宋体" w:eastAsia="宋体" w:cs="宋体"/>
                <w:sz w:val="24"/>
                <w:lang w:eastAsia="zh-CN"/>
              </w:rPr>
              <w:t>、</w:t>
            </w:r>
            <w:r>
              <w:rPr>
                <w:rFonts w:hint="eastAsia" w:ascii="宋体" w:hAnsi="宋体" w:eastAsia="宋体" w:cs="宋体"/>
                <w:sz w:val="24"/>
              </w:rPr>
              <w:t>系统软硬件清单</w:t>
            </w:r>
            <w:r>
              <w:rPr>
                <w:rFonts w:hint="eastAsia" w:ascii="宋体" w:hAnsi="宋体" w:eastAsia="宋体" w:cs="宋体"/>
                <w:sz w:val="24"/>
                <w:lang w:eastAsia="zh-CN"/>
              </w:rPr>
              <w:t>、</w:t>
            </w:r>
            <w:r>
              <w:rPr>
                <w:rFonts w:hint="eastAsia" w:ascii="宋体" w:hAnsi="宋体" w:eastAsia="宋体" w:cs="宋体"/>
                <w:sz w:val="24"/>
              </w:rPr>
              <w:t>技术培训资料</w:t>
            </w:r>
            <w:r>
              <w:rPr>
                <w:rFonts w:hint="eastAsia" w:ascii="宋体" w:hAnsi="宋体" w:eastAsia="宋体" w:cs="宋体"/>
                <w:sz w:val="24"/>
                <w:lang w:eastAsia="zh-CN"/>
              </w:rPr>
              <w:t>、</w:t>
            </w:r>
            <w:r>
              <w:rPr>
                <w:rFonts w:hint="eastAsia" w:ascii="宋体" w:hAnsi="宋体" w:eastAsia="宋体" w:cs="宋体"/>
                <w:sz w:val="24"/>
              </w:rPr>
              <w:t>测试报告</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符合本技术标书中“采购货物概况”和“使用环境”章节所列明品质的电力、自来水、压缩空气管线至系统接口，如：系统电力接口的接线端，水、气、汽等外围管线端联接法兰外端面</w:t>
      </w:r>
      <w:r>
        <w:rPr>
          <w:rFonts w:hint="default" w:ascii="宋体" w:hAnsi="宋体" w:eastAsia="宋体" w:cs="宋体"/>
          <w:sz w:val="24"/>
          <w:szCs w:val="24"/>
        </w:rPr>
        <w:t>（不含联接所需螺栓等紧固件和其它必需配件）</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default" w:ascii="Calibri" w:hAnsi="Calibri" w:eastAsia="华文细黑" w:cs="Calibri"/>
          <w:color w:val="auto"/>
          <w:sz w:val="24"/>
          <w:szCs w:val="24"/>
          <w:highlight w:val="none"/>
        </w:rPr>
        <w:t>★</w:t>
      </w:r>
      <w:r>
        <w:rPr>
          <w:rFonts w:hint="eastAsia" w:ascii="宋体" w:hAnsi="宋体" w:eastAsia="宋体" w:cs="宋体"/>
          <w:sz w:val="24"/>
          <w:szCs w:val="24"/>
          <w:lang w:val="en-US" w:eastAsia="zh-CN"/>
        </w:rPr>
        <w:t>3</w:t>
      </w:r>
      <w:r>
        <w:rPr>
          <w:rFonts w:hint="eastAsia" w:ascii="宋体" w:hAnsi="宋体" w:eastAsia="宋体" w:cs="宋体"/>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4.</w:t>
      </w:r>
      <w:r>
        <w:rPr>
          <w:rFonts w:hint="eastAsia" w:ascii="宋体" w:hAnsi="宋体" w:eastAsia="宋体" w:cs="宋体"/>
          <w:sz w:val="24"/>
          <w:szCs w:val="24"/>
          <w:lang w:eastAsia="zh-CN"/>
        </w:rPr>
        <w:t>投标人</w:t>
      </w:r>
      <w:r>
        <w:rPr>
          <w:rFonts w:hint="default" w:ascii="宋体" w:hAnsi="宋体" w:eastAsia="宋体" w:cs="宋体"/>
          <w:sz w:val="24"/>
          <w:szCs w:val="24"/>
        </w:rPr>
        <w:t>应提供包括为达到环保、消防和劳动安全卫生等国家法律、法规和标准、规范要求必须配备的吸雾以及近距离照明系统等配套的设施、材料等。如</w:t>
      </w:r>
      <w:r>
        <w:rPr>
          <w:rFonts w:hint="eastAsia" w:ascii="宋体" w:hAnsi="宋体" w:eastAsia="宋体" w:cs="宋体"/>
          <w:sz w:val="24"/>
          <w:szCs w:val="24"/>
          <w:lang w:eastAsia="zh-CN"/>
        </w:rPr>
        <w:t>投标人</w:t>
      </w:r>
      <w:r>
        <w:rPr>
          <w:rFonts w:hint="default" w:ascii="宋体" w:hAnsi="宋体" w:eastAsia="宋体" w:cs="宋体"/>
          <w:sz w:val="24"/>
          <w:szCs w:val="24"/>
        </w:rPr>
        <w:t>难以提供或无优势提供，则应当在投标文件的技术偏离条款中，予以详细说明并注明投标报价未包含该部分的货值。</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5.</w:t>
      </w:r>
      <w:r>
        <w:rPr>
          <w:rFonts w:hint="eastAsia" w:ascii="宋体" w:hAnsi="宋体" w:eastAsia="宋体" w:cs="宋体"/>
          <w:sz w:val="24"/>
          <w:szCs w:val="24"/>
          <w:lang w:eastAsia="zh-CN"/>
        </w:rPr>
        <w:t>投标人</w:t>
      </w:r>
      <w:r>
        <w:rPr>
          <w:rFonts w:hint="default" w:ascii="宋体" w:hAnsi="宋体" w:eastAsia="宋体" w:cs="宋体"/>
          <w:sz w:val="24"/>
          <w:szCs w:val="24"/>
        </w:rPr>
        <w:t>应提供包括为保证货物（或生产线）自身正常运行所必需的、适应使用地点条件的通风、冷却、温控系统等。</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6.</w:t>
      </w:r>
      <w:r>
        <w:rPr>
          <w:rFonts w:hint="eastAsia" w:ascii="宋体" w:hAnsi="宋体" w:eastAsia="宋体" w:cs="宋体"/>
          <w:sz w:val="24"/>
          <w:szCs w:val="24"/>
          <w:lang w:eastAsia="zh-CN"/>
        </w:rPr>
        <w:t>投标人</w:t>
      </w:r>
      <w:r>
        <w:rPr>
          <w:rFonts w:hint="default" w:ascii="宋体" w:hAnsi="宋体" w:eastAsia="宋体" w:cs="宋体"/>
          <w:sz w:val="24"/>
          <w:szCs w:val="24"/>
        </w:rPr>
        <w:t>应提供包括为保证货物（或生产线）正常安装、调试和验收完成以前所必需的整套配件、附件及材料、油料等。如果终验收完成后，</w:t>
      </w:r>
      <w:r>
        <w:rPr>
          <w:rFonts w:hint="eastAsia" w:ascii="宋体" w:hAnsi="宋体" w:eastAsia="宋体" w:cs="宋体"/>
          <w:sz w:val="24"/>
          <w:szCs w:val="24"/>
          <w:lang w:eastAsia="zh-CN"/>
        </w:rPr>
        <w:t>投标人</w:t>
      </w:r>
      <w:r>
        <w:rPr>
          <w:rFonts w:hint="default" w:ascii="宋体" w:hAnsi="宋体" w:eastAsia="宋体" w:cs="宋体"/>
          <w:sz w:val="24"/>
          <w:szCs w:val="24"/>
        </w:rPr>
        <w:t>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lang w:eastAsia="zh-CN"/>
        </w:rPr>
      </w:pPr>
      <w:r>
        <w:rPr>
          <w:rFonts w:hint="default" w:ascii="宋体" w:hAnsi="宋体" w:eastAsia="宋体" w:cs="宋体"/>
          <w:sz w:val="24"/>
          <w:szCs w:val="24"/>
        </w:rPr>
        <w:t>7.</w:t>
      </w:r>
      <w:r>
        <w:rPr>
          <w:rFonts w:hint="eastAsia" w:ascii="宋体" w:hAnsi="宋体" w:eastAsia="宋体" w:cs="宋体"/>
          <w:sz w:val="24"/>
          <w:szCs w:val="24"/>
          <w:lang w:eastAsia="zh-CN"/>
        </w:rPr>
        <w:t>投标人</w:t>
      </w:r>
      <w:r>
        <w:rPr>
          <w:rFonts w:hint="default" w:ascii="宋体" w:hAnsi="宋体" w:eastAsia="宋体" w:cs="宋体"/>
          <w:sz w:val="24"/>
          <w:szCs w:val="24"/>
        </w:rPr>
        <w:t>应提供货物（或生产线）维修所必需的专用工具，并在投标报价部分说明数量</w:t>
      </w:r>
      <w:r>
        <w:rPr>
          <w:rFonts w:hint="eastAsia" w:ascii="宋体" w:hAnsi="宋体" w:eastAsia="宋体" w:cs="宋体"/>
          <w:sz w:val="24"/>
          <w:szCs w:val="24"/>
          <w:lang w:eastAsia="zh-CN"/>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投标人</w:t>
      </w:r>
      <w:r>
        <w:rPr>
          <w:rFonts w:hint="eastAsia" w:ascii="宋体" w:hAnsi="宋体" w:eastAsia="宋体" w:cs="宋体"/>
          <w:sz w:val="24"/>
          <w:szCs w:val="24"/>
        </w:rPr>
        <w:t>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投标人</w:t>
      </w:r>
      <w:r>
        <w:rPr>
          <w:rFonts w:hint="eastAsia" w:ascii="宋体" w:hAnsi="宋体" w:eastAsia="宋体" w:cs="宋体"/>
          <w:sz w:val="24"/>
          <w:szCs w:val="24"/>
        </w:rPr>
        <w:t>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54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7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设计制造图必须经招标方会审后，方可投入制造。投标方提供与实物完全相符合的以下资料（包括纸质文档和电子文档各一份）：</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a.准确的电、压缩空气容量等重要技术参数，以及电和压缩空气与一次管线连接点坐标位置图，接口尺寸、设备外形尺寸图，安装图；</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b.设备总体装配图；</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c.各装置部件装配图；</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d.电气原理图；</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e.气动原理图；</w:t>
      </w:r>
    </w:p>
    <w:p>
      <w:pPr>
        <w:spacing w:line="360" w:lineRule="auto"/>
        <w:ind w:firstLine="540"/>
        <w:rPr>
          <w:rFonts w:hint="eastAsia" w:ascii="宋体" w:hAnsi="宋体" w:eastAsia="宋体" w:cs="宋体"/>
          <w:bCs/>
          <w:sz w:val="24"/>
          <w:szCs w:val="24"/>
        </w:rPr>
      </w:pPr>
      <w:r>
        <w:rPr>
          <w:rFonts w:hint="eastAsia" w:ascii="宋体" w:hAnsi="宋体" w:eastAsia="宋体" w:cs="宋体"/>
          <w:bCs/>
          <w:sz w:val="24"/>
          <w:szCs w:val="24"/>
        </w:rPr>
        <w:t>f.其他相关图纸。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r>
        <w:rPr>
          <w:rFonts w:hint="eastAsia" w:ascii="宋体" w:hAnsi="宋体" w:eastAsia="宋体" w:cs="宋体"/>
          <w:sz w:val="24"/>
          <w:szCs w:val="24"/>
          <w:lang w:val="en-US" w:eastAsia="zh-CN"/>
        </w:rPr>
        <w:t>及外购件明细表</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设备检验合格证及外购部件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w:t>
      </w:r>
      <w:r>
        <w:rPr>
          <w:rFonts w:hint="eastAsia" w:ascii="宋体" w:hAnsi="宋体" w:eastAsia="宋体" w:cs="宋体"/>
          <w:sz w:val="24"/>
          <w:szCs w:val="24"/>
          <w:lang w:eastAsia="zh-CN"/>
        </w:rPr>
        <w:t>投标人</w:t>
      </w:r>
      <w:r>
        <w:rPr>
          <w:rFonts w:hint="eastAsia" w:ascii="宋体" w:hAnsi="宋体" w:eastAsia="宋体" w:cs="宋体"/>
          <w:sz w:val="24"/>
          <w:szCs w:val="24"/>
        </w:rPr>
        <w:t>应各提供</w:t>
      </w:r>
      <w:r>
        <w:rPr>
          <w:rFonts w:hint="eastAsia" w:ascii="宋体" w:hAnsi="宋体" w:eastAsia="宋体" w:cs="宋体"/>
          <w:sz w:val="24"/>
          <w:szCs w:val="24"/>
          <w:lang w:val="en-US" w:eastAsia="zh-CN"/>
        </w:rPr>
        <w:t>1</w:t>
      </w:r>
      <w:r>
        <w:rPr>
          <w:rFonts w:hint="eastAsia" w:ascii="宋体" w:hAnsi="宋体" w:eastAsia="宋体" w:cs="宋体"/>
          <w:sz w:val="24"/>
          <w:szCs w:val="24"/>
        </w:rPr>
        <w:t>套纸质资料及电子版资料（光盘或</w:t>
      </w:r>
      <w:r>
        <w:rPr>
          <w:rFonts w:hint="eastAsia" w:ascii="宋体" w:hAnsi="宋体" w:eastAsia="宋体" w:cs="宋体"/>
          <w:sz w:val="24"/>
          <w:szCs w:val="24"/>
          <w:lang w:val="en-US" w:eastAsia="zh-CN"/>
        </w:rPr>
        <w:t>U</w:t>
      </w:r>
      <w:r>
        <w:rPr>
          <w:rFonts w:hint="eastAsia" w:ascii="宋体" w:hAnsi="宋体" w:eastAsia="宋体" w:cs="宋体"/>
          <w:sz w:val="24"/>
          <w:szCs w:val="24"/>
        </w:rPr>
        <w:t>盘等），每份技术文件应装有目录清单。</w:t>
      </w:r>
    </w:p>
    <w:p>
      <w:pPr>
        <w:pStyle w:val="2"/>
        <w:ind w:left="0" w:leftChars="0" w:firstLine="480" w:firstLineChars="200"/>
      </w:pPr>
      <w:r>
        <w:rPr>
          <w:rFonts w:hint="eastAsia" w:ascii="宋体" w:hAnsi="宋体"/>
          <w:bCs/>
          <w:color w:val="000000"/>
          <w:sz w:val="24"/>
          <w:highlight w:val="none"/>
          <w:lang w:val="en-US" w:eastAsia="zh-CN"/>
        </w:rPr>
        <w:t>8.</w:t>
      </w:r>
      <w:r>
        <w:rPr>
          <w:rFonts w:hint="eastAsia" w:ascii="宋体" w:hAnsi="宋体"/>
          <w:bCs/>
          <w:color w:val="000000"/>
          <w:sz w:val="24"/>
          <w:highlight w:val="none"/>
        </w:rPr>
        <w:t>图纸交付文件格式：CATIAV5R20（可编辑）、AUTOCAD2007、PDF格式。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21"/>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olor w:val="000000"/>
          <w:sz w:val="24"/>
          <w:szCs w:val="24"/>
          <w:highlight w:val="yellow"/>
          <w:u w:val="single"/>
          <w:lang w:val="en-US" w:eastAsia="zh-CN"/>
        </w:rPr>
        <w:t>中国重汽集团济南商用车有限公司</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pStyle w:val="18"/>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1.</w:t>
      </w:r>
      <w:r>
        <w:rPr>
          <w:rFonts w:hint="eastAsia" w:ascii="宋体" w:hAnsi="宋体" w:eastAsia="宋体"/>
          <w:sz w:val="24"/>
          <w:szCs w:val="24"/>
          <w:highlight w:val="yellow"/>
        </w:rPr>
        <w:t>自合同签定生效之日起，</w:t>
      </w:r>
      <w:r>
        <w:rPr>
          <w:rFonts w:hint="eastAsia" w:ascii="宋体" w:hAnsi="宋体" w:eastAsia="宋体"/>
          <w:sz w:val="24"/>
          <w:szCs w:val="24"/>
          <w:highlight w:val="yellow"/>
          <w:u w:val="single"/>
          <w:lang w:val="en-US" w:eastAsia="zh-CN"/>
        </w:rPr>
        <w:t>12</w:t>
      </w:r>
      <w:r>
        <w:rPr>
          <w:rFonts w:hint="eastAsia" w:ascii="宋体" w:hAnsi="宋体" w:eastAsia="宋体"/>
          <w:sz w:val="24"/>
          <w:szCs w:val="24"/>
          <w:highlight w:val="yellow"/>
          <w:u w:val="single"/>
        </w:rPr>
        <w:t>0</w:t>
      </w:r>
      <w:r>
        <w:rPr>
          <w:rFonts w:hint="eastAsia" w:ascii="宋体" w:hAnsi="宋体" w:eastAsia="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shd w:val="clear" w:color="auto" w:fill="FFFFFF"/>
          <w:lang w:val="en-US" w:eastAsia="zh-CN"/>
        </w:rPr>
        <w:t>30</w:t>
      </w:r>
      <w:r>
        <w:rPr>
          <w:rFonts w:hint="eastAsia" w:ascii="宋体" w:hAnsi="宋体" w:eastAsia="宋体" w:cs="宋体"/>
          <w:sz w:val="24"/>
          <w:szCs w:val="24"/>
          <w:highlight w:val="yellow"/>
        </w:rPr>
        <w:t>个日历日之内安装调试完毕。</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pPr>
        <w:pStyle w:val="120"/>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.全部供货范围内的设备、材料、零配件和工器具等，除合同特别约定外，质保期均自终验收签字生效之日起</w:t>
      </w:r>
      <w:r>
        <w:rPr>
          <w:rFonts w:hint="eastAsia" w:ascii="宋体" w:hAnsi="宋体" w:eastAsia="宋体" w:cs="宋体"/>
          <w:b/>
          <w:bCs/>
          <w:sz w:val="24"/>
          <w:szCs w:val="24"/>
          <w:highlight w:val="yellow"/>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20"/>
        <w:spacing w:line="360" w:lineRule="auto"/>
        <w:rPr>
          <w:rFonts w:ascii="宋体" w:hAnsi="宋体" w:cs="宋体"/>
        </w:rPr>
      </w:pPr>
      <w:r>
        <w:rPr>
          <w:rFonts w:hint="eastAsia" w:ascii="宋体" w:hAnsi="宋体" w:cs="宋体"/>
        </w:rPr>
        <w:t>二、技术</w:t>
      </w:r>
      <w:r>
        <w:rPr>
          <w:rFonts w:hint="eastAsia" w:ascii="宋体" w:hAnsi="宋体"/>
          <w:highlight w:val="none"/>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2</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2.全部培训课程应包括技术说明、安全要求综合理解（含应急和关闭处理程序）、应用说明书与图纸的使用及技术操作。主要侧重于（但不限于）以下方面：</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a.设备简介及理论基础；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b.设备运行培训（适用于操作人员和监理人员），设备使用操作规范，注意事项等；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设备保养培训（适用于熟练操作人员），包括：电气与电子设备应用，机械部分基本要领；机械、流体、气动部分应用，以及电气部分基本要领；零部件识别、通讯及相互作用；检查、检测过程；试验、检测设备；预防性维护（PM）、常规保养程序、保养维护计划、润滑、零部件更换程序以及调整与校正；</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.若</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提供设备（或材料）的技术质量等，与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外购的设备（或材料）技术质量等有较大或直接关联时，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应能得到其外购设备（或材料）制造厂商（或供应商）的技术支持，并免费为招标人提供技术服务（包括设计文件的审查和审定）；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0"/>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0"/>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48</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在工具设备使用寿命内，投标人应向招标人提供充足的备品备件、易损件和专用耗材，自招标人提出采购需求至交货，周期不得长于15天，也可提供备用工具设备，提供周期不得长于3天。</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招标人若将设备接入MES，实现智能制造，投标人需要无条件的提供帮助与服务，包括但不限于提供设备程序，以及为实现某种自动化功能而需对设备程序进行的调整等。</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 在工具设备使用寿命周期内，投标人每年至少开展1次工具及软件使用、工具设备维修保养等方面的培训工作。</w:t>
      </w:r>
    </w:p>
    <w:p>
      <w:pPr>
        <w:pStyle w:val="120"/>
        <w:spacing w:line="360" w:lineRule="auto"/>
        <w:rPr>
          <w:rFonts w:hint="eastAsia" w:ascii="宋体" w:hAnsi="宋体" w:eastAsia="宋体" w:cs="宋体"/>
          <w:lang w:val="en-US" w:eastAsia="zh-CN"/>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3.运输服务，</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负责将设备按要求运至 中国重汽集团济南卡车有限公司党家庄工厂</w:t>
      </w:r>
      <w:r>
        <w:rPr>
          <w:rFonts w:hint="eastAsia" w:ascii="宋体" w:hAnsi="宋体" w:eastAsia="宋体" w:cs="宋体"/>
          <w:color w:val="000000"/>
          <w:sz w:val="24"/>
          <w:szCs w:val="24"/>
          <w:lang w:eastAsia="zh-CN"/>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本章节条款所列“免费”，并非指定不可收费，而是指招标文件、投标文件、答疑文件、技术交流文件、技术标书和合同等范围之外，投标人不可另行收取的费用。</w:t>
      </w:r>
    </w:p>
    <w:p>
      <w:pPr>
        <w:pStyle w:val="21"/>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终验收</w:t>
      </w:r>
      <w:bookmarkEnd w:id="43"/>
    </w:p>
    <w:p>
      <w:pPr>
        <w:pStyle w:val="120"/>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0"/>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0"/>
        <w:spacing w:line="360" w:lineRule="auto"/>
        <w:rPr>
          <w:rFonts w:ascii="宋体" w:hAnsi="宋体" w:cs="宋体"/>
          <w:highlight w:val="yellow"/>
        </w:rPr>
      </w:pPr>
      <w:r>
        <w:rPr>
          <w:rFonts w:hint="eastAsia" w:ascii="宋体" w:hAnsi="宋体" w:cs="宋体"/>
          <w:highlight w:val="yellow"/>
        </w:rPr>
        <w:t>三、验收基本条件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sz w:val="24"/>
          <w:szCs w:val="24"/>
        </w:rPr>
        <w:t>验收</w:t>
      </w:r>
      <w:r>
        <w:rPr>
          <w:rFonts w:hint="eastAsia" w:ascii="宋体" w:hAnsi="宋体" w:eastAsia="宋体" w:cs="宋体"/>
          <w:color w:val="000000"/>
          <w:sz w:val="24"/>
          <w:highlight w:val="none"/>
        </w:rPr>
        <w:t>包括预验收、安装完工验收和终验收。招标方以投标方提供并经过招标方确认后的设计制造规范和验收标准进行验收。</w:t>
      </w:r>
    </w:p>
    <w:p>
      <w:pPr>
        <w:spacing w:line="360" w:lineRule="auto"/>
        <w:ind w:firstLine="482"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1.</w:t>
      </w:r>
      <w:r>
        <w:rPr>
          <w:rFonts w:hint="eastAsia" w:ascii="宋体" w:hAnsi="宋体" w:eastAsia="宋体" w:cs="宋体"/>
          <w:b/>
          <w:bCs/>
          <w:color w:val="000000"/>
          <w:sz w:val="24"/>
          <w:highlight w:val="none"/>
        </w:rPr>
        <w:t>预验收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1）预验收的场地在投标方工厂内进行；</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2）预验收的内容不仅包括设备、工装、加工产品等实物，同时也包括投标应交付的各种技术资料；</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3）预验收的标准按双方认定的技术协议及验收标准进行，包括投标方提供的技术和验收文件资料；</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4）投标方应尽可能采取有效的技术检测措施，将问题尽量暴露在投标方现场，及时解决，并把解决状况及时报告给招标方；</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5）投标方应全力保障预验收顺利完成；</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6）预验收问题整改完毕后，招标方派人到投标方制造地点进行复查，合格后双方签定预验收纪要并批准发运，但预验收合格的记录不能替代最终验收报告。</w:t>
      </w:r>
    </w:p>
    <w:p>
      <w:pPr>
        <w:spacing w:line="360" w:lineRule="auto"/>
        <w:ind w:firstLine="482"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2.</w:t>
      </w:r>
      <w:r>
        <w:rPr>
          <w:rFonts w:hint="eastAsia" w:ascii="宋体" w:hAnsi="宋体" w:eastAsia="宋体" w:cs="宋体"/>
          <w:b/>
          <w:bCs/>
          <w:color w:val="000000"/>
          <w:sz w:val="24"/>
          <w:highlight w:val="none"/>
        </w:rPr>
        <w:t>安装完工验收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1）具备如下条件开始进行安装完工验收：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a.设备工具具备使用条件，并安装调试结束；</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b.验收所需要的资料已经修改后提交给招标方；</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c.达到设计节拍；</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d.验收之前，投标方提供预验收大纲给招标方进行确认；</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e.验收之后，招标方和投标方针对预验收结果签署验收报告和问题整改计划表。</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2）验收内容：</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b.设备工具安装与调试施工完成后，在招标方工厂现场，由投标方组织进行自验收，招标方派人参与这个过程；</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e.试生产期间，投标方需安排由技术、设备维护、操作指导等专业人员对试生产进行全程服务，及时解决试生产过程中出现的问题。</w:t>
      </w:r>
    </w:p>
    <w:p>
      <w:pPr>
        <w:spacing w:line="360" w:lineRule="auto"/>
        <w:ind w:firstLine="482"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3.</w:t>
      </w:r>
      <w:r>
        <w:rPr>
          <w:rFonts w:hint="eastAsia" w:ascii="宋体" w:hAnsi="宋体" w:eastAsia="宋体" w:cs="宋体"/>
          <w:b/>
          <w:bCs/>
          <w:color w:val="000000"/>
          <w:sz w:val="24"/>
          <w:highlight w:val="none"/>
        </w:rPr>
        <w:t>终验收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1）终验收开动条件：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a.工具设备按照生产线实际使用情况，批量</w:t>
      </w:r>
      <w:r>
        <w:rPr>
          <w:rFonts w:hint="eastAsia" w:ascii="宋体" w:hAnsi="宋体" w:eastAsia="宋体" w:cs="宋体"/>
          <w:color w:val="000000"/>
          <w:sz w:val="24"/>
          <w:highlight w:val="none"/>
          <w:lang w:val="en-US" w:eastAsia="zh-CN"/>
        </w:rPr>
        <w:t>使用</w:t>
      </w:r>
      <w:r>
        <w:rPr>
          <w:rFonts w:hint="eastAsia" w:ascii="宋体" w:hAnsi="宋体" w:eastAsia="宋体" w:cs="宋体"/>
          <w:color w:val="000000"/>
          <w:sz w:val="24"/>
          <w:highlight w:val="none"/>
        </w:rPr>
        <w:t>一个月后。</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b.开动率95%（具体故障原因由投标方负责牵头进行分析）。</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c.最终产品质量状态达到招标文件要求。</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2）终验收内容</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a.终验收问题清单整改完毕；</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b.以周为单位（五个工作日每天八小时）对设备的使用情况进行验证，需连续生产1个月，满足设备正常使用条件；</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c.设备终验收的全部内容不仅包括设备、工装、加工产品等实物，同时也包括投标应交付的各种技术资料；</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d.终验收期间招标方对设备功能进行检查，最终设备功能达到招标文件要求；</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e.本技术任务书所定资料内容进行相关整理更新提交招标方；</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f.双方认定的验收标准全部完成。</w:t>
      </w:r>
    </w:p>
    <w:p>
      <w:pPr>
        <w:spacing w:line="360" w:lineRule="auto"/>
        <w:ind w:firstLine="482"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4.</w:t>
      </w:r>
      <w:r>
        <w:rPr>
          <w:rFonts w:hint="eastAsia" w:ascii="宋体" w:hAnsi="宋体" w:eastAsia="宋体" w:cs="宋体"/>
          <w:b/>
          <w:bCs/>
          <w:color w:val="000000"/>
          <w:sz w:val="24"/>
          <w:highlight w:val="none"/>
        </w:rPr>
        <w:t>其它要求</w:t>
      </w:r>
    </w:p>
    <w:p>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pPr>
        <w:spacing w:line="360" w:lineRule="auto"/>
        <w:ind w:firstLine="480" w:firstLineChars="200"/>
        <w:rPr>
          <w:rFonts w:hint="eastAsia" w:ascii="宋体" w:hAnsi="宋体" w:eastAsia="宋体" w:cs="宋体"/>
          <w:sz w:val="24"/>
          <w:szCs w:val="24"/>
          <w:highlight w:val="yellow"/>
        </w:rPr>
      </w:pPr>
    </w:p>
    <w:p>
      <w:pPr>
        <w:pStyle w:val="21"/>
        <w:spacing w:line="360" w:lineRule="auto"/>
      </w:pPr>
    </w:p>
    <w:p>
      <w:pPr>
        <w:pStyle w:val="133"/>
        <w:outlineLvl w:val="1"/>
        <w:rPr>
          <w:rFonts w:eastAsia="宋体"/>
          <w:b/>
          <w:bCs w:val="0"/>
          <w:iCs/>
          <w:color w:val="auto"/>
          <w:sz w:val="28"/>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44" w:name="_Toc465187647"/>
    </w:p>
    <w:p>
      <w:pPr>
        <w:pStyle w:val="133"/>
        <w:spacing w:line="360" w:lineRule="auto"/>
        <w:outlineLvl w:val="1"/>
        <w:rPr>
          <w:rFonts w:eastAsia="宋体"/>
          <w:b/>
          <w:bCs w:val="0"/>
          <w:i w:val="0"/>
          <w:iCs w:val="0"/>
          <w:color w:val="auto"/>
          <w:sz w:val="28"/>
          <w:szCs w:val="28"/>
        </w:rPr>
      </w:pPr>
      <w:r>
        <w:rPr>
          <w:rFonts w:eastAsia="宋体"/>
          <w:b/>
          <w:bCs w:val="0"/>
          <w:i w:val="0"/>
          <w:iCs w:val="0"/>
          <w:color w:val="auto"/>
          <w:sz w:val="28"/>
          <w:szCs w:val="28"/>
        </w:rPr>
        <w:t>第六章  投标技术文件一般要求</w:t>
      </w:r>
      <w:bookmarkEnd w:id="44"/>
    </w:p>
    <w:p>
      <w:pPr>
        <w:pStyle w:val="120"/>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0"/>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0"/>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6"/>
        <w:spacing w:before="120" w:after="120" w:line="360" w:lineRule="auto"/>
        <w:rPr>
          <w:rFonts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45" w:name="_Toc465187648"/>
    </w:p>
    <w:p>
      <w:pPr>
        <w:pStyle w:val="133"/>
        <w:outlineLvl w:val="1"/>
        <w:rPr>
          <w:rFonts w:ascii="宋体" w:hAnsi="宋体" w:eastAsia="宋体" w:cs="宋体"/>
          <w:b/>
          <w:bCs w:val="0"/>
          <w:i w:val="0"/>
          <w:iCs w:val="0"/>
          <w:color w:val="auto"/>
          <w:sz w:val="28"/>
          <w:szCs w:val="22"/>
        </w:rPr>
      </w:pPr>
      <w:r>
        <w:rPr>
          <w:rFonts w:hint="eastAsia" w:ascii="宋体" w:hAnsi="宋体" w:eastAsia="宋体" w:cs="宋体"/>
          <w:b/>
          <w:bCs w:val="0"/>
          <w:i w:val="0"/>
          <w:iCs w:val="0"/>
          <w:color w:val="auto"/>
          <w:sz w:val="28"/>
          <w:szCs w:val="22"/>
        </w:rPr>
        <w:t>第七章  其它要求及说明</w:t>
      </w:r>
      <w:bookmarkEnd w:id="45"/>
    </w:p>
    <w:p>
      <w:pPr>
        <w:pStyle w:val="120"/>
        <w:spacing w:line="360" w:lineRule="auto"/>
        <w:rPr>
          <w:rFonts w:ascii="宋体" w:hAnsi="宋体" w:cs="宋体"/>
          <w:color w:val="auto"/>
        </w:rPr>
      </w:pPr>
      <w:r>
        <w:rPr>
          <w:rFonts w:hint="eastAsia" w:ascii="宋体" w:hAnsi="宋体" w:cs="宋体"/>
          <w:color w:val="auto"/>
        </w:rPr>
        <w:t>一、要求</w:t>
      </w:r>
    </w:p>
    <w:p>
      <w:pPr>
        <w:pStyle w:val="24"/>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14"/>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ascii="Times New Roman" w:hAnsi="Times New Roman" w:eastAsia="宋体" w:cs="Times New Roman"/>
          <w:b/>
          <w:color w:val="000000"/>
          <w:sz w:val="24"/>
          <w:szCs w:val="20"/>
          <w:highlight w:val="yellow"/>
        </w:rPr>
        <w:t>7</w:t>
      </w:r>
      <w:r>
        <w:rPr>
          <w:rFonts w:hint="eastAsia" w:ascii="Times New Roman" w:hAnsi="Times New Roman" w:eastAsia="宋体" w:cs="Times New Roman"/>
          <w:b/>
          <w:color w:val="000000"/>
          <w:sz w:val="24"/>
          <w:szCs w:val="20"/>
          <w:highlight w:val="yellow"/>
          <w:lang w:eastAsia="zh-CN"/>
        </w:rPr>
        <w:t>.</w:t>
      </w:r>
      <w:r>
        <w:rPr>
          <w:rFonts w:hint="eastAsia" w:ascii="Times New Roman" w:hAnsi="Times New Roman" w:eastAsia="宋体" w:cs="Times New Roman"/>
          <w:b/>
          <w:color w:val="000000"/>
          <w:sz w:val="24"/>
          <w:szCs w:val="20"/>
          <w:highlight w:val="yellow"/>
        </w:rPr>
        <w:t>设备外观</w:t>
      </w:r>
      <w:r>
        <w:rPr>
          <w:rFonts w:hint="eastAsia" w:ascii="宋体" w:hAnsi="宋体" w:eastAsia="宋体" w:cs="宋体"/>
          <w:b/>
          <w:bCs/>
          <w:sz w:val="24"/>
          <w:szCs w:val="20"/>
          <w:highlight w:val="yellow"/>
        </w:rPr>
        <w:t>不能存在供应商名称和品牌LOGO等标识。</w:t>
      </w:r>
    </w:p>
    <w:p>
      <w:pPr>
        <w:pStyle w:val="120"/>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1"/>
        <w:spacing w:line="360" w:lineRule="auto"/>
        <w:rPr>
          <w:rFonts w:hAnsi="宋体" w:eastAsia="宋体" w:cs="宋体"/>
          <w:sz w:val="24"/>
          <w:szCs w:val="24"/>
        </w:rPr>
        <w:sectPr>
          <w:pgSz w:w="11907" w:h="16840"/>
          <w:pgMar w:top="1304" w:right="1418" w:bottom="1304" w:left="1418" w:header="724" w:footer="851" w:gutter="0"/>
          <w:cols w:space="720" w:num="1"/>
          <w:docGrid w:linePitch="290" w:charSpace="-3931"/>
        </w:sectPr>
      </w:pPr>
    </w:p>
    <w:p>
      <w:pPr>
        <w:pStyle w:val="21"/>
      </w:pPr>
    </w:p>
    <w:p>
      <w:pPr>
        <w:spacing w:line="360" w:lineRule="auto"/>
        <w:jc w:val="center"/>
        <w:outlineLvl w:val="0"/>
        <w:rPr>
          <w:rFonts w:ascii="宋体" w:hAnsi="Calibri" w:eastAsia="宋体" w:cs="Times New Roman"/>
          <w:b/>
          <w:sz w:val="36"/>
          <w:szCs w:val="36"/>
        </w:rPr>
      </w:pPr>
      <w:bookmarkStart w:id="46"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6"/>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1"/>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7"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8"/>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bookmarkStart w:id="48" w:name="_Toc11930"/>
      <w:bookmarkStart w:id="49" w:name="_Toc17619"/>
      <w:bookmarkStart w:id="50" w:name="_Toc16330018"/>
      <w:bookmarkStart w:id="51" w:name="_Toc11823"/>
      <w:r>
        <w:rPr>
          <w:rFonts w:hint="eastAsia" w:ascii="黑体" w:hAnsi="黑体" w:eastAsia="黑体" w:cstheme="minorEastAsia"/>
          <w:b w:val="0"/>
          <w:sz w:val="28"/>
          <w:szCs w:val="28"/>
        </w:rPr>
        <w:t>1 合同设备</w:t>
      </w:r>
      <w:bookmarkEnd w:id="48"/>
      <w:bookmarkEnd w:id="49"/>
      <w:bookmarkEnd w:id="50"/>
      <w:bookmarkEnd w:id="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2" w:name="_Toc29026"/>
      <w:bookmarkStart w:id="53" w:name="_Toc22800"/>
      <w:bookmarkStart w:id="54"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330019"/>
      <w:r>
        <w:rPr>
          <w:rFonts w:hint="eastAsia" w:ascii="黑体" w:hAnsi="黑体" w:eastAsia="黑体" w:cstheme="minorEastAsia"/>
          <w:b w:val="0"/>
          <w:sz w:val="28"/>
          <w:szCs w:val="28"/>
        </w:rPr>
        <w:t>2 包装</w:t>
      </w:r>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2833"/>
      <w:bookmarkStart w:id="57" w:name="_Toc27144"/>
      <w:bookmarkStart w:id="58" w:name="_Toc16330020"/>
      <w:bookmarkStart w:id="59" w:name="_Toc27453"/>
      <w:r>
        <w:rPr>
          <w:rFonts w:hint="eastAsia" w:ascii="黑体" w:hAnsi="黑体" w:eastAsia="黑体" w:cstheme="minorEastAsia"/>
          <w:b w:val="0"/>
          <w:sz w:val="28"/>
          <w:szCs w:val="28"/>
        </w:rPr>
        <w:t>3 运输标记</w:t>
      </w:r>
      <w:bookmarkEnd w:id="56"/>
      <w:bookmarkEnd w:id="57"/>
      <w:bookmarkEnd w:id="58"/>
      <w:bookmarkEnd w:id="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16330021"/>
      <w:bookmarkStart w:id="61" w:name="_Toc10630"/>
      <w:bookmarkStart w:id="62" w:name="_Toc16133"/>
      <w:bookmarkStart w:id="63" w:name="_Toc7431"/>
      <w:r>
        <w:rPr>
          <w:rFonts w:hint="eastAsia" w:ascii="黑体" w:hAnsi="黑体" w:eastAsia="黑体" w:cstheme="minorEastAsia"/>
          <w:b w:val="0"/>
          <w:sz w:val="28"/>
          <w:szCs w:val="28"/>
        </w:rPr>
        <w:t>4 检验</w:t>
      </w:r>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19850"/>
      <w:bookmarkStart w:id="65" w:name="_Toc16330022"/>
      <w:bookmarkStart w:id="66" w:name="_Toc11217"/>
      <w:bookmarkStart w:id="67" w:name="_Toc24467"/>
      <w:r>
        <w:rPr>
          <w:rFonts w:hint="eastAsia" w:ascii="黑体" w:hAnsi="黑体" w:eastAsia="黑体" w:cstheme="minorEastAsia"/>
          <w:b w:val="0"/>
          <w:sz w:val="28"/>
          <w:szCs w:val="28"/>
        </w:rPr>
        <w:t>5 权利担保</w:t>
      </w:r>
      <w:bookmarkEnd w:id="64"/>
      <w:bookmarkEnd w:id="65"/>
      <w:bookmarkEnd w:id="66"/>
      <w:bookmarkEnd w:id="6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11759"/>
      <w:bookmarkStart w:id="69" w:name="_Toc27500"/>
      <w:bookmarkStart w:id="70" w:name="_Toc14809"/>
      <w:bookmarkStart w:id="71" w:name="_Toc16330023"/>
      <w:r>
        <w:rPr>
          <w:rFonts w:hint="eastAsia" w:ascii="黑体" w:hAnsi="黑体" w:eastAsia="黑体" w:cstheme="minorEastAsia"/>
          <w:b w:val="0"/>
          <w:sz w:val="28"/>
          <w:szCs w:val="28"/>
        </w:rPr>
        <w:t>6 交货</w:t>
      </w:r>
      <w:bookmarkEnd w:id="68"/>
      <w:bookmarkEnd w:id="69"/>
      <w:bookmarkEnd w:id="70"/>
      <w:bookmarkEnd w:id="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2984"/>
      <w:bookmarkStart w:id="73" w:name="_Toc25510"/>
      <w:bookmarkStart w:id="74" w:name="_Toc8024"/>
      <w:bookmarkStart w:id="75" w:name="_Toc16330024"/>
      <w:r>
        <w:rPr>
          <w:rFonts w:hint="eastAsia" w:ascii="黑体" w:hAnsi="黑体" w:eastAsia="黑体" w:cstheme="minorEastAsia"/>
          <w:b w:val="0"/>
          <w:sz w:val="28"/>
          <w:szCs w:val="28"/>
        </w:rPr>
        <w:t>7 安装、调试</w:t>
      </w:r>
      <w:bookmarkEnd w:id="72"/>
      <w:bookmarkEnd w:id="73"/>
      <w:bookmarkEnd w:id="74"/>
      <w:bookmarkEnd w:id="75"/>
    </w:p>
    <w:p>
      <w:pPr>
        <w:pStyle w:val="16"/>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6" w:name="_Toc14098"/>
      <w:bookmarkStart w:id="77" w:name="_Toc14260"/>
      <w:bookmarkStart w:id="78" w:name="_Toc6350"/>
      <w:bookmarkStart w:id="79" w:name="_Toc16330025"/>
      <w:r>
        <w:rPr>
          <w:rFonts w:hint="eastAsia" w:ascii="黑体" w:hAnsi="黑体" w:eastAsia="黑体" w:cstheme="minorEastAsia"/>
          <w:b w:val="0"/>
          <w:sz w:val="28"/>
          <w:szCs w:val="28"/>
        </w:rPr>
        <w:t>8 价款与支付</w:t>
      </w:r>
      <w:bookmarkEnd w:id="76"/>
      <w:bookmarkEnd w:id="77"/>
      <w:bookmarkEnd w:id="78"/>
      <w:bookmarkEnd w:id="7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0" w:name="_Toc14531628"/>
      <w:bookmarkStart w:id="81"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0"/>
      <w:bookmarkEnd w:id="81"/>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16330026"/>
      <w:bookmarkStart w:id="83" w:name="_Toc24085"/>
      <w:bookmarkStart w:id="84" w:name="_Toc6726"/>
      <w:bookmarkStart w:id="85" w:name="_Toc25708"/>
      <w:r>
        <w:rPr>
          <w:rFonts w:hint="eastAsia" w:ascii="黑体" w:hAnsi="黑体" w:eastAsia="黑体" w:cstheme="minorEastAsia"/>
          <w:b w:val="0"/>
          <w:sz w:val="28"/>
          <w:szCs w:val="28"/>
        </w:rPr>
        <w:t>9 质量保证及售后服务</w:t>
      </w:r>
      <w:bookmarkEnd w:id="82"/>
      <w:bookmarkEnd w:id="83"/>
      <w:bookmarkEnd w:id="84"/>
      <w:bookmarkEnd w:id="8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0359"/>
      <w:bookmarkStart w:id="87" w:name="_Toc16330027"/>
      <w:bookmarkStart w:id="88" w:name="_Toc12927"/>
      <w:bookmarkStart w:id="89" w:name="_Toc15570"/>
      <w:r>
        <w:rPr>
          <w:rFonts w:hint="eastAsia" w:ascii="黑体" w:hAnsi="黑体" w:eastAsia="黑体" w:cstheme="minorEastAsia"/>
          <w:b w:val="0"/>
          <w:sz w:val="28"/>
          <w:szCs w:val="28"/>
        </w:rPr>
        <w:t>10法定责任</w:t>
      </w:r>
      <w:bookmarkEnd w:id="86"/>
      <w:bookmarkEnd w:id="87"/>
      <w:bookmarkEnd w:id="88"/>
      <w:bookmarkEnd w:id="8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30381"/>
      <w:bookmarkStart w:id="91" w:name="_Toc16330028"/>
      <w:bookmarkStart w:id="92" w:name="_Toc27314"/>
      <w:bookmarkStart w:id="93" w:name="_Toc9708"/>
      <w:r>
        <w:rPr>
          <w:rFonts w:hint="eastAsia" w:ascii="黑体" w:hAnsi="黑体" w:eastAsia="黑体" w:cstheme="minorEastAsia"/>
          <w:b w:val="0"/>
          <w:sz w:val="28"/>
          <w:szCs w:val="28"/>
        </w:rPr>
        <w:t>11 违约责任</w:t>
      </w:r>
      <w:bookmarkEnd w:id="90"/>
      <w:bookmarkEnd w:id="91"/>
      <w:bookmarkEnd w:id="92"/>
      <w:bookmarkEnd w:id="9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r>
        <w:rPr>
          <w:rFonts w:hint="eastAsia" w:ascii="仿宋_GB2312" w:hAnsi="黑体" w:eastAsia="仿宋_GB2312" w:cstheme="minorEastAsia"/>
          <w:sz w:val="24"/>
          <w:szCs w:val="24"/>
        </w:rPr>
        <w:br w:type="textWrapping"/>
      </w:r>
      <w:r>
        <w:rPr>
          <w:rFonts w:hint="eastAsia" w:ascii="仿宋_GB2312" w:hAnsi="黑体" w:eastAsia="仿宋_GB2312" w:cstheme="minorEastAsia"/>
          <w:sz w:val="24"/>
          <w:szCs w:val="24"/>
          <w:lang w:val="en-US" w:eastAsia="zh-CN"/>
        </w:rPr>
        <w:t xml:space="preserve">    </w:t>
      </w:r>
      <w:r>
        <w:rPr>
          <w:rFonts w:hint="eastAsia" w:ascii="仿宋_GB2312" w:hAnsi="黑体" w:eastAsia="仿宋_GB2312" w:cstheme="minorEastAsia"/>
          <w:sz w:val="24"/>
          <w:szCs w:val="24"/>
        </w:rPr>
        <w:t>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r>
        <w:rPr>
          <w:rFonts w:hint="eastAsia" w:ascii="仿宋_GB2312" w:hAnsi="黑体" w:eastAsia="仿宋_GB2312" w:cstheme="minorEastAsia"/>
          <w:sz w:val="24"/>
          <w:szCs w:val="24"/>
        </w:rPr>
        <w:br w:type="textWrapping"/>
      </w:r>
      <w:r>
        <w:rPr>
          <w:rFonts w:hint="eastAsia" w:ascii="仿宋_GB2312" w:hAnsi="黑体" w:eastAsia="仿宋_GB2312" w:cstheme="minorEastAsia"/>
          <w:sz w:val="24"/>
          <w:szCs w:val="24"/>
          <w:lang w:val="en-US" w:eastAsia="zh-CN"/>
        </w:rPr>
        <w:t xml:space="preserve">    </w:t>
      </w:r>
      <w:r>
        <w:rPr>
          <w:rFonts w:hint="eastAsia" w:ascii="仿宋_GB2312" w:hAnsi="黑体" w:eastAsia="仿宋_GB2312" w:cstheme="minorEastAsia"/>
          <w:sz w:val="24"/>
          <w:szCs w:val="24"/>
        </w:rPr>
        <w:t>11.5买方延期付款时（有正当拒付理由者除外），每日按延付金额的3‰向卖方偿付延期付款违约金，但违约金总额不超过延付金额的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827"/>
      <w:bookmarkStart w:id="95" w:name="_Toc16330029"/>
      <w:bookmarkStart w:id="96" w:name="_Toc9172"/>
      <w:bookmarkStart w:id="97" w:name="_Toc31554"/>
      <w:r>
        <w:rPr>
          <w:rFonts w:hint="eastAsia" w:ascii="黑体" w:hAnsi="黑体" w:eastAsia="黑体" w:cstheme="minorEastAsia"/>
          <w:b w:val="0"/>
          <w:sz w:val="28"/>
          <w:szCs w:val="28"/>
        </w:rPr>
        <w:t>12 合同的终止与解除</w:t>
      </w:r>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31945"/>
      <w:bookmarkStart w:id="99" w:name="_Toc13671"/>
      <w:bookmarkStart w:id="100" w:name="_Toc16330030"/>
      <w:bookmarkStart w:id="101" w:name="_Toc8620"/>
      <w:r>
        <w:rPr>
          <w:rFonts w:hint="eastAsia" w:ascii="黑体" w:hAnsi="黑体" w:eastAsia="黑体" w:cstheme="minorEastAsia"/>
          <w:b w:val="0"/>
          <w:sz w:val="28"/>
          <w:szCs w:val="28"/>
        </w:rPr>
        <w:t>13 不可抗力</w:t>
      </w:r>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31243"/>
      <w:bookmarkStart w:id="103" w:name="_Toc30389"/>
      <w:bookmarkStart w:id="104" w:name="_Toc16330031"/>
      <w:bookmarkStart w:id="105" w:name="_Toc637"/>
      <w:r>
        <w:rPr>
          <w:rFonts w:hint="eastAsia" w:ascii="黑体" w:hAnsi="黑体" w:eastAsia="黑体" w:cstheme="minorEastAsia"/>
          <w:b w:val="0"/>
          <w:sz w:val="28"/>
          <w:szCs w:val="28"/>
        </w:rPr>
        <w:t>14 通讯</w:t>
      </w:r>
      <w:bookmarkEnd w:id="102"/>
      <w:bookmarkEnd w:id="103"/>
      <w:bookmarkEnd w:id="104"/>
      <w:bookmarkEnd w:id="10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8"/>
        <w:tabs>
          <w:tab w:val="right" w:leader="dot" w:pos="9061"/>
        </w:tabs>
        <w:spacing w:before="240" w:beforeLines="100"/>
        <w:jc w:val="both"/>
        <w:rPr>
          <w:rFonts w:ascii="黑体" w:hAnsi="黑体" w:eastAsia="黑体" w:cstheme="minorEastAsia"/>
          <w:b w:val="0"/>
          <w:sz w:val="28"/>
          <w:szCs w:val="28"/>
        </w:rPr>
      </w:pPr>
      <w:bookmarkStart w:id="106" w:name="_Toc16330032"/>
      <w:bookmarkStart w:id="107" w:name="_Toc11290"/>
      <w:bookmarkStart w:id="108" w:name="_Toc12984"/>
      <w:bookmarkStart w:id="109" w:name="_Toc9915"/>
      <w:r>
        <w:rPr>
          <w:rFonts w:hint="eastAsia" w:ascii="黑体" w:hAnsi="黑体" w:eastAsia="黑体" w:cstheme="minorEastAsia"/>
          <w:b w:val="0"/>
          <w:sz w:val="28"/>
          <w:szCs w:val="28"/>
        </w:rPr>
        <w:t>15 适用法律及争议解决</w:t>
      </w:r>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23906"/>
      <w:bookmarkStart w:id="111" w:name="_Toc16330033"/>
      <w:bookmarkStart w:id="112" w:name="_Toc18207"/>
      <w:bookmarkStart w:id="113" w:name="_Toc23765"/>
      <w:r>
        <w:rPr>
          <w:rFonts w:hint="eastAsia" w:ascii="黑体" w:hAnsi="黑体" w:eastAsia="黑体" w:cstheme="minorEastAsia"/>
          <w:b w:val="0"/>
          <w:sz w:val="28"/>
          <w:szCs w:val="28"/>
        </w:rPr>
        <w:t>16 附件</w:t>
      </w:r>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4" w:name="_Toc16330034"/>
      <w:bookmarkStart w:id="115" w:name="_Toc31331"/>
      <w:bookmarkStart w:id="116" w:name="_Toc17656"/>
      <w:bookmarkStart w:id="117" w:name="_Toc27202"/>
      <w:r>
        <w:rPr>
          <w:rFonts w:hint="eastAsia" w:ascii="黑体" w:hAnsi="黑体" w:eastAsia="黑体" w:cstheme="minorEastAsia"/>
          <w:b w:val="0"/>
          <w:sz w:val="28"/>
          <w:szCs w:val="28"/>
        </w:rPr>
        <w:t>17 其他规定</w:t>
      </w:r>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8" w:name="_Toc16330035"/>
      <w:bookmarkStart w:id="119" w:name="_Toc17952"/>
      <w:bookmarkStart w:id="120" w:name="_Toc19077"/>
      <w:bookmarkStart w:id="121"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8"/>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lang w:val="en-US" w:eastAsia="zh-CN"/>
        </w:rPr>
        <w:t>六</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lang w:val="en-US" w:eastAsia="zh-CN"/>
        </w:rPr>
        <w:t>肆</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lang w:val="en-US" w:eastAsia="zh-CN"/>
        </w:rPr>
        <w:t>贰</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rPr>
          <w:sz w:val="24"/>
          <w:szCs w:val="24"/>
        </w:rPr>
      </w:pPr>
      <w:r>
        <w:rPr>
          <w:rFonts w:hint="eastAsia"/>
          <w:sz w:val="24"/>
          <w:szCs w:val="24"/>
        </w:rPr>
        <w:br w:type="page"/>
      </w:r>
    </w:p>
    <w:p>
      <w:pPr>
        <w:pStyle w:val="8"/>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2" w:name="_Toc5379"/>
      <w:bookmarkStart w:id="123" w:name="_Toc24623"/>
      <w:bookmarkStart w:id="124" w:name="_Toc3778"/>
      <w:bookmarkStart w:id="125" w:name="_Toc16330037"/>
      <w:bookmarkStart w:id="126" w:name="_Toc25120"/>
      <w:r>
        <w:rPr>
          <w:rFonts w:hint="eastAsia" w:asciiTheme="minorEastAsia" w:hAnsiTheme="minorEastAsia" w:eastAsiaTheme="minorEastAsia" w:cstheme="minorEastAsia"/>
          <w:sz w:val="20"/>
          <w:szCs w:val="20"/>
        </w:rPr>
        <w:br w:type="page"/>
      </w:r>
    </w:p>
    <w:p>
      <w:pPr>
        <w:pStyle w:val="8"/>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2"/>
      <w:bookmarkEnd w:id="123"/>
      <w:bookmarkEnd w:id="124"/>
      <w:bookmarkEnd w:id="125"/>
      <w:bookmarkEnd w:id="126"/>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7" w:name="_Toc14341849"/>
    </w:p>
    <w:p>
      <w:pPr>
        <w:ind w:right="480"/>
        <w:jc w:val="center"/>
        <w:rPr>
          <w:sz w:val="24"/>
          <w:szCs w:val="24"/>
        </w:rPr>
      </w:pPr>
      <w:r>
        <w:rPr>
          <w:rFonts w:hint="eastAsia" w:ascii="楷体_GB2312" w:hAnsi="宋体" w:eastAsia="楷体_GB2312"/>
          <w:sz w:val="24"/>
        </w:rPr>
        <w:t xml:space="preserve">                                    </w:t>
      </w:r>
    </w:p>
    <w:bookmarkEnd w:id="127"/>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7"/>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8" w:name="_Toc353881012"/>
      <w:bookmarkStart w:id="129" w:name="_Toc25811"/>
      <w:bookmarkStart w:id="130" w:name="_Toc639004"/>
      <w:bookmarkStart w:id="13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8"/>
      <w:bookmarkEnd w:id="129"/>
      <w:bookmarkEnd w:id="130"/>
      <w:bookmarkEnd w:id="13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w:t>
      </w:r>
      <w:r>
        <w:rPr>
          <w:rFonts w:hint="eastAsia" w:ascii="宋体" w:hAnsi="宋体" w:eastAsia="宋体" w:cs="Times New Roman"/>
          <w:color w:val="000000"/>
          <w:sz w:val="24"/>
          <w:szCs w:val="24"/>
          <w:lang w:val="en-US" w:eastAsia="zh-CN"/>
        </w:rPr>
        <w:t>商用车</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val="en-US" w:eastAsia="zh-CN"/>
        </w:rPr>
        <w:t>新增X型臂螺栓拧紧工具采购项目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新增X型臂螺栓拧紧工具采购项目</w:t>
      </w:r>
      <w:r>
        <w:rPr>
          <w:rFonts w:hint="eastAsia" w:ascii="宋体" w:hAnsi="宋体" w:eastAsia="宋体" w:cs="Times New Roman"/>
          <w:color w:val="000000"/>
          <w:sz w:val="24"/>
          <w:szCs w:val="24"/>
        </w:rPr>
        <w:t>（CGZX20240200</w:t>
      </w:r>
      <w:r>
        <w:rPr>
          <w:rFonts w:hint="eastAsia" w:ascii="宋体" w:hAnsi="宋体" w:eastAsia="宋体" w:cs="Times New Roman"/>
          <w:color w:val="000000"/>
          <w:sz w:val="24"/>
          <w:szCs w:val="24"/>
          <w:lang w:val="en-US" w:eastAsia="zh-CN"/>
        </w:rPr>
        <w:t>51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2"/>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2"/>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2"/>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2"/>
              <w:spacing w:before="111"/>
              <w:ind w:left="509"/>
              <w:rPr>
                <w:highlight w:val="yellow"/>
              </w:rPr>
            </w:pPr>
            <w:r>
              <w:t xml:space="preserve">企业法人代表  </w:t>
            </w:r>
          </w:p>
        </w:tc>
        <w:tc>
          <w:tcPr>
            <w:tcW w:w="4680" w:type="dxa"/>
            <w:gridSpan w:val="4"/>
          </w:tcPr>
          <w:p>
            <w:pPr>
              <w:pStyle w:val="9"/>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14"/>
              <w:ind w:left="720"/>
            </w:pPr>
            <w:r>
              <w:t xml:space="preserve">品牌区分 </w:t>
            </w:r>
          </w:p>
        </w:tc>
        <w:tc>
          <w:tcPr>
            <w:tcW w:w="7500" w:type="dxa"/>
            <w:gridSpan w:val="6"/>
          </w:tcPr>
          <w:p>
            <w:pPr>
              <w:pStyle w:val="13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2"/>
              <w:spacing w:before="15"/>
              <w:ind w:left="279"/>
            </w:pPr>
            <w:r>
              <w:rPr>
                <w:spacing w:val="-2"/>
              </w:rPr>
              <w:t>质量</w:t>
            </w:r>
            <w:r>
              <w:t xml:space="preserve"> </w:t>
            </w:r>
          </w:p>
          <w:p>
            <w:pPr>
              <w:pStyle w:val="132"/>
              <w:spacing w:before="30" w:line="277" w:lineRule="exact"/>
              <w:ind w:left="279"/>
            </w:pPr>
            <w:r>
              <w:rPr>
                <w:rFonts w:hint="eastAsia"/>
              </w:rPr>
              <w:t>体系</w:t>
            </w:r>
          </w:p>
        </w:tc>
        <w:tc>
          <w:tcPr>
            <w:tcW w:w="2820" w:type="dxa"/>
            <w:gridSpan w:val="2"/>
          </w:tcPr>
          <w:p>
            <w:pPr>
              <w:pStyle w:val="132"/>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2"/>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pStyle w:val="21"/>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val="en-US" w:eastAsia="zh-CN"/>
        </w:rPr>
        <w:t>新增X型臂螺栓拧紧工具采购项目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商用车</w:t>
      </w:r>
      <w:r>
        <w:rPr>
          <w:rFonts w:hint="eastAsia" w:ascii="宋体" w:hAnsi="宋体" w:eastAsia="宋体" w:cs="Times New Roman"/>
          <w:b/>
          <w:bCs/>
          <w:sz w:val="24"/>
          <w:szCs w:val="20"/>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新增X型臂螺栓拧紧工具采购项目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0"/>
        <w:tblW w:w="13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768"/>
        <w:gridCol w:w="2175"/>
        <w:gridCol w:w="1474"/>
        <w:gridCol w:w="2014"/>
        <w:gridCol w:w="1981"/>
        <w:gridCol w:w="25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6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7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98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568"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76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7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981"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68"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2768" w:type="dxa"/>
            <w:vAlign w:val="center"/>
          </w:tcPr>
          <w:p>
            <w:pPr>
              <w:pStyle w:val="127"/>
              <w:spacing w:beforeLines="0" w:afterLines="0"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单轴定值拧紧工具</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2014"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含工装、悬挂系统、控制器、扫码枪、网络铺设等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1.1</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工装</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eastAsia"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1.2</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悬挂系统</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eastAsia"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1.3</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扫码枪</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eastAsia"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1.4</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KBK横轨</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2014"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根</w:t>
            </w:r>
          </w:p>
        </w:tc>
        <w:tc>
          <w:tcPr>
            <w:tcW w:w="1981" w:type="dxa"/>
            <w:tcBorders>
              <w:left w:val="single" w:color="000000" w:sz="4" w:space="0"/>
            </w:tcBorders>
          </w:tcPr>
          <w:p>
            <w:pPr>
              <w:rPr>
                <w:rFonts w:ascii="Arial"/>
                <w:highlight w:val="none"/>
              </w:rPr>
            </w:pPr>
          </w:p>
        </w:tc>
        <w:tc>
          <w:tcPr>
            <w:tcW w:w="2568" w:type="dxa"/>
          </w:tcPr>
          <w:p>
            <w:pPr>
              <w:rPr>
                <w:rFonts w:hint="eastAsia" w:ascii="宋体" w:hAnsi="宋体" w:eastAsia="宋体" w:cs="宋体"/>
                <w:i w:val="0"/>
                <w:iCs w:val="0"/>
                <w:color w:val="000000"/>
                <w:kern w:val="0"/>
                <w:sz w:val="22"/>
                <w:szCs w:val="22"/>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1.5</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电缆</w:t>
            </w:r>
          </w:p>
        </w:tc>
        <w:tc>
          <w:tcPr>
            <w:tcW w:w="2175" w:type="dxa"/>
            <w:vAlign w:val="top"/>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eastAsia" w:ascii="宋体" w:hAnsi="宋体" w:eastAsia="宋体" w:cs="宋体"/>
                <w:highlight w:val="none"/>
                <w:lang w:val="en-US" w:eastAsia="zh-CN"/>
              </w:rPr>
            </w:pPr>
          </w:p>
        </w:tc>
        <w:tc>
          <w:tcPr>
            <w:tcW w:w="1981" w:type="dxa"/>
            <w:tcBorders>
              <w:left w:val="single" w:color="000000" w:sz="4" w:space="0"/>
            </w:tcBorders>
            <w:vAlign w:val="top"/>
          </w:tcPr>
          <w:p>
            <w:pPr>
              <w:rPr>
                <w:rFonts w:ascii="Arial"/>
                <w:highlight w:val="none"/>
              </w:rPr>
            </w:pPr>
          </w:p>
        </w:tc>
        <w:tc>
          <w:tcPr>
            <w:tcW w:w="2568" w:type="dxa"/>
            <w:vAlign w:val="top"/>
          </w:tcPr>
          <w:p>
            <w:pP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不少于15m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1.6</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控制器</w:t>
            </w:r>
          </w:p>
        </w:tc>
        <w:tc>
          <w:tcPr>
            <w:tcW w:w="2175" w:type="dxa"/>
            <w:vAlign w:val="top"/>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eastAsia" w:ascii="宋体" w:hAnsi="宋体" w:eastAsia="宋体" w:cs="宋体"/>
                <w:highlight w:val="none"/>
                <w:lang w:val="en-US" w:eastAsia="zh-CN"/>
              </w:rPr>
            </w:pPr>
          </w:p>
        </w:tc>
        <w:tc>
          <w:tcPr>
            <w:tcW w:w="1981" w:type="dxa"/>
            <w:tcBorders>
              <w:left w:val="single" w:color="000000" w:sz="4" w:space="0"/>
            </w:tcBorders>
            <w:vAlign w:val="top"/>
          </w:tcPr>
          <w:p>
            <w:pPr>
              <w:rPr>
                <w:rFonts w:ascii="Arial"/>
                <w:highlight w:val="none"/>
              </w:rPr>
            </w:pPr>
          </w:p>
        </w:tc>
        <w:tc>
          <w:tcPr>
            <w:tcW w:w="2568" w:type="dxa"/>
            <w:vAlign w:val="top"/>
          </w:tcPr>
          <w:p>
            <w:pPr>
              <w:rPr>
                <w:rFonts w:hint="eastAsia" w:ascii="宋体" w:hAnsi="宋体" w:eastAsia="宋体" w:cs="宋体"/>
                <w:i w:val="0"/>
                <w:iCs w:val="0"/>
                <w:color w:val="000000"/>
                <w:kern w:val="0"/>
                <w:sz w:val="22"/>
                <w:szCs w:val="22"/>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双轴定值拧紧工具（变距）</w:t>
            </w:r>
          </w:p>
        </w:tc>
        <w:tc>
          <w:tcPr>
            <w:tcW w:w="2175" w:type="dxa"/>
            <w:vAlign w:val="top"/>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2014" w:type="dxa"/>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1981" w:type="dxa"/>
            <w:tcBorders>
              <w:left w:val="single" w:color="000000" w:sz="4" w:space="0"/>
            </w:tcBorders>
            <w:vAlign w:val="top"/>
          </w:tcPr>
          <w:p>
            <w:pPr>
              <w:rPr>
                <w:rFonts w:ascii="Arial"/>
                <w:highlight w:val="none"/>
              </w:rPr>
            </w:pPr>
          </w:p>
        </w:tc>
        <w:tc>
          <w:tcPr>
            <w:tcW w:w="2568" w:type="dxa"/>
            <w:vAlign w:val="top"/>
          </w:tcPr>
          <w:p>
            <w:pP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含工装、悬挂系统、控制器、扫码枪、网络铺设等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2.1</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工装</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default"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2.2</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悬挂系统</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2.3</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扫码枪</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2.4</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KBK横轨</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2.5</w:t>
            </w:r>
          </w:p>
        </w:tc>
        <w:tc>
          <w:tcPr>
            <w:tcW w:w="2768" w:type="dxa"/>
            <w:vAlign w:val="center"/>
          </w:tcPr>
          <w:p>
            <w:pPr>
              <w:pStyle w:val="127"/>
              <w:spacing w:beforeLines="0" w:afterLines="0"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电缆</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r>
              <w:rPr>
                <w:rFonts w:hint="eastAsia" w:ascii="宋体" w:hAnsi="宋体" w:eastAsia="宋体" w:cs="宋体"/>
                <w:i w:val="0"/>
                <w:iCs w:val="0"/>
                <w:color w:val="000000"/>
                <w:kern w:val="0"/>
                <w:sz w:val="22"/>
                <w:szCs w:val="22"/>
                <w:highlight w:val="none"/>
                <w:u w:val="none"/>
                <w:lang w:val="en-US" w:eastAsia="zh-CN" w:bidi="ar"/>
              </w:rPr>
              <w:t>不少于25m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2.6</w:t>
            </w:r>
          </w:p>
        </w:tc>
        <w:tc>
          <w:tcPr>
            <w:tcW w:w="2768"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控制器</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hint="eastAsia" w:ascii="宋体" w:hAnsi="宋体" w:eastAsia="宋体" w:cs="宋体"/>
                <w:i w:val="0"/>
                <w:iCs w:val="0"/>
                <w:color w:val="000000"/>
                <w:kern w:val="0"/>
                <w:sz w:val="22"/>
                <w:szCs w:val="22"/>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4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p>
        </w:tc>
        <w:tc>
          <w:tcPr>
            <w:tcW w:w="2768" w:type="dxa"/>
            <w:vAlign w:val="center"/>
          </w:tcPr>
          <w:p>
            <w:pPr>
              <w:pStyle w:val="127"/>
              <w:spacing w:beforeLines="0" w:afterLines="0"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网络铺设</w:t>
            </w:r>
          </w:p>
        </w:tc>
        <w:tc>
          <w:tcPr>
            <w:tcW w:w="2175" w:type="dxa"/>
          </w:tcPr>
          <w:p>
            <w:pPr>
              <w:jc w:val="center"/>
              <w:rPr>
                <w:rFonts w:hint="eastAsia" w:ascii="宋体" w:hAnsi="宋体" w:eastAsia="宋体" w:cs="宋体"/>
                <w:highlight w:val="none"/>
              </w:rPr>
            </w:pPr>
          </w:p>
        </w:tc>
        <w:tc>
          <w:tcPr>
            <w:tcW w:w="1474" w:type="dxa"/>
            <w:vAlign w:val="center"/>
          </w:tcPr>
          <w:p>
            <w:pPr>
              <w:jc w:val="center"/>
              <w:rPr>
                <w:rFonts w:hint="eastAsia" w:ascii="宋体" w:hAnsi="宋体" w:eastAsia="宋体" w:cs="宋体"/>
                <w:highlight w:val="none"/>
                <w:lang w:val="en-US" w:eastAsia="zh-CN"/>
              </w:rPr>
            </w:pPr>
          </w:p>
        </w:tc>
        <w:tc>
          <w:tcPr>
            <w:tcW w:w="2014" w:type="dxa"/>
            <w:vAlign w:val="center"/>
          </w:tcPr>
          <w:p>
            <w:pPr>
              <w:jc w:val="center"/>
              <w:rPr>
                <w:rFonts w:hint="default" w:ascii="宋体" w:hAnsi="宋体" w:eastAsia="宋体" w:cs="宋体"/>
                <w:highlight w:val="none"/>
                <w:lang w:val="en-US" w:eastAsia="zh-CN"/>
              </w:rPr>
            </w:pPr>
          </w:p>
        </w:tc>
        <w:tc>
          <w:tcPr>
            <w:tcW w:w="1981" w:type="dxa"/>
            <w:tcBorders>
              <w:left w:val="single" w:color="000000" w:sz="4" w:space="0"/>
            </w:tcBorders>
          </w:tcPr>
          <w:p>
            <w:pPr>
              <w:rPr>
                <w:rFonts w:ascii="Arial"/>
                <w:highlight w:val="none"/>
              </w:rPr>
            </w:pPr>
          </w:p>
        </w:tc>
        <w:tc>
          <w:tcPr>
            <w:tcW w:w="2568"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768" w:type="dxa"/>
            <w:vAlign w:val="center"/>
          </w:tcPr>
          <w:p>
            <w:pPr>
              <w:pStyle w:val="127"/>
              <w:spacing w:beforeLines="0" w:afterLines="0"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其他材料</w:t>
            </w:r>
          </w:p>
        </w:tc>
        <w:tc>
          <w:tcPr>
            <w:tcW w:w="2175" w:type="dxa"/>
          </w:tcPr>
          <w:p>
            <w:pPr>
              <w:jc w:val="center"/>
              <w:rPr>
                <w:rFonts w:hint="eastAsia" w:ascii="宋体" w:hAnsi="宋体" w:eastAsia="宋体" w:cs="宋体"/>
              </w:rPr>
            </w:pPr>
          </w:p>
        </w:tc>
        <w:tc>
          <w:tcPr>
            <w:tcW w:w="1474" w:type="dxa"/>
            <w:vAlign w:val="center"/>
          </w:tcPr>
          <w:p>
            <w:pPr>
              <w:jc w:val="center"/>
              <w:rPr>
                <w:rFonts w:hint="eastAsia" w:ascii="宋体" w:hAnsi="宋体" w:eastAsia="宋体" w:cs="宋体"/>
                <w:lang w:val="en-US" w:eastAsia="zh-CN"/>
              </w:rPr>
            </w:pPr>
          </w:p>
        </w:tc>
        <w:tc>
          <w:tcPr>
            <w:tcW w:w="2014" w:type="dxa"/>
            <w:vAlign w:val="center"/>
          </w:tcPr>
          <w:p>
            <w:pPr>
              <w:jc w:val="center"/>
              <w:rPr>
                <w:rFonts w:hint="default" w:ascii="宋体" w:hAnsi="宋体" w:eastAsia="宋体" w:cs="宋体"/>
                <w:lang w:val="en-US" w:eastAsia="zh-CN"/>
              </w:rPr>
            </w:pPr>
          </w:p>
        </w:tc>
        <w:tc>
          <w:tcPr>
            <w:tcW w:w="1981" w:type="dxa"/>
            <w:tcBorders>
              <w:left w:val="single" w:color="000000" w:sz="4" w:space="0"/>
            </w:tcBorders>
          </w:tcPr>
          <w:p>
            <w:pPr>
              <w:rPr>
                <w:rFonts w:ascii="Arial"/>
              </w:rPr>
            </w:pPr>
          </w:p>
        </w:tc>
        <w:tc>
          <w:tcPr>
            <w:tcW w:w="256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5</w:t>
            </w:r>
          </w:p>
        </w:tc>
        <w:tc>
          <w:tcPr>
            <w:tcW w:w="2768"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工程施工</w:t>
            </w:r>
          </w:p>
        </w:tc>
        <w:tc>
          <w:tcPr>
            <w:tcW w:w="2175" w:type="dxa"/>
          </w:tcPr>
          <w:p>
            <w:pPr>
              <w:jc w:val="center"/>
              <w:rPr>
                <w:rFonts w:hint="eastAsia" w:ascii="宋体" w:hAnsi="宋体" w:eastAsia="宋体" w:cs="宋体"/>
              </w:rPr>
            </w:pPr>
          </w:p>
        </w:tc>
        <w:tc>
          <w:tcPr>
            <w:tcW w:w="1474" w:type="dxa"/>
            <w:vAlign w:val="center"/>
          </w:tcPr>
          <w:p>
            <w:pPr>
              <w:jc w:val="center"/>
              <w:rPr>
                <w:rFonts w:hint="eastAsia" w:ascii="宋体" w:hAnsi="宋体" w:eastAsia="宋体" w:cs="宋体"/>
                <w:lang w:val="en-US" w:eastAsia="zh-CN"/>
              </w:rPr>
            </w:pPr>
          </w:p>
        </w:tc>
        <w:tc>
          <w:tcPr>
            <w:tcW w:w="2014" w:type="dxa"/>
            <w:vAlign w:val="center"/>
          </w:tcPr>
          <w:p>
            <w:pPr>
              <w:jc w:val="center"/>
              <w:rPr>
                <w:rFonts w:hint="default" w:ascii="宋体" w:hAnsi="宋体" w:eastAsia="宋体" w:cs="宋体"/>
                <w:lang w:val="en-US" w:eastAsia="zh-CN"/>
              </w:rPr>
            </w:pPr>
          </w:p>
        </w:tc>
        <w:tc>
          <w:tcPr>
            <w:tcW w:w="1981" w:type="dxa"/>
            <w:tcBorders>
              <w:left w:val="single" w:color="000000" w:sz="4" w:space="0"/>
            </w:tcBorders>
          </w:tcPr>
          <w:p>
            <w:pPr>
              <w:rPr>
                <w:rFonts w:ascii="Arial"/>
              </w:rPr>
            </w:pPr>
          </w:p>
        </w:tc>
        <w:tc>
          <w:tcPr>
            <w:tcW w:w="256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3" w:hRule="atLeast"/>
        </w:trPr>
        <w:tc>
          <w:tcPr>
            <w:tcW w:w="74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768" w:type="dxa"/>
          </w:tcPr>
          <w:p>
            <w:pPr>
              <w:rPr>
                <w:rFonts w:ascii="Arial"/>
              </w:rPr>
            </w:pPr>
            <w:r>
              <w:rPr>
                <w:rFonts w:hint="eastAsia" w:ascii="宋体" w:hAnsi="宋体" w:eastAsia="宋体" w:cs="宋体"/>
              </w:rPr>
              <w:t>以上投标设备不足之处请往下添加序号自行补充</w:t>
            </w:r>
          </w:p>
        </w:tc>
        <w:tc>
          <w:tcPr>
            <w:tcW w:w="2175" w:type="dxa"/>
          </w:tcPr>
          <w:p>
            <w:pPr>
              <w:rPr>
                <w:rFonts w:ascii="Arial"/>
              </w:rPr>
            </w:pPr>
          </w:p>
        </w:tc>
        <w:tc>
          <w:tcPr>
            <w:tcW w:w="1474" w:type="dxa"/>
          </w:tcPr>
          <w:p>
            <w:pPr>
              <w:rPr>
                <w:rFonts w:ascii="Arial"/>
              </w:rPr>
            </w:pPr>
          </w:p>
        </w:tc>
        <w:tc>
          <w:tcPr>
            <w:tcW w:w="2014" w:type="dxa"/>
          </w:tcPr>
          <w:p>
            <w:pPr>
              <w:rPr>
                <w:rFonts w:ascii="Arial"/>
              </w:rPr>
            </w:pPr>
          </w:p>
        </w:tc>
        <w:tc>
          <w:tcPr>
            <w:tcW w:w="1981" w:type="dxa"/>
            <w:tcBorders>
              <w:left w:val="single" w:color="000000" w:sz="4" w:space="0"/>
            </w:tcBorders>
          </w:tcPr>
          <w:p>
            <w:pPr>
              <w:rPr>
                <w:rFonts w:ascii="Arial"/>
              </w:rPr>
            </w:pPr>
          </w:p>
        </w:tc>
        <w:tc>
          <w:tcPr>
            <w:tcW w:w="2568"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rPr>
          <w:rFonts w:hint="default" w:eastAsia="宋体"/>
          <w:lang w:val="en-US" w:eastAsia="zh-CN"/>
        </w:rPr>
        <w:sectPr>
          <w:footerReference r:id="rId21"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20</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新增X型臂螺栓拧紧工具采购项目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20</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w:t>
      </w:r>
      <w:r>
        <w:rPr>
          <w:rFonts w:hint="eastAsia" w:ascii="宋体" w:hAnsi="宋体" w:eastAsia="宋体" w:cs="宋体"/>
          <w:b/>
          <w:bCs/>
          <w:kern w:val="0"/>
          <w:sz w:val="24"/>
          <w:szCs w:val="20"/>
          <w:highlight w:val="yellow"/>
          <w:u w:val="single"/>
        </w:rPr>
        <w:t>一览表最终的所有业绩合同总额汇总必填，此项很重要，数据将影响现场评标专家组对投标单位的业绩考评。</w:t>
      </w:r>
      <w:r>
        <w:rPr>
          <w:rFonts w:hint="eastAsia" w:ascii="宋体" w:hAnsi="宋体" w:eastAsia="宋体" w:cs="宋体"/>
          <w:kern w:val="0"/>
          <w:sz w:val="24"/>
          <w:szCs w:val="20"/>
        </w:rPr>
        <w:t>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b/>
          <w:bCs/>
          <w:sz w:val="24"/>
          <w:szCs w:val="24"/>
          <w:u w:val="single"/>
          <w:lang w:val="en-US" w:eastAsia="zh-CN"/>
        </w:rPr>
        <w:t>新增X型臂螺栓拧紧工具采购项目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商用车</w:t>
      </w:r>
      <w:r>
        <w:rPr>
          <w:rFonts w:hint="eastAsia" w:ascii="宋体" w:hAnsi="宋体" w:eastAsia="宋体" w:cs="Times New Roman"/>
          <w:b/>
          <w:bCs/>
          <w:sz w:val="24"/>
          <w:szCs w:val="20"/>
        </w:rPr>
        <w:t>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新增X型臂螺栓拧紧工具采购项目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bCs/>
                <w:szCs w:val="20"/>
                <w:lang w:val="en-US" w:eastAsia="zh-CN"/>
              </w:rPr>
            </w:pPr>
            <w:r>
              <w:rPr>
                <w:rFonts w:hint="eastAsia" w:ascii="宋体" w:hAnsi="宋体" w:eastAsia="宋体" w:cs="宋体"/>
                <w:b/>
                <w:bCs/>
                <w:sz w:val="24"/>
                <w:szCs w:val="24"/>
                <w:u w:val="single"/>
                <w:lang w:val="en-US" w:eastAsia="zh-CN"/>
              </w:rPr>
              <w:t>X型臂螺栓拧紧工具</w:t>
            </w:r>
            <w:r>
              <w:rPr>
                <w:rFonts w:hint="eastAsia" w:ascii="宋体" w:hAnsi="宋体" w:eastAsia="宋体" w:cs="宋体"/>
                <w:b/>
                <w:bCs/>
                <w:sz w:val="24"/>
                <w:szCs w:val="24"/>
                <w:highlight w:val="none"/>
                <w:u w:val="single"/>
              </w:rPr>
              <w:t>采购项目</w:t>
            </w:r>
          </w:p>
        </w:tc>
        <w:tc>
          <w:tcPr>
            <w:tcW w:w="848"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val="en-US" w:eastAsia="zh-CN"/>
              </w:rPr>
              <w:t>1批</w:t>
            </w:r>
          </w:p>
        </w:tc>
        <w:tc>
          <w:tcPr>
            <w:tcW w:w="2270" w:type="dxa"/>
            <w:vAlign w:val="center"/>
          </w:tcPr>
          <w:p>
            <w:pPr>
              <w:jc w:val="left"/>
              <w:rPr>
                <w:rFonts w:hint="eastAsia" w:ascii="等线" w:hAnsi="等线" w:eastAsia="等线" w:cs="Times New Roman"/>
                <w:b/>
                <w:i/>
                <w:iCs/>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u w:val="single"/>
                <w:lang w:val="en-US" w:eastAsia="zh-CN"/>
              </w:rPr>
              <w:t xml:space="preserve">   </w:t>
            </w:r>
            <w:r>
              <w:rPr>
                <w:rFonts w:hint="eastAsia" w:ascii="等线" w:hAnsi="等线" w:eastAsia="等线" w:cs="Times New Roman"/>
                <w:b/>
                <w:i/>
                <w:iCs/>
                <w:szCs w:val="20"/>
                <w:u w:val="single"/>
                <w:lang w:val="en-US" w:eastAsia="zh-CN"/>
              </w:rPr>
              <w:t xml:space="preserve"> </w:t>
            </w:r>
          </w:p>
          <w:p>
            <w:pPr>
              <w:jc w:val="left"/>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77"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1.1</w:t>
            </w:r>
          </w:p>
        </w:tc>
        <w:tc>
          <w:tcPr>
            <w:tcW w:w="1518" w:type="dxa"/>
            <w:vAlign w:val="center"/>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单轴定值拧紧工具</w:t>
            </w:r>
          </w:p>
        </w:tc>
        <w:tc>
          <w:tcPr>
            <w:tcW w:w="84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2套</w:t>
            </w:r>
          </w:p>
        </w:tc>
        <w:tc>
          <w:tcPr>
            <w:tcW w:w="2270" w:type="dxa"/>
            <w:vAlign w:val="center"/>
          </w:tcPr>
          <w:p>
            <w:pPr>
              <w:jc w:val="left"/>
              <w:rPr>
                <w:rFonts w:hint="eastAsia" w:ascii="等线" w:hAnsi="等线" w:eastAsia="等线" w:cs="Times New Roman"/>
                <w:b/>
                <w:szCs w:val="20"/>
              </w:rPr>
            </w:pPr>
            <w:r>
              <w:rPr>
                <w:rFonts w:hint="eastAsia" w:ascii="等线" w:hAnsi="等线" w:eastAsia="等线" w:cs="Times New Roman"/>
                <w:b/>
                <w:szCs w:val="20"/>
              </w:rPr>
              <w:t>含税</w:t>
            </w:r>
            <w:r>
              <w:rPr>
                <w:rFonts w:hint="eastAsia" w:ascii="等线" w:hAnsi="等线" w:eastAsia="等线" w:cs="Times New Roman"/>
                <w:b/>
                <w:szCs w:val="20"/>
                <w:lang w:val="en-US" w:eastAsia="zh-CN"/>
              </w:rPr>
              <w:t>总</w:t>
            </w:r>
            <w:r>
              <w:rPr>
                <w:rFonts w:hint="eastAsia" w:ascii="等线" w:hAnsi="等线" w:eastAsia="等线" w:cs="Times New Roman"/>
                <w:b/>
                <w:szCs w:val="20"/>
              </w:rPr>
              <w:t>价：</w:t>
            </w:r>
            <w:r>
              <w:rPr>
                <w:rFonts w:hint="eastAsia" w:ascii="等线" w:hAnsi="等线" w:eastAsia="等线" w:cs="Times New Roman"/>
                <w:b/>
                <w:szCs w:val="20"/>
                <w:u w:val="single"/>
              </w:rPr>
              <w:t xml:space="preserve">    </w:t>
            </w:r>
          </w:p>
        </w:tc>
        <w:tc>
          <w:tcPr>
            <w:tcW w:w="1100"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1243"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705"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699"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77"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1.2</w:t>
            </w:r>
          </w:p>
        </w:tc>
        <w:tc>
          <w:tcPr>
            <w:tcW w:w="1518" w:type="dxa"/>
            <w:vAlign w:val="center"/>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双轴定值拧紧工具</w:t>
            </w:r>
          </w:p>
        </w:tc>
        <w:tc>
          <w:tcPr>
            <w:tcW w:w="84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1套</w:t>
            </w:r>
          </w:p>
        </w:tc>
        <w:tc>
          <w:tcPr>
            <w:tcW w:w="2270" w:type="dxa"/>
            <w:vAlign w:val="center"/>
          </w:tcPr>
          <w:p>
            <w:pPr>
              <w:jc w:val="left"/>
              <w:rPr>
                <w:rFonts w:hint="eastAsia" w:ascii="等线" w:hAnsi="等线" w:eastAsia="等线" w:cs="Times New Roman"/>
                <w:b/>
                <w:szCs w:val="20"/>
              </w:rPr>
            </w:pPr>
            <w:r>
              <w:rPr>
                <w:rFonts w:hint="eastAsia" w:ascii="等线" w:hAnsi="等线" w:eastAsia="等线" w:cs="Times New Roman"/>
                <w:b/>
                <w:szCs w:val="20"/>
              </w:rPr>
              <w:t>含税</w:t>
            </w:r>
            <w:r>
              <w:rPr>
                <w:rFonts w:hint="eastAsia" w:ascii="等线" w:hAnsi="等线" w:eastAsia="等线" w:cs="Times New Roman"/>
                <w:b/>
                <w:szCs w:val="20"/>
                <w:lang w:val="en-US" w:eastAsia="zh-CN"/>
              </w:rPr>
              <w:t>总</w:t>
            </w:r>
            <w:r>
              <w:rPr>
                <w:rFonts w:hint="eastAsia" w:ascii="等线" w:hAnsi="等线" w:eastAsia="等线" w:cs="Times New Roman"/>
                <w:b/>
                <w:szCs w:val="20"/>
              </w:rPr>
              <w:t>价：</w:t>
            </w:r>
            <w:r>
              <w:rPr>
                <w:rFonts w:hint="eastAsia" w:ascii="等线" w:hAnsi="等线" w:eastAsia="等线" w:cs="Times New Roman"/>
                <w:b/>
                <w:szCs w:val="20"/>
                <w:u w:val="single"/>
              </w:rPr>
              <w:t xml:space="preserve">    </w:t>
            </w:r>
          </w:p>
        </w:tc>
        <w:tc>
          <w:tcPr>
            <w:tcW w:w="1100"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1243"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705"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c>
          <w:tcPr>
            <w:tcW w:w="699"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w:t>
            </w: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1"/>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9"/>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1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646"/>
        <w:gridCol w:w="1831"/>
        <w:gridCol w:w="1120"/>
        <w:gridCol w:w="1120"/>
        <w:gridCol w:w="1281"/>
        <w:gridCol w:w="1380"/>
        <w:gridCol w:w="1836"/>
        <w:gridCol w:w="3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646"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831"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hint="eastAsia"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281" w:type="dxa"/>
            <w:vAlign w:val="top"/>
          </w:tcPr>
          <w:p>
            <w:pPr>
              <w:spacing w:before="98" w:line="185" w:lineRule="auto"/>
              <w:jc w:val="center"/>
              <w:rPr>
                <w:rFonts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380" w:type="dxa"/>
            <w:tcBorders>
              <w:right w:val="single" w:color="000000" w:sz="4" w:space="0"/>
            </w:tcBorders>
          </w:tcPr>
          <w:p>
            <w:pPr>
              <w:spacing w:before="98" w:line="185"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36" w:type="dxa"/>
            <w:tcBorders>
              <w:left w:val="single" w:color="000000" w:sz="4" w:space="0"/>
            </w:tcBorders>
          </w:tcPr>
          <w:p>
            <w:pPr>
              <w:spacing w:before="100" w:line="182"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3208" w:type="dxa"/>
          </w:tcPr>
          <w:p>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64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83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28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80"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3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320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w:t>
            </w:r>
          </w:p>
        </w:tc>
        <w:tc>
          <w:tcPr>
            <w:tcW w:w="2646" w:type="dxa"/>
            <w:vAlign w:val="center"/>
          </w:tcPr>
          <w:p>
            <w:pPr>
              <w:pStyle w:val="127"/>
              <w:spacing w:beforeLines="0" w:afterLines="0"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单轴定值拧紧工具</w:t>
            </w:r>
          </w:p>
        </w:tc>
        <w:tc>
          <w:tcPr>
            <w:tcW w:w="1831" w:type="dxa"/>
            <w:vAlign w:val="center"/>
          </w:tcPr>
          <w:p>
            <w:pPr>
              <w:jc w:val="cente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套</w:t>
            </w: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w:t>
            </w: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含工装、悬挂系统、控制器、扫码枪、网络铺设等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1.1</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工装</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1.2</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悬挂系统</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1.3</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扫码枪</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1.4</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KBK横轨</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根</w:t>
            </w: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w:t>
            </w: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hint="eastAsia" w:ascii="宋体" w:hAnsi="宋体" w:eastAsia="宋体" w:cs="宋体"/>
                <w:i w:val="0"/>
                <w:iCs w:val="0"/>
                <w:color w:val="000000"/>
                <w:kern w:val="0"/>
                <w:sz w:val="22"/>
                <w:szCs w:val="22"/>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1.5</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电缆</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kern w:val="2"/>
                <w:sz w:val="24"/>
                <w:szCs w:val="24"/>
                <w:lang w:val="en-US" w:eastAsia="zh-CN" w:bidi="ar-SA"/>
              </w:rPr>
              <w:t>米</w:t>
            </w:r>
          </w:p>
        </w:tc>
        <w:tc>
          <w:tcPr>
            <w:tcW w:w="1120" w:type="dxa"/>
            <w:vAlign w:val="center"/>
          </w:tcPr>
          <w:p>
            <w:pPr>
              <w:jc w:val="center"/>
              <w:rPr>
                <w:rFonts w:hint="eastAsia" w:ascii="宋体" w:hAnsi="宋体" w:eastAsia="宋体" w:cs="宋体"/>
                <w:kern w:val="2"/>
                <w:sz w:val="21"/>
                <w:szCs w:val="22"/>
                <w:highlight w:val="none"/>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不少于15m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1.6</w:t>
            </w:r>
          </w:p>
        </w:tc>
        <w:tc>
          <w:tcPr>
            <w:tcW w:w="2646"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控制器</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highlight w:val="none"/>
                <w:lang w:val="en-US" w:eastAsia="zh-CN"/>
              </w:rPr>
            </w:pPr>
          </w:p>
        </w:tc>
        <w:tc>
          <w:tcPr>
            <w:tcW w:w="1120" w:type="dxa"/>
            <w:vAlign w:val="center"/>
          </w:tcPr>
          <w:p>
            <w:pPr>
              <w:jc w:val="center"/>
              <w:rPr>
                <w:rFonts w:hint="eastAsia" w:ascii="宋体" w:hAnsi="宋体" w:eastAsia="宋体" w:cs="宋体"/>
                <w:highlight w:val="none"/>
                <w:lang w:val="en-US" w:eastAsia="zh-CN"/>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hint="eastAsia" w:ascii="宋体" w:hAnsi="宋体" w:eastAsia="宋体" w:cs="宋体"/>
                <w:i w:val="0"/>
                <w:iCs w:val="0"/>
                <w:color w:val="000000"/>
                <w:kern w:val="0"/>
                <w:sz w:val="22"/>
                <w:szCs w:val="22"/>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双轴定值拧紧工具（变距）</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套</w:t>
            </w:r>
          </w:p>
        </w:tc>
        <w:tc>
          <w:tcPr>
            <w:tcW w:w="1120"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w:t>
            </w: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含工装、悬挂系统、控制器、扫码枪、网络铺设等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2.1</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工装</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sz w:val="24"/>
                <w:szCs w:val="24"/>
              </w:rPr>
            </w:pPr>
          </w:p>
        </w:tc>
        <w:tc>
          <w:tcPr>
            <w:tcW w:w="1120" w:type="dxa"/>
            <w:vAlign w:val="center"/>
          </w:tcPr>
          <w:p>
            <w:pPr>
              <w:pStyle w:val="127"/>
              <w:spacing w:beforeLines="0" w:afterLines="0" w:line="360" w:lineRule="auto"/>
              <w:jc w:val="center"/>
              <w:rPr>
                <w:rFonts w:hint="eastAsia" w:ascii="宋体" w:hAnsi="宋体" w:eastAsia="宋体" w:cs="宋体"/>
                <w:sz w:val="24"/>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2.2</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悬挂系统</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sz w:val="24"/>
                <w:szCs w:val="24"/>
              </w:rPr>
            </w:pPr>
          </w:p>
        </w:tc>
        <w:tc>
          <w:tcPr>
            <w:tcW w:w="1120" w:type="dxa"/>
            <w:vAlign w:val="center"/>
          </w:tcPr>
          <w:p>
            <w:pPr>
              <w:pStyle w:val="127"/>
              <w:spacing w:beforeLines="0" w:afterLines="0" w:line="360" w:lineRule="auto"/>
              <w:jc w:val="center"/>
              <w:rPr>
                <w:rFonts w:hint="eastAsia" w:ascii="宋体" w:hAnsi="宋体" w:eastAsia="宋体" w:cs="宋体"/>
                <w:sz w:val="24"/>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2.3</w:t>
            </w:r>
          </w:p>
        </w:tc>
        <w:tc>
          <w:tcPr>
            <w:tcW w:w="2646" w:type="dxa"/>
            <w:vAlign w:val="center"/>
          </w:tcPr>
          <w:p>
            <w:pPr>
              <w:pStyle w:val="127"/>
              <w:spacing w:beforeLines="0" w:afterLines="0" w:line="360" w:lineRule="auto"/>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扫码枪</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sz w:val="24"/>
                <w:szCs w:val="24"/>
              </w:rPr>
            </w:pPr>
          </w:p>
        </w:tc>
        <w:tc>
          <w:tcPr>
            <w:tcW w:w="1120" w:type="dxa"/>
            <w:vAlign w:val="center"/>
          </w:tcPr>
          <w:p>
            <w:pPr>
              <w:pStyle w:val="127"/>
              <w:spacing w:beforeLines="0" w:afterLines="0" w:line="360" w:lineRule="auto"/>
              <w:jc w:val="center"/>
              <w:rPr>
                <w:rFonts w:hint="eastAsia" w:ascii="宋体" w:hAnsi="宋体" w:eastAsia="宋体" w:cs="宋体"/>
                <w:sz w:val="24"/>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2.4</w:t>
            </w:r>
          </w:p>
        </w:tc>
        <w:tc>
          <w:tcPr>
            <w:tcW w:w="2646"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井字形轨道</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sz w:val="24"/>
                <w:szCs w:val="24"/>
              </w:rPr>
            </w:pPr>
          </w:p>
        </w:tc>
        <w:tc>
          <w:tcPr>
            <w:tcW w:w="1120" w:type="dxa"/>
            <w:vAlign w:val="center"/>
          </w:tcPr>
          <w:p>
            <w:pPr>
              <w:pStyle w:val="127"/>
              <w:spacing w:beforeLines="0" w:afterLines="0" w:line="360" w:lineRule="auto"/>
              <w:jc w:val="center"/>
              <w:rPr>
                <w:rFonts w:hint="eastAsia" w:ascii="宋体" w:hAnsi="宋体" w:eastAsia="宋体" w:cs="宋体"/>
                <w:sz w:val="24"/>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铝轨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2.5</w:t>
            </w:r>
          </w:p>
        </w:tc>
        <w:tc>
          <w:tcPr>
            <w:tcW w:w="2646" w:type="dxa"/>
            <w:vAlign w:val="center"/>
          </w:tcPr>
          <w:p>
            <w:pPr>
              <w:pStyle w:val="127"/>
              <w:spacing w:beforeLines="0" w:afterLines="0"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电缆</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米</w:t>
            </w:r>
          </w:p>
        </w:tc>
        <w:tc>
          <w:tcPr>
            <w:tcW w:w="1120"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vAlign w:val="top"/>
          </w:tcPr>
          <w:p>
            <w:pPr>
              <w:rPr>
                <w:rFonts w:ascii="Arial" w:hAnsiTheme="minorHAnsi" w:eastAsiaTheme="minorEastAsia" w:cstheme="minorBidi"/>
                <w:kern w:val="2"/>
                <w:sz w:val="21"/>
                <w:szCs w:val="22"/>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不少于25m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2.6</w:t>
            </w:r>
          </w:p>
        </w:tc>
        <w:tc>
          <w:tcPr>
            <w:tcW w:w="2646" w:type="dxa"/>
            <w:vAlign w:val="center"/>
          </w:tcPr>
          <w:p>
            <w:pPr>
              <w:pStyle w:val="127"/>
              <w:spacing w:beforeLines="0" w:afterLines="0" w:line="360" w:lineRule="auto"/>
              <w:jc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控制器</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3</w:t>
            </w:r>
          </w:p>
        </w:tc>
        <w:tc>
          <w:tcPr>
            <w:tcW w:w="2646" w:type="dxa"/>
            <w:vAlign w:val="center"/>
          </w:tcPr>
          <w:p>
            <w:pPr>
              <w:pStyle w:val="127"/>
              <w:spacing w:beforeLines="0" w:afterLines="0"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网络铺设</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4</w:t>
            </w:r>
          </w:p>
        </w:tc>
        <w:tc>
          <w:tcPr>
            <w:tcW w:w="2646"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其他材料</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7"/>
              <w:spacing w:beforeLines="0" w:afterLines="0" w:line="360" w:lineRule="auto"/>
              <w:jc w:val="center"/>
              <w:rPr>
                <w:rFonts w:hint="default" w:ascii="宋体" w:hAnsi="宋体" w:eastAsia="宋体" w:cs="宋体"/>
                <w:kern w:val="2"/>
                <w:sz w:val="24"/>
                <w:szCs w:val="24"/>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646" w:type="dxa"/>
            <w:vAlign w:val="center"/>
          </w:tcPr>
          <w:p>
            <w:pPr>
              <w:pStyle w:val="127"/>
              <w:spacing w:beforeLines="0" w:afterLines="0"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lang w:val="en-US" w:eastAsia="zh-CN"/>
              </w:rPr>
              <w:t>工程施工</w:t>
            </w:r>
          </w:p>
        </w:tc>
        <w:tc>
          <w:tcPr>
            <w:tcW w:w="1831" w:type="dxa"/>
            <w:vAlign w:val="center"/>
          </w:tcPr>
          <w:p>
            <w:pPr>
              <w:jc w:val="center"/>
              <w:rPr>
                <w:rFonts w:hint="eastAsia" w:ascii="宋体" w:hAnsi="宋体" w:eastAsia="宋体" w:cs="宋体"/>
                <w:sz w:val="24"/>
                <w:szCs w:val="24"/>
                <w:lang w:val="en-US" w:eastAsia="zh-CN"/>
              </w:rPr>
            </w:pPr>
          </w:p>
        </w:tc>
        <w:tc>
          <w:tcPr>
            <w:tcW w:w="1120" w:type="dxa"/>
            <w:vAlign w:val="center"/>
          </w:tcPr>
          <w:p>
            <w:pPr>
              <w:spacing w:line="36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7"/>
              <w:spacing w:beforeLines="0" w:afterLines="0" w:line="360" w:lineRule="auto"/>
              <w:jc w:val="center"/>
              <w:rPr>
                <w:rFonts w:hint="eastAsia" w:ascii="宋体" w:hAnsi="宋体" w:eastAsia="宋体" w:cs="宋体"/>
                <w:kern w:val="2"/>
                <w:sz w:val="24"/>
                <w:szCs w:val="24"/>
                <w:lang w:val="en-US" w:eastAsia="zh-CN" w:bidi="ar-SA"/>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646" w:type="dxa"/>
          </w:tcPr>
          <w:p>
            <w:pPr>
              <w:rPr>
                <w:rFonts w:ascii="Arial"/>
              </w:rPr>
            </w:pPr>
            <w:r>
              <w:rPr>
                <w:rFonts w:hint="eastAsia" w:ascii="宋体" w:hAnsi="宋体" w:eastAsia="宋体" w:cs="宋体"/>
              </w:rPr>
              <w:t>以上投标设备不足之处请往下添加序号自行补充</w:t>
            </w:r>
          </w:p>
        </w:tc>
        <w:tc>
          <w:tcPr>
            <w:tcW w:w="1831" w:type="dxa"/>
          </w:tcPr>
          <w:p>
            <w:pPr>
              <w:rPr>
                <w:rFonts w:ascii="Arial"/>
              </w:rPr>
            </w:pPr>
          </w:p>
        </w:tc>
        <w:tc>
          <w:tcPr>
            <w:tcW w:w="1120" w:type="dxa"/>
          </w:tcPr>
          <w:p>
            <w:pPr>
              <w:rPr>
                <w:rFonts w:ascii="Arial"/>
              </w:rPr>
            </w:pPr>
          </w:p>
        </w:tc>
        <w:tc>
          <w:tcPr>
            <w:tcW w:w="1120" w:type="dxa"/>
          </w:tcPr>
          <w:p>
            <w:pPr>
              <w:rPr>
                <w:rFonts w:ascii="Arial"/>
              </w:rPr>
            </w:pPr>
          </w:p>
        </w:tc>
        <w:tc>
          <w:tcPr>
            <w:tcW w:w="1281" w:type="dxa"/>
          </w:tcPr>
          <w:p>
            <w:pPr>
              <w:rPr>
                <w:rFonts w:ascii="Arial"/>
              </w:rPr>
            </w:pPr>
          </w:p>
        </w:tc>
        <w:tc>
          <w:tcPr>
            <w:tcW w:w="1380" w:type="dxa"/>
            <w:tcBorders>
              <w:right w:val="single" w:color="000000" w:sz="4" w:space="0"/>
            </w:tcBorders>
          </w:tcPr>
          <w:p>
            <w:pPr>
              <w:rPr>
                <w:rFonts w:ascii="Arial"/>
              </w:rPr>
            </w:pPr>
          </w:p>
        </w:tc>
        <w:tc>
          <w:tcPr>
            <w:tcW w:w="1836" w:type="dxa"/>
            <w:tcBorders>
              <w:left w:val="single" w:color="000000" w:sz="4" w:space="0"/>
            </w:tcBorders>
          </w:tcPr>
          <w:p>
            <w:pPr>
              <w:rPr>
                <w:rFonts w:ascii="Arial"/>
              </w:rPr>
            </w:pPr>
          </w:p>
        </w:tc>
        <w:tc>
          <w:tcPr>
            <w:tcW w:w="320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050" w:type="dxa"/>
            <w:gridSpan w:val="7"/>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836" w:type="dxa"/>
            <w:tcBorders>
              <w:left w:val="single" w:color="000000" w:sz="4" w:space="0"/>
            </w:tcBorders>
          </w:tcPr>
          <w:p>
            <w:pPr>
              <w:rPr>
                <w:rFonts w:ascii="Arial"/>
              </w:rPr>
            </w:pPr>
          </w:p>
        </w:tc>
        <w:tc>
          <w:tcPr>
            <w:tcW w:w="3208"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10"/>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10"/>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lang w:eastAsia="zh-CN"/>
              </w:rPr>
            </w:pPr>
            <w:r>
              <w:rPr>
                <w:rFonts w:hint="eastAsia" w:ascii="宋体" w:hAnsi="宋体" w:eastAsia="宋体" w:cs="宋体"/>
                <w:spacing w:val="-2"/>
                <w:szCs w:val="21"/>
                <w:highlight w:val="yellow"/>
                <w:lang w:val="en-US" w:eastAsia="zh-CN"/>
              </w:rPr>
              <w:t>技术培训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625" w:type="dxa"/>
          </w:tcPr>
          <w:p>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lang w:val="en-US" w:eastAsia="zh-CN"/>
              </w:rPr>
              <w:t>纸质版</w:t>
            </w:r>
            <w:r>
              <w:rPr>
                <w:rFonts w:hint="eastAsia" w:ascii="宋体" w:hAnsi="宋体" w:eastAsia="宋体" w:cs="宋体"/>
                <w:sz w:val="24"/>
              </w:rPr>
              <w:t>设备资料</w:t>
            </w:r>
            <w:r>
              <w:rPr>
                <w:rFonts w:hint="eastAsia" w:ascii="宋体" w:hAnsi="宋体" w:eastAsia="宋体" w:cs="宋体"/>
                <w:sz w:val="24"/>
                <w:lang w:eastAsia="zh-CN"/>
              </w:rPr>
              <w:t>（</w:t>
            </w:r>
            <w:r>
              <w:rPr>
                <w:rFonts w:hint="eastAsia" w:ascii="宋体" w:hAnsi="宋体" w:eastAsia="宋体" w:cs="宋体"/>
                <w:sz w:val="24"/>
              </w:rPr>
              <w:t>电子版WORD或PDF版</w:t>
            </w:r>
            <w:r>
              <w:rPr>
                <w:rFonts w:hint="eastAsia" w:ascii="宋体" w:hAnsi="宋体" w:eastAsia="宋体" w:cs="宋体"/>
                <w:sz w:val="24"/>
                <w:lang w:val="en-US" w:eastAsia="zh-CN"/>
              </w:rPr>
              <w:t>一份</w:t>
            </w:r>
            <w:r>
              <w:rPr>
                <w:rFonts w:hint="eastAsia" w:ascii="宋体" w:hAnsi="宋体" w:eastAsia="宋体" w:cs="宋体"/>
                <w:sz w:val="24"/>
                <w:lang w:eastAsia="zh-CN"/>
              </w:rPr>
              <w:t>）</w:t>
            </w:r>
          </w:p>
        </w:tc>
        <w:tc>
          <w:tcPr>
            <w:tcW w:w="1126" w:type="dxa"/>
          </w:tcPr>
          <w:p>
            <w:pPr>
              <w:spacing w:before="266" w:line="221" w:lineRule="auto"/>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套</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3</w:t>
            </w:r>
          </w:p>
        </w:tc>
        <w:tc>
          <w:tcPr>
            <w:tcW w:w="2449" w:type="dxa"/>
          </w:tcPr>
          <w:p>
            <w:pPr>
              <w:rPr>
                <w:rFonts w:ascii="Arial"/>
              </w:rPr>
            </w:pPr>
          </w:p>
        </w:tc>
        <w:tc>
          <w:tcPr>
            <w:tcW w:w="3328" w:type="dxa"/>
          </w:tcPr>
          <w:p>
            <w:pPr>
              <w:spacing w:before="266" w:line="221" w:lineRule="auto"/>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含</w:t>
            </w:r>
            <w:r>
              <w:rPr>
                <w:rFonts w:hint="eastAsia" w:ascii="宋体" w:hAnsi="宋体" w:eastAsia="宋体" w:cs="宋体"/>
                <w:sz w:val="24"/>
              </w:rPr>
              <w:t>设备使用说明书</w:t>
            </w:r>
            <w:r>
              <w:rPr>
                <w:rFonts w:hint="eastAsia" w:ascii="宋体" w:hAnsi="宋体" w:eastAsia="宋体" w:cs="宋体"/>
                <w:sz w:val="24"/>
                <w:lang w:eastAsia="zh-CN"/>
              </w:rPr>
              <w:t>、</w:t>
            </w:r>
            <w:r>
              <w:rPr>
                <w:rFonts w:hint="eastAsia" w:ascii="宋体" w:hAnsi="宋体" w:eastAsia="宋体" w:cs="宋体"/>
                <w:sz w:val="24"/>
              </w:rPr>
              <w:t>系统软硬件清单</w:t>
            </w:r>
            <w:r>
              <w:rPr>
                <w:rFonts w:hint="eastAsia" w:ascii="宋体" w:hAnsi="宋体" w:eastAsia="宋体" w:cs="宋体"/>
                <w:sz w:val="24"/>
                <w:lang w:eastAsia="zh-CN"/>
              </w:rPr>
              <w:t>、</w:t>
            </w:r>
            <w:r>
              <w:rPr>
                <w:rFonts w:hint="eastAsia" w:ascii="宋体" w:hAnsi="宋体" w:eastAsia="宋体" w:cs="宋体"/>
                <w:sz w:val="24"/>
              </w:rPr>
              <w:t>技术培训资料</w:t>
            </w:r>
            <w:r>
              <w:rPr>
                <w:rFonts w:hint="eastAsia" w:ascii="宋体" w:hAnsi="宋体" w:eastAsia="宋体" w:cs="宋体"/>
                <w:sz w:val="24"/>
                <w:lang w:eastAsia="zh-CN"/>
              </w:rPr>
              <w:t>、</w:t>
            </w:r>
            <w:r>
              <w:rPr>
                <w:rFonts w:hint="eastAsia" w:ascii="宋体" w:hAnsi="宋体" w:eastAsia="宋体" w:cs="宋体"/>
                <w:sz w:val="24"/>
              </w:rPr>
              <w:t>测试报告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1"/>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10"/>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pPr>
              <w:spacing w:before="101" w:line="185" w:lineRule="auto"/>
              <w:ind w:left="3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default" w:ascii="宋体" w:hAnsi="宋体" w:eastAsia="宋体" w:cs="宋体"/>
                <w:szCs w:val="21"/>
                <w:lang w:val="en-US"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10"/>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080" w:type="dxa"/>
          </w:tcPr>
          <w:p>
            <w:pPr>
              <w:jc w:val="center"/>
              <w:rPr>
                <w:rFonts w:ascii="宋体" w:hAnsi="宋体" w:eastAsia="宋体" w:cs="宋体"/>
                <w:spacing w:val="-4"/>
                <w:szCs w:val="21"/>
              </w:rPr>
            </w:pPr>
            <w:r>
              <w:rPr>
                <w:rFonts w:hint="eastAsia" w:ascii="宋体" w:hAnsi="宋体" w:eastAsia="宋体" w:cs="宋体"/>
                <w:spacing w:val="-4"/>
                <w:szCs w:val="21"/>
              </w:rPr>
              <w:t>1</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080" w:type="dxa"/>
          </w:tcPr>
          <w:p>
            <w:pPr>
              <w:jc w:val="center"/>
              <w:rPr>
                <w:rFonts w:ascii="宋体" w:hAnsi="宋体" w:eastAsia="宋体" w:cs="宋体"/>
                <w:spacing w:val="-4"/>
                <w:szCs w:val="21"/>
              </w:rPr>
            </w:pPr>
            <w:r>
              <w:rPr>
                <w:rFonts w:hint="eastAsia" w:ascii="宋体" w:hAnsi="宋体" w:eastAsia="宋体" w:cs="宋体"/>
                <w:spacing w:val="-4"/>
                <w:szCs w:val="21"/>
              </w:rPr>
              <w:t>2</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080" w:type="dxa"/>
          </w:tcPr>
          <w:p>
            <w:pPr>
              <w:jc w:val="center"/>
              <w:rPr>
                <w:rFonts w:ascii="宋体" w:hAnsi="宋体" w:eastAsia="宋体" w:cs="宋体"/>
                <w:spacing w:val="-4"/>
                <w:szCs w:val="21"/>
              </w:rPr>
            </w:pPr>
            <w:r>
              <w:rPr>
                <w:rFonts w:hint="eastAsia" w:ascii="宋体" w:hAnsi="宋体" w:eastAsia="宋体" w:cs="宋体"/>
                <w:spacing w:val="-4"/>
                <w:szCs w:val="21"/>
              </w:rPr>
              <w:t>3</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080" w:type="dxa"/>
          </w:tcPr>
          <w:p>
            <w:pPr>
              <w:jc w:val="center"/>
            </w:pPr>
            <w:r>
              <w:rPr>
                <w:rFonts w:hint="eastAsia" w:ascii="宋体" w:hAnsi="宋体" w:eastAsia="宋体" w:cs="宋体"/>
                <w:spacing w:val="-4"/>
                <w:szCs w:val="21"/>
              </w:rPr>
              <w:t>4</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val="en-US" w:eastAsia="zh-CN"/>
        </w:rPr>
        <w:t>新增X型臂螺栓拧紧工具采购项目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1"/>
        <w:rPr>
          <w:rFonts w:hAnsi="宋体" w:eastAsia="宋体" w:cs="宋体"/>
          <w:sz w:val="24"/>
          <w:szCs w:val="24"/>
        </w:rPr>
      </w:pPr>
    </w:p>
    <w:p>
      <w:pPr>
        <w:pStyle w:val="21"/>
        <w:rPr>
          <w:rFonts w:hAnsi="宋体" w:eastAsia="宋体" w:cs="宋体"/>
          <w:sz w:val="24"/>
          <w:szCs w:val="24"/>
        </w:rPr>
      </w:pP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1"/>
        <w:rPr>
          <w:rFonts w:hAnsi="宋体" w:eastAsia="宋体" w:cs="宋体"/>
          <w:sz w:val="24"/>
          <w:szCs w:val="24"/>
        </w:rPr>
        <w:sectPr>
          <w:footerReference r:id="rId29"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val="en-US" w:eastAsia="zh-CN"/>
        </w:rPr>
        <w:t>新增X型臂螺栓拧紧工具采购项目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商用车</w:t>
      </w:r>
      <w:r>
        <w:rPr>
          <w:rFonts w:hint="eastAsia" w:ascii="宋体" w:hAnsi="宋体" w:eastAsia="宋体" w:cs="Times New Roman"/>
          <w:b/>
          <w:bCs/>
          <w:sz w:val="24"/>
          <w:szCs w:val="20"/>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lang w:val="en-US" w:eastAsia="zh-CN"/>
              </w:rPr>
              <w:t>新增X型臂螺栓拧紧工具采购项目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8"/>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650"/>
        <w:gridCol w:w="561"/>
        <w:gridCol w:w="1411"/>
        <w:gridCol w:w="959"/>
        <w:gridCol w:w="10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4"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219"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189"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475"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23"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538"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4" w:type="pct"/>
            <w:vMerge w:val="restart"/>
            <w:vAlign w:val="center"/>
          </w:tcPr>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219" w:type="pct"/>
            <w:vAlign w:val="center"/>
          </w:tcPr>
          <w:p>
            <w:pPr>
              <w:tabs>
                <w:tab w:val="left" w:pos="13965"/>
              </w:tabs>
              <w:spacing w:line="240" w:lineRule="auto"/>
              <w:jc w:val="center"/>
              <w:rPr>
                <w:rFonts w:ascii="宋体" w:hAnsi="宋体" w:eastAsia="宋体" w:cs="宋体"/>
                <w:sz w:val="18"/>
                <w:szCs w:val="18"/>
              </w:rPr>
            </w:pPr>
            <w:r>
              <w:rPr>
                <w:rFonts w:hint="eastAsia" w:ascii="宋体" w:hAnsi="宋体" w:eastAsia="宋体" w:cs="宋体"/>
                <w:sz w:val="18"/>
                <w:szCs w:val="18"/>
              </w:rPr>
              <w:t>业绩</w:t>
            </w:r>
          </w:p>
        </w:tc>
        <w:tc>
          <w:tcPr>
            <w:tcW w:w="189" w:type="pct"/>
            <w:vAlign w:val="center"/>
          </w:tcPr>
          <w:p>
            <w:pPr>
              <w:tabs>
                <w:tab w:val="left" w:pos="13965"/>
              </w:tabs>
              <w:spacing w:line="240" w:lineRule="auto"/>
              <w:jc w:val="center"/>
              <w:rPr>
                <w:rFonts w:ascii="宋体" w:hAnsi="宋体" w:eastAsia="宋体" w:cs="宋体"/>
                <w:sz w:val="18"/>
                <w:szCs w:val="18"/>
              </w:rPr>
            </w:pPr>
            <w:r>
              <w:rPr>
                <w:rFonts w:hint="eastAsia" w:ascii="宋体" w:hAnsi="宋体" w:eastAsia="宋体" w:cs="宋体"/>
                <w:sz w:val="18"/>
                <w:szCs w:val="18"/>
              </w:rPr>
              <w:t>1</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技术参数</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40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产品技术</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2</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核心产品</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3</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关键部件技术支持资料</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答疑</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4</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现场答疑</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技术偏离</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5</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技术偏离</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12</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售后服务</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技术培训方案</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38"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7</w:t>
            </w:r>
          </w:p>
        </w:tc>
        <w:tc>
          <w:tcPr>
            <w:tcW w:w="475" w:type="pct"/>
            <w:shd w:val="clear" w:color="auto" w:fill="auto"/>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专业技术力量</w:t>
            </w:r>
          </w:p>
        </w:tc>
        <w:tc>
          <w:tcPr>
            <w:tcW w:w="323" w:type="pct"/>
            <w:shd w:val="clear" w:color="auto" w:fill="auto"/>
            <w:vAlign w:val="center"/>
          </w:tcPr>
          <w:p>
            <w:pPr>
              <w:spacing w:line="240" w:lineRule="auto"/>
              <w:jc w:val="center"/>
              <w:rPr>
                <w:rFonts w:ascii="宋体" w:hAnsi="宋体" w:eastAsia="宋体" w:cs="宋体"/>
                <w:sz w:val="18"/>
                <w:szCs w:val="18"/>
              </w:rPr>
            </w:pPr>
            <w:r>
              <w:rPr>
                <w:rFonts w:hint="eastAsia" w:ascii="宋体" w:hAnsi="宋体" w:eastAsia="宋体" w:cs="宋体"/>
                <w:bCs/>
                <w:sz w:val="18"/>
                <w:szCs w:val="18"/>
              </w:rPr>
              <w:t>6</w:t>
            </w:r>
          </w:p>
        </w:tc>
        <w:tc>
          <w:tcPr>
            <w:tcW w:w="3538" w:type="pct"/>
            <w:shd w:val="clear" w:color="auto" w:fill="auto"/>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8</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38"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pStyle w:val="21"/>
        <w:outlineLvl w:val="2"/>
        <w:rPr>
          <w:rFonts w:hAnsi="宋体" w:eastAsia="宋体" w:cs="宋体"/>
          <w:b/>
          <w:bCs/>
          <w:color w:val="000000"/>
          <w:sz w:val="24"/>
          <w:szCs w:val="24"/>
        </w:rPr>
        <w:sectPr>
          <w:footerReference r:id="rId30" w:type="default"/>
          <w:pgSz w:w="16838" w:h="11906" w:orient="landscape"/>
          <w:pgMar w:top="1417" w:right="1588" w:bottom="1417" w:left="1134" w:header="851" w:footer="992" w:gutter="0"/>
          <w:cols w:space="0" w:num="1"/>
          <w:titlePg/>
          <w:docGrid w:type="lines" w:linePitch="312" w:charSpace="0"/>
        </w:sectPr>
      </w:pPr>
    </w:p>
    <w:p>
      <w:pPr>
        <w:pStyle w:val="21"/>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21"/>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pPr>
        <w:pStyle w:val="21"/>
        <w:sectPr>
          <w:pgSz w:w="11906" w:h="16838"/>
          <w:pgMar w:top="1588" w:right="1418" w:bottom="1134" w:left="1418" w:header="851" w:footer="992" w:gutter="0"/>
          <w:cols w:space="720" w:num="1"/>
          <w:titlePg/>
          <w:docGrid w:type="lines" w:linePitch="312" w:charSpace="0"/>
        </w:sectPr>
      </w:pPr>
    </w:p>
    <w:p>
      <w:pPr>
        <w:pStyle w:val="21"/>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46"/>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rPr>
        <w:t>（以下内容可能非最新版本，仅供参考，请登录系统网址后，点检查看最新版供应商手册）</w:t>
      </w:r>
    </w:p>
    <w:p>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p/>
    <w:p/>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638C7"/>
    <w:multiLevelType w:val="singleLevel"/>
    <w:tmpl w:val="830638C7"/>
    <w:lvl w:ilvl="0" w:tentative="0">
      <w:start w:val="1"/>
      <w:numFmt w:val="lowerLetter"/>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33D9017"/>
    <w:multiLevelType w:val="singleLevel"/>
    <w:tmpl w:val="033D9017"/>
    <w:lvl w:ilvl="0" w:tentative="0">
      <w:start w:val="1"/>
      <w:numFmt w:val="decimal"/>
      <w:suff w:val="nothing"/>
      <w:lvlText w:val="%1）"/>
      <w:lvlJc w:val="left"/>
    </w:lvl>
  </w:abstractNum>
  <w:abstractNum w:abstractNumId="5">
    <w:nsid w:val="1EC29BCF"/>
    <w:multiLevelType w:val="singleLevel"/>
    <w:tmpl w:val="1EC29BCF"/>
    <w:lvl w:ilvl="0" w:tentative="0">
      <w:start w:val="6"/>
      <w:numFmt w:val="decimal"/>
      <w:lvlText w:val="%1."/>
      <w:lvlJc w:val="left"/>
      <w:pPr>
        <w:tabs>
          <w:tab w:val="left" w:pos="312"/>
        </w:tabs>
      </w:p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9F4B507"/>
    <w:multiLevelType w:val="singleLevel"/>
    <w:tmpl w:val="29F4B507"/>
    <w:lvl w:ilvl="0" w:tentative="0">
      <w:start w:val="3"/>
      <w:numFmt w:val="decimal"/>
      <w:suff w:val="nothing"/>
      <w:lvlText w:val="（%1）"/>
      <w:lvlJc w:val="left"/>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8"/>
  </w:num>
  <w:num w:numId="4">
    <w:abstractNumId w:val="1"/>
  </w:num>
  <w:num w:numId="5">
    <w:abstractNumId w:val="13"/>
  </w:num>
  <w:num w:numId="6">
    <w:abstractNumId w:val="7"/>
  </w:num>
  <w:num w:numId="7">
    <w:abstractNumId w:val="3"/>
  </w:num>
  <w:num w:numId="8">
    <w:abstractNumId w:val="10"/>
  </w:num>
  <w:num w:numId="9">
    <w:abstractNumId w:val="2"/>
  </w:num>
  <w:num w:numId="10">
    <w:abstractNumId w:val="9"/>
  </w:num>
  <w:num w:numId="11">
    <w:abstractNumId w:val="6"/>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4F3D9E"/>
    <w:rsid w:val="01714809"/>
    <w:rsid w:val="01C52478"/>
    <w:rsid w:val="02184C85"/>
    <w:rsid w:val="027408EE"/>
    <w:rsid w:val="02963F39"/>
    <w:rsid w:val="02BA7274"/>
    <w:rsid w:val="03251978"/>
    <w:rsid w:val="0325718A"/>
    <w:rsid w:val="042921B6"/>
    <w:rsid w:val="049D365A"/>
    <w:rsid w:val="04AD02B8"/>
    <w:rsid w:val="04DF17D4"/>
    <w:rsid w:val="05412745"/>
    <w:rsid w:val="05491761"/>
    <w:rsid w:val="05A351AD"/>
    <w:rsid w:val="05AF1B90"/>
    <w:rsid w:val="05C234EE"/>
    <w:rsid w:val="05D95918"/>
    <w:rsid w:val="05EA741F"/>
    <w:rsid w:val="05F9748A"/>
    <w:rsid w:val="06032214"/>
    <w:rsid w:val="06160D68"/>
    <w:rsid w:val="06266F78"/>
    <w:rsid w:val="063E7B7A"/>
    <w:rsid w:val="06582413"/>
    <w:rsid w:val="067E33B8"/>
    <w:rsid w:val="069C2954"/>
    <w:rsid w:val="06E82FCB"/>
    <w:rsid w:val="06F34B95"/>
    <w:rsid w:val="07250C82"/>
    <w:rsid w:val="072C3C7A"/>
    <w:rsid w:val="073B546C"/>
    <w:rsid w:val="07571DAC"/>
    <w:rsid w:val="07710C1C"/>
    <w:rsid w:val="078A0D17"/>
    <w:rsid w:val="08000695"/>
    <w:rsid w:val="08332819"/>
    <w:rsid w:val="084C17EB"/>
    <w:rsid w:val="0865468D"/>
    <w:rsid w:val="08E64121"/>
    <w:rsid w:val="090D5816"/>
    <w:rsid w:val="0942017F"/>
    <w:rsid w:val="096313C4"/>
    <w:rsid w:val="09BA1FBB"/>
    <w:rsid w:val="09CB139F"/>
    <w:rsid w:val="0A0106F5"/>
    <w:rsid w:val="0A112AB7"/>
    <w:rsid w:val="0AD71BC7"/>
    <w:rsid w:val="0AD80AAA"/>
    <w:rsid w:val="0ADB7197"/>
    <w:rsid w:val="0AF420EB"/>
    <w:rsid w:val="0B2B2BF5"/>
    <w:rsid w:val="0B2F3908"/>
    <w:rsid w:val="0B3F6206"/>
    <w:rsid w:val="0BE12DB6"/>
    <w:rsid w:val="0C345AD1"/>
    <w:rsid w:val="0C626CE4"/>
    <w:rsid w:val="0D0C2B7B"/>
    <w:rsid w:val="0D9308F8"/>
    <w:rsid w:val="0E1A1D85"/>
    <w:rsid w:val="0E2350DD"/>
    <w:rsid w:val="0E750568"/>
    <w:rsid w:val="0EAE624A"/>
    <w:rsid w:val="0EB93A32"/>
    <w:rsid w:val="0F2D7A80"/>
    <w:rsid w:val="0F4277E5"/>
    <w:rsid w:val="0F5F09C4"/>
    <w:rsid w:val="0FA75561"/>
    <w:rsid w:val="0FB83603"/>
    <w:rsid w:val="0FCA77F1"/>
    <w:rsid w:val="0FCD5DCC"/>
    <w:rsid w:val="10270545"/>
    <w:rsid w:val="108A1D4B"/>
    <w:rsid w:val="10A10111"/>
    <w:rsid w:val="10BE093E"/>
    <w:rsid w:val="110F6D60"/>
    <w:rsid w:val="111B0FE9"/>
    <w:rsid w:val="115F67A8"/>
    <w:rsid w:val="119A7465"/>
    <w:rsid w:val="11C07DA5"/>
    <w:rsid w:val="12375BFD"/>
    <w:rsid w:val="12491386"/>
    <w:rsid w:val="12E60579"/>
    <w:rsid w:val="130579BD"/>
    <w:rsid w:val="13695B36"/>
    <w:rsid w:val="1372609F"/>
    <w:rsid w:val="14092DB2"/>
    <w:rsid w:val="145A6A37"/>
    <w:rsid w:val="1467440F"/>
    <w:rsid w:val="146D46D8"/>
    <w:rsid w:val="14E223AA"/>
    <w:rsid w:val="14F73019"/>
    <w:rsid w:val="15433A9B"/>
    <w:rsid w:val="15BA4A58"/>
    <w:rsid w:val="15D13671"/>
    <w:rsid w:val="15FC2F04"/>
    <w:rsid w:val="16181FAC"/>
    <w:rsid w:val="168756A0"/>
    <w:rsid w:val="16C76DBA"/>
    <w:rsid w:val="16F94849"/>
    <w:rsid w:val="17045E51"/>
    <w:rsid w:val="172011D4"/>
    <w:rsid w:val="17252C3B"/>
    <w:rsid w:val="173F0A2E"/>
    <w:rsid w:val="17770BC2"/>
    <w:rsid w:val="1782729C"/>
    <w:rsid w:val="17860E2F"/>
    <w:rsid w:val="17A119AA"/>
    <w:rsid w:val="17AF1095"/>
    <w:rsid w:val="18586F2B"/>
    <w:rsid w:val="185E5025"/>
    <w:rsid w:val="18AB7118"/>
    <w:rsid w:val="18E23793"/>
    <w:rsid w:val="192F3CC4"/>
    <w:rsid w:val="1935690C"/>
    <w:rsid w:val="19A766B9"/>
    <w:rsid w:val="19BE4F9F"/>
    <w:rsid w:val="19CE76BA"/>
    <w:rsid w:val="19F26070"/>
    <w:rsid w:val="19F97C8B"/>
    <w:rsid w:val="1A1523CE"/>
    <w:rsid w:val="1A21343D"/>
    <w:rsid w:val="1A9B3242"/>
    <w:rsid w:val="1AA730BD"/>
    <w:rsid w:val="1B333D5D"/>
    <w:rsid w:val="1B587618"/>
    <w:rsid w:val="1B5F19C7"/>
    <w:rsid w:val="1C1C709B"/>
    <w:rsid w:val="1C5B514C"/>
    <w:rsid w:val="1C8E17FF"/>
    <w:rsid w:val="1C9F6814"/>
    <w:rsid w:val="1CDF5802"/>
    <w:rsid w:val="1D5C514E"/>
    <w:rsid w:val="1D85395E"/>
    <w:rsid w:val="1D865D14"/>
    <w:rsid w:val="1D8705EC"/>
    <w:rsid w:val="1E1A2252"/>
    <w:rsid w:val="1E43150B"/>
    <w:rsid w:val="1E4C0FD8"/>
    <w:rsid w:val="1EA93E80"/>
    <w:rsid w:val="1ED33FB6"/>
    <w:rsid w:val="1EE81332"/>
    <w:rsid w:val="1EED2D98"/>
    <w:rsid w:val="1F0D6769"/>
    <w:rsid w:val="1F32415A"/>
    <w:rsid w:val="1F5A4199"/>
    <w:rsid w:val="1F7E2174"/>
    <w:rsid w:val="1FC32513"/>
    <w:rsid w:val="20107567"/>
    <w:rsid w:val="208717DB"/>
    <w:rsid w:val="20AB56C6"/>
    <w:rsid w:val="2176507C"/>
    <w:rsid w:val="21BA10C4"/>
    <w:rsid w:val="21BE35AF"/>
    <w:rsid w:val="21C11174"/>
    <w:rsid w:val="21D02DF6"/>
    <w:rsid w:val="22244B28"/>
    <w:rsid w:val="22467FD4"/>
    <w:rsid w:val="22784511"/>
    <w:rsid w:val="229451FD"/>
    <w:rsid w:val="22A12DB6"/>
    <w:rsid w:val="236356D1"/>
    <w:rsid w:val="237B37B0"/>
    <w:rsid w:val="23A91C83"/>
    <w:rsid w:val="23C53635"/>
    <w:rsid w:val="23C962E8"/>
    <w:rsid w:val="24024796"/>
    <w:rsid w:val="2452748C"/>
    <w:rsid w:val="247E4FED"/>
    <w:rsid w:val="24986B99"/>
    <w:rsid w:val="24B30BE8"/>
    <w:rsid w:val="24C6643F"/>
    <w:rsid w:val="24E34060"/>
    <w:rsid w:val="24F40CF4"/>
    <w:rsid w:val="25160C30"/>
    <w:rsid w:val="253A0491"/>
    <w:rsid w:val="25974D19"/>
    <w:rsid w:val="25E036B2"/>
    <w:rsid w:val="25E9082A"/>
    <w:rsid w:val="25F42473"/>
    <w:rsid w:val="26AF2D79"/>
    <w:rsid w:val="26B34B91"/>
    <w:rsid w:val="270D66E8"/>
    <w:rsid w:val="272B1F61"/>
    <w:rsid w:val="27514612"/>
    <w:rsid w:val="27536A11"/>
    <w:rsid w:val="27597388"/>
    <w:rsid w:val="278B0DAB"/>
    <w:rsid w:val="279C6B0E"/>
    <w:rsid w:val="27A64735"/>
    <w:rsid w:val="27CC4DF2"/>
    <w:rsid w:val="281864F2"/>
    <w:rsid w:val="286457CB"/>
    <w:rsid w:val="286903EF"/>
    <w:rsid w:val="287F5DD3"/>
    <w:rsid w:val="288047CB"/>
    <w:rsid w:val="289E62FA"/>
    <w:rsid w:val="28FD17E0"/>
    <w:rsid w:val="291E2CA6"/>
    <w:rsid w:val="29331862"/>
    <w:rsid w:val="298A09E3"/>
    <w:rsid w:val="299E147F"/>
    <w:rsid w:val="29C32A87"/>
    <w:rsid w:val="29CF26DC"/>
    <w:rsid w:val="2A1C5DA0"/>
    <w:rsid w:val="2A200D39"/>
    <w:rsid w:val="2A507EFF"/>
    <w:rsid w:val="2ADC05A4"/>
    <w:rsid w:val="2B1F6ACD"/>
    <w:rsid w:val="2B6F0D7F"/>
    <w:rsid w:val="2B797443"/>
    <w:rsid w:val="2B8716BD"/>
    <w:rsid w:val="2B8B76FF"/>
    <w:rsid w:val="2BD5034F"/>
    <w:rsid w:val="2C0B6845"/>
    <w:rsid w:val="2D00736B"/>
    <w:rsid w:val="2D025012"/>
    <w:rsid w:val="2D4178F0"/>
    <w:rsid w:val="2D965285"/>
    <w:rsid w:val="2DA535EC"/>
    <w:rsid w:val="2DAE631A"/>
    <w:rsid w:val="2DD877E0"/>
    <w:rsid w:val="2DE616C9"/>
    <w:rsid w:val="2DFC2451"/>
    <w:rsid w:val="2E3422F8"/>
    <w:rsid w:val="2E392F37"/>
    <w:rsid w:val="2E6D31FB"/>
    <w:rsid w:val="2E6E566D"/>
    <w:rsid w:val="2E7F188E"/>
    <w:rsid w:val="2EBC0905"/>
    <w:rsid w:val="2EC73739"/>
    <w:rsid w:val="2EEC70D0"/>
    <w:rsid w:val="2EFB1B0E"/>
    <w:rsid w:val="2F33497E"/>
    <w:rsid w:val="2F5C684F"/>
    <w:rsid w:val="303A20E7"/>
    <w:rsid w:val="307776D1"/>
    <w:rsid w:val="30862574"/>
    <w:rsid w:val="30B631E1"/>
    <w:rsid w:val="30E80817"/>
    <w:rsid w:val="311933AA"/>
    <w:rsid w:val="317D15BB"/>
    <w:rsid w:val="31D07E6C"/>
    <w:rsid w:val="31DA5B56"/>
    <w:rsid w:val="323F65DA"/>
    <w:rsid w:val="32412074"/>
    <w:rsid w:val="325B63D6"/>
    <w:rsid w:val="32662F29"/>
    <w:rsid w:val="32A0644D"/>
    <w:rsid w:val="32DE0199"/>
    <w:rsid w:val="3324008E"/>
    <w:rsid w:val="335B2774"/>
    <w:rsid w:val="336D3D6E"/>
    <w:rsid w:val="33A4642E"/>
    <w:rsid w:val="33A877AB"/>
    <w:rsid w:val="33D4039C"/>
    <w:rsid w:val="33D47E05"/>
    <w:rsid w:val="33E27208"/>
    <w:rsid w:val="340017FF"/>
    <w:rsid w:val="3413677D"/>
    <w:rsid w:val="342B544B"/>
    <w:rsid w:val="343839A4"/>
    <w:rsid w:val="345E036E"/>
    <w:rsid w:val="34DE1E4F"/>
    <w:rsid w:val="34F07DB1"/>
    <w:rsid w:val="3536175E"/>
    <w:rsid w:val="358D07D1"/>
    <w:rsid w:val="35B0692A"/>
    <w:rsid w:val="35B911EA"/>
    <w:rsid w:val="35D354B8"/>
    <w:rsid w:val="35D4025C"/>
    <w:rsid w:val="35F516ED"/>
    <w:rsid w:val="35FC2392"/>
    <w:rsid w:val="362666BC"/>
    <w:rsid w:val="368A6B11"/>
    <w:rsid w:val="36A77DAA"/>
    <w:rsid w:val="37085B1F"/>
    <w:rsid w:val="37145883"/>
    <w:rsid w:val="372E04CB"/>
    <w:rsid w:val="37742729"/>
    <w:rsid w:val="38C74515"/>
    <w:rsid w:val="38E070F2"/>
    <w:rsid w:val="390B0AC4"/>
    <w:rsid w:val="390D33AB"/>
    <w:rsid w:val="391E6D06"/>
    <w:rsid w:val="39CE5179"/>
    <w:rsid w:val="3A074847"/>
    <w:rsid w:val="3A695404"/>
    <w:rsid w:val="3AA90FE6"/>
    <w:rsid w:val="3AA9318F"/>
    <w:rsid w:val="3AB62DA0"/>
    <w:rsid w:val="3AC61BD3"/>
    <w:rsid w:val="3AF92578"/>
    <w:rsid w:val="3B7D3FD5"/>
    <w:rsid w:val="3B823DDF"/>
    <w:rsid w:val="3BB73AC8"/>
    <w:rsid w:val="3C084B3D"/>
    <w:rsid w:val="3C237ED3"/>
    <w:rsid w:val="3C91192E"/>
    <w:rsid w:val="3CAA596A"/>
    <w:rsid w:val="3CB1587B"/>
    <w:rsid w:val="3CB735F2"/>
    <w:rsid w:val="3CEC267A"/>
    <w:rsid w:val="3D186684"/>
    <w:rsid w:val="3D363C36"/>
    <w:rsid w:val="3D4C7C96"/>
    <w:rsid w:val="3D8B2178"/>
    <w:rsid w:val="3D942840"/>
    <w:rsid w:val="3DB34909"/>
    <w:rsid w:val="3DD115F5"/>
    <w:rsid w:val="3DD22ADE"/>
    <w:rsid w:val="3DE435F0"/>
    <w:rsid w:val="3DE5122C"/>
    <w:rsid w:val="3DF37E53"/>
    <w:rsid w:val="3E3B6045"/>
    <w:rsid w:val="3E5B6CD4"/>
    <w:rsid w:val="3E5E24F3"/>
    <w:rsid w:val="3ED26DE9"/>
    <w:rsid w:val="3EED17D0"/>
    <w:rsid w:val="3F0C0304"/>
    <w:rsid w:val="3FEC147E"/>
    <w:rsid w:val="3FF931C8"/>
    <w:rsid w:val="4024153A"/>
    <w:rsid w:val="403703F1"/>
    <w:rsid w:val="40376375"/>
    <w:rsid w:val="40A831F8"/>
    <w:rsid w:val="412732B7"/>
    <w:rsid w:val="4127791F"/>
    <w:rsid w:val="41281794"/>
    <w:rsid w:val="413C1FDF"/>
    <w:rsid w:val="41806A69"/>
    <w:rsid w:val="41B0259C"/>
    <w:rsid w:val="41BC6F1C"/>
    <w:rsid w:val="41EF2363"/>
    <w:rsid w:val="41F77860"/>
    <w:rsid w:val="424A4B98"/>
    <w:rsid w:val="42581D3A"/>
    <w:rsid w:val="4262787F"/>
    <w:rsid w:val="42CB7DD0"/>
    <w:rsid w:val="42FE0080"/>
    <w:rsid w:val="43315D2E"/>
    <w:rsid w:val="43824A1C"/>
    <w:rsid w:val="4390486D"/>
    <w:rsid w:val="43D110E1"/>
    <w:rsid w:val="43E873C9"/>
    <w:rsid w:val="44250817"/>
    <w:rsid w:val="44905B1F"/>
    <w:rsid w:val="44E63716"/>
    <w:rsid w:val="45007767"/>
    <w:rsid w:val="45316885"/>
    <w:rsid w:val="4546321F"/>
    <w:rsid w:val="45A95EE9"/>
    <w:rsid w:val="45FB0F21"/>
    <w:rsid w:val="46167166"/>
    <w:rsid w:val="461A2194"/>
    <w:rsid w:val="465E515F"/>
    <w:rsid w:val="47200EE3"/>
    <w:rsid w:val="47435AC2"/>
    <w:rsid w:val="47544B78"/>
    <w:rsid w:val="47587AF7"/>
    <w:rsid w:val="47745A86"/>
    <w:rsid w:val="47E239AC"/>
    <w:rsid w:val="480F4B73"/>
    <w:rsid w:val="48DB38E3"/>
    <w:rsid w:val="49001B5E"/>
    <w:rsid w:val="490552B7"/>
    <w:rsid w:val="49376DB0"/>
    <w:rsid w:val="49804BB7"/>
    <w:rsid w:val="49826DCB"/>
    <w:rsid w:val="499013E7"/>
    <w:rsid w:val="49C8088A"/>
    <w:rsid w:val="4A301C93"/>
    <w:rsid w:val="4A3302AB"/>
    <w:rsid w:val="4A7F3A12"/>
    <w:rsid w:val="4AC85D49"/>
    <w:rsid w:val="4AE308A9"/>
    <w:rsid w:val="4AEB5C43"/>
    <w:rsid w:val="4B294DDA"/>
    <w:rsid w:val="4B9A1456"/>
    <w:rsid w:val="4BA32C82"/>
    <w:rsid w:val="4BD73978"/>
    <w:rsid w:val="4BE70627"/>
    <w:rsid w:val="4C0A5AE1"/>
    <w:rsid w:val="4C130AB8"/>
    <w:rsid w:val="4C391ADB"/>
    <w:rsid w:val="4C5A284D"/>
    <w:rsid w:val="4C63431C"/>
    <w:rsid w:val="4C6C5AF1"/>
    <w:rsid w:val="4CB96B43"/>
    <w:rsid w:val="4CC75FCC"/>
    <w:rsid w:val="4CD63947"/>
    <w:rsid w:val="4CFC49F4"/>
    <w:rsid w:val="4D073D73"/>
    <w:rsid w:val="4D1E27BA"/>
    <w:rsid w:val="4D23574A"/>
    <w:rsid w:val="4D4C4DB0"/>
    <w:rsid w:val="4D6238ED"/>
    <w:rsid w:val="4D7322D5"/>
    <w:rsid w:val="4DAA4F1C"/>
    <w:rsid w:val="4DD7034C"/>
    <w:rsid w:val="4DE312CB"/>
    <w:rsid w:val="4DF5318E"/>
    <w:rsid w:val="4E1F4862"/>
    <w:rsid w:val="4E2E4393"/>
    <w:rsid w:val="4E535EF2"/>
    <w:rsid w:val="4EF11A75"/>
    <w:rsid w:val="4F08773C"/>
    <w:rsid w:val="4F31409F"/>
    <w:rsid w:val="4F5E670E"/>
    <w:rsid w:val="4F846A83"/>
    <w:rsid w:val="50070E2C"/>
    <w:rsid w:val="504A1A7A"/>
    <w:rsid w:val="504B57F2"/>
    <w:rsid w:val="509A4341"/>
    <w:rsid w:val="50C62BC7"/>
    <w:rsid w:val="50F72A66"/>
    <w:rsid w:val="5123368C"/>
    <w:rsid w:val="5130747C"/>
    <w:rsid w:val="514608ED"/>
    <w:rsid w:val="514A3B89"/>
    <w:rsid w:val="515C765A"/>
    <w:rsid w:val="516610D8"/>
    <w:rsid w:val="51905BB3"/>
    <w:rsid w:val="51946FCB"/>
    <w:rsid w:val="51DD796B"/>
    <w:rsid w:val="51DF373B"/>
    <w:rsid w:val="5217441C"/>
    <w:rsid w:val="52427664"/>
    <w:rsid w:val="52EF4CB5"/>
    <w:rsid w:val="52F959F0"/>
    <w:rsid w:val="5302488E"/>
    <w:rsid w:val="53136173"/>
    <w:rsid w:val="539A4AC7"/>
    <w:rsid w:val="53D004E8"/>
    <w:rsid w:val="542631B6"/>
    <w:rsid w:val="545F0C78"/>
    <w:rsid w:val="54647343"/>
    <w:rsid w:val="54A61722"/>
    <w:rsid w:val="54B31FAF"/>
    <w:rsid w:val="54FB4092"/>
    <w:rsid w:val="55326D63"/>
    <w:rsid w:val="555D1A10"/>
    <w:rsid w:val="55CE2B4A"/>
    <w:rsid w:val="5638713A"/>
    <w:rsid w:val="56867733"/>
    <w:rsid w:val="56AC4A78"/>
    <w:rsid w:val="56DB16B9"/>
    <w:rsid w:val="57374425"/>
    <w:rsid w:val="574436DA"/>
    <w:rsid w:val="577A3463"/>
    <w:rsid w:val="57F967AD"/>
    <w:rsid w:val="58052975"/>
    <w:rsid w:val="58E525CA"/>
    <w:rsid w:val="593D045A"/>
    <w:rsid w:val="5960739E"/>
    <w:rsid w:val="59896D0A"/>
    <w:rsid w:val="59B72684"/>
    <w:rsid w:val="59C31E69"/>
    <w:rsid w:val="59CC6E29"/>
    <w:rsid w:val="59CE7D0B"/>
    <w:rsid w:val="5A9579AE"/>
    <w:rsid w:val="5AC468CD"/>
    <w:rsid w:val="5AE42ACB"/>
    <w:rsid w:val="5B212803"/>
    <w:rsid w:val="5B2A2825"/>
    <w:rsid w:val="5B342B9A"/>
    <w:rsid w:val="5B5953B0"/>
    <w:rsid w:val="5B5B1AB4"/>
    <w:rsid w:val="5B630802"/>
    <w:rsid w:val="5B807F68"/>
    <w:rsid w:val="5BDD455D"/>
    <w:rsid w:val="5BFB631F"/>
    <w:rsid w:val="5C034D53"/>
    <w:rsid w:val="5C903B7A"/>
    <w:rsid w:val="5CEC3A93"/>
    <w:rsid w:val="5E1D6F56"/>
    <w:rsid w:val="5E52187F"/>
    <w:rsid w:val="5E6A13CD"/>
    <w:rsid w:val="5E705D15"/>
    <w:rsid w:val="5E92274E"/>
    <w:rsid w:val="5E93326C"/>
    <w:rsid w:val="5E9F1A7A"/>
    <w:rsid w:val="5EFB4BA4"/>
    <w:rsid w:val="5F5F46B5"/>
    <w:rsid w:val="5F895CFD"/>
    <w:rsid w:val="5FB25360"/>
    <w:rsid w:val="5FBA3CC0"/>
    <w:rsid w:val="5FD90D61"/>
    <w:rsid w:val="60177697"/>
    <w:rsid w:val="602329DB"/>
    <w:rsid w:val="602C13CC"/>
    <w:rsid w:val="607777D6"/>
    <w:rsid w:val="60911000"/>
    <w:rsid w:val="60BC76A1"/>
    <w:rsid w:val="610B7637"/>
    <w:rsid w:val="615F5624"/>
    <w:rsid w:val="61BE4076"/>
    <w:rsid w:val="61D215CF"/>
    <w:rsid w:val="622C5484"/>
    <w:rsid w:val="624A69D1"/>
    <w:rsid w:val="625C563D"/>
    <w:rsid w:val="626A1704"/>
    <w:rsid w:val="62AD7E76"/>
    <w:rsid w:val="62B362C8"/>
    <w:rsid w:val="62C1330E"/>
    <w:rsid w:val="630C5A29"/>
    <w:rsid w:val="6342085E"/>
    <w:rsid w:val="636F415C"/>
    <w:rsid w:val="646E2E54"/>
    <w:rsid w:val="64785A9C"/>
    <w:rsid w:val="64917820"/>
    <w:rsid w:val="64AA1CC5"/>
    <w:rsid w:val="651D5BE5"/>
    <w:rsid w:val="656B2909"/>
    <w:rsid w:val="65A3045D"/>
    <w:rsid w:val="65D97752"/>
    <w:rsid w:val="65E25E59"/>
    <w:rsid w:val="65F01CCB"/>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AB6EB4"/>
    <w:rsid w:val="67C90384"/>
    <w:rsid w:val="68011379"/>
    <w:rsid w:val="68252C37"/>
    <w:rsid w:val="68817BAC"/>
    <w:rsid w:val="689A5E59"/>
    <w:rsid w:val="68C70647"/>
    <w:rsid w:val="68EE72DF"/>
    <w:rsid w:val="692E2EB0"/>
    <w:rsid w:val="69485FEA"/>
    <w:rsid w:val="694C7BCA"/>
    <w:rsid w:val="69677DC0"/>
    <w:rsid w:val="69937EC7"/>
    <w:rsid w:val="69D64558"/>
    <w:rsid w:val="6A042548"/>
    <w:rsid w:val="6A2E7AC1"/>
    <w:rsid w:val="6A471EFD"/>
    <w:rsid w:val="6A90616B"/>
    <w:rsid w:val="6A9F0B97"/>
    <w:rsid w:val="6AB57116"/>
    <w:rsid w:val="6AE73176"/>
    <w:rsid w:val="6B17424A"/>
    <w:rsid w:val="6B2218FA"/>
    <w:rsid w:val="6B3B630B"/>
    <w:rsid w:val="6B691672"/>
    <w:rsid w:val="6BE97F42"/>
    <w:rsid w:val="6C5E6A51"/>
    <w:rsid w:val="6C6513C3"/>
    <w:rsid w:val="6C744268"/>
    <w:rsid w:val="6CD62D03"/>
    <w:rsid w:val="6CD97FB6"/>
    <w:rsid w:val="6D4B22B8"/>
    <w:rsid w:val="6D930013"/>
    <w:rsid w:val="6DD4663E"/>
    <w:rsid w:val="6E1A1656"/>
    <w:rsid w:val="6E231DD6"/>
    <w:rsid w:val="6E5A5288"/>
    <w:rsid w:val="6EAD13B4"/>
    <w:rsid w:val="6EE013EE"/>
    <w:rsid w:val="6EE079F1"/>
    <w:rsid w:val="6EE42C42"/>
    <w:rsid w:val="6F7F7CB0"/>
    <w:rsid w:val="6FE0165C"/>
    <w:rsid w:val="6FE6309C"/>
    <w:rsid w:val="6FF0551E"/>
    <w:rsid w:val="70222744"/>
    <w:rsid w:val="70414AFE"/>
    <w:rsid w:val="706D2B21"/>
    <w:rsid w:val="707B1384"/>
    <w:rsid w:val="70857A34"/>
    <w:rsid w:val="70985D3C"/>
    <w:rsid w:val="71047C73"/>
    <w:rsid w:val="7109004F"/>
    <w:rsid w:val="71103167"/>
    <w:rsid w:val="712E56F7"/>
    <w:rsid w:val="71642194"/>
    <w:rsid w:val="71691ABB"/>
    <w:rsid w:val="718070C4"/>
    <w:rsid w:val="71AE1AEA"/>
    <w:rsid w:val="71CF3B6C"/>
    <w:rsid w:val="71E018D0"/>
    <w:rsid w:val="71F80F33"/>
    <w:rsid w:val="722922C6"/>
    <w:rsid w:val="728121EC"/>
    <w:rsid w:val="72CB02F9"/>
    <w:rsid w:val="72D65E1A"/>
    <w:rsid w:val="732D4B5D"/>
    <w:rsid w:val="73393C88"/>
    <w:rsid w:val="7362513F"/>
    <w:rsid w:val="7372081D"/>
    <w:rsid w:val="73740A39"/>
    <w:rsid w:val="73771D49"/>
    <w:rsid w:val="73A1354E"/>
    <w:rsid w:val="73FD320D"/>
    <w:rsid w:val="74001973"/>
    <w:rsid w:val="741144D9"/>
    <w:rsid w:val="74A11E7D"/>
    <w:rsid w:val="74B25745"/>
    <w:rsid w:val="74F97739"/>
    <w:rsid w:val="75301108"/>
    <w:rsid w:val="75590B0A"/>
    <w:rsid w:val="7582279F"/>
    <w:rsid w:val="75843EB5"/>
    <w:rsid w:val="75BB71AF"/>
    <w:rsid w:val="75F01962"/>
    <w:rsid w:val="760E19DF"/>
    <w:rsid w:val="760E5C83"/>
    <w:rsid w:val="761B75CE"/>
    <w:rsid w:val="76676A53"/>
    <w:rsid w:val="76710771"/>
    <w:rsid w:val="76AA5DBC"/>
    <w:rsid w:val="76B620A1"/>
    <w:rsid w:val="76F20814"/>
    <w:rsid w:val="772C4597"/>
    <w:rsid w:val="772F7CF3"/>
    <w:rsid w:val="77445FBB"/>
    <w:rsid w:val="77462524"/>
    <w:rsid w:val="7754544E"/>
    <w:rsid w:val="77A21064"/>
    <w:rsid w:val="77E34EB2"/>
    <w:rsid w:val="781564B8"/>
    <w:rsid w:val="78224ACF"/>
    <w:rsid w:val="788A2AAC"/>
    <w:rsid w:val="78B414C4"/>
    <w:rsid w:val="78CD6DCC"/>
    <w:rsid w:val="78D07CAF"/>
    <w:rsid w:val="78DE12D7"/>
    <w:rsid w:val="78FC2038"/>
    <w:rsid w:val="78FC33D7"/>
    <w:rsid w:val="79210683"/>
    <w:rsid w:val="799C3465"/>
    <w:rsid w:val="79B14EC4"/>
    <w:rsid w:val="79BE1ECC"/>
    <w:rsid w:val="7A2A6B4A"/>
    <w:rsid w:val="7A681070"/>
    <w:rsid w:val="7A860C7C"/>
    <w:rsid w:val="7AB879FE"/>
    <w:rsid w:val="7B3264DD"/>
    <w:rsid w:val="7B7374F2"/>
    <w:rsid w:val="7B81188A"/>
    <w:rsid w:val="7B9E2902"/>
    <w:rsid w:val="7BC854E2"/>
    <w:rsid w:val="7BCC5788"/>
    <w:rsid w:val="7BFF4FC1"/>
    <w:rsid w:val="7C0562EC"/>
    <w:rsid w:val="7C27683F"/>
    <w:rsid w:val="7C4B37FA"/>
    <w:rsid w:val="7C8B6DF3"/>
    <w:rsid w:val="7CB14B4D"/>
    <w:rsid w:val="7CF26969"/>
    <w:rsid w:val="7D25523C"/>
    <w:rsid w:val="7DB23041"/>
    <w:rsid w:val="7E5F7809"/>
    <w:rsid w:val="7EB22415"/>
    <w:rsid w:val="7ED56C53"/>
    <w:rsid w:val="7EEA1BAF"/>
    <w:rsid w:val="7F5460D4"/>
    <w:rsid w:val="7F552892"/>
    <w:rsid w:val="7FDB4AD0"/>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7"/>
    <w:next w:val="1"/>
    <w:link w:val="48"/>
    <w:qFormat/>
    <w:uiPriority w:val="9"/>
    <w:pPr>
      <w:keepNext/>
      <w:keepLines/>
      <w:jc w:val="center"/>
      <w:outlineLvl w:val="0"/>
    </w:pPr>
    <w:rPr>
      <w:b/>
      <w:bCs/>
      <w:kern w:val="44"/>
      <w:sz w:val="36"/>
      <w:szCs w:val="44"/>
    </w:rPr>
  </w:style>
  <w:style w:type="paragraph" w:styleId="8">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9">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10">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semiHidden/>
    <w:qFormat/>
    <w:uiPriority w:val="99"/>
    <w:pPr>
      <w:spacing w:line="276" w:lineRule="auto"/>
      <w:ind w:firstLine="420" w:firstLineChars="200"/>
      <w:jc w:val="left"/>
    </w:pPr>
  </w:style>
  <w:style w:type="paragraph" w:styleId="3">
    <w:name w:val="Body Text Indent"/>
    <w:basedOn w:val="1"/>
    <w:next w:val="4"/>
    <w:link w:val="80"/>
    <w:qFormat/>
    <w:uiPriority w:val="99"/>
    <w:pPr>
      <w:spacing w:after="120"/>
      <w:ind w:left="420" w:leftChars="200"/>
    </w:pPr>
    <w:rPr>
      <w:rFonts w:ascii="Calibri" w:hAnsi="Calibri" w:eastAsia="宋体" w:cs="Times New Roman"/>
      <w:szCs w:val="20"/>
    </w:rPr>
  </w:style>
  <w:style w:type="paragraph" w:styleId="4">
    <w:name w:val="envelope return"/>
    <w:basedOn w:val="1"/>
    <w:qFormat/>
    <w:uiPriority w:val="0"/>
    <w:pPr>
      <w:snapToGrid w:val="0"/>
    </w:pPr>
    <w:rPr>
      <w:rFonts w:ascii="Arial" w:hAnsi="Arial"/>
    </w:rPr>
  </w:style>
  <w:style w:type="paragraph" w:styleId="5">
    <w:name w:val="List"/>
    <w:basedOn w:val="1"/>
    <w:qFormat/>
    <w:uiPriority w:val="99"/>
    <w:pPr>
      <w:ind w:left="420" w:hanging="420"/>
    </w:pPr>
    <w:rPr>
      <w:rFonts w:ascii="Times New Roman" w:hAnsi="Times New Roman" w:eastAsia="宋体" w:cs="Times New Roman"/>
      <w:szCs w:val="20"/>
    </w:rPr>
  </w:style>
  <w:style w:type="paragraph" w:styleId="7">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1"/>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2"/>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Plain Text"/>
    <w:basedOn w:val="1"/>
    <w:link w:val="73"/>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4"/>
    <w:qFormat/>
    <w:uiPriority w:val="0"/>
    <w:pPr>
      <w:ind w:left="100" w:leftChars="2500"/>
    </w:pPr>
    <w:rPr>
      <w:sz w:val="24"/>
    </w:rPr>
  </w:style>
  <w:style w:type="paragraph" w:styleId="24">
    <w:name w:val="Body Text Indent 2"/>
    <w:basedOn w:val="1"/>
    <w:link w:val="52"/>
    <w:qFormat/>
    <w:uiPriority w:val="0"/>
    <w:pPr>
      <w:spacing w:after="120" w:line="480" w:lineRule="auto"/>
      <w:ind w:left="420" w:leftChars="200"/>
    </w:pPr>
  </w:style>
  <w:style w:type="paragraph" w:styleId="25">
    <w:name w:val="Balloon Text"/>
    <w:basedOn w:val="1"/>
    <w:link w:val="68"/>
    <w:qFormat/>
    <w:uiPriority w:val="0"/>
    <w:rPr>
      <w:sz w:val="18"/>
    </w:rPr>
  </w:style>
  <w:style w:type="paragraph" w:styleId="26">
    <w:name w:val="footer"/>
    <w:basedOn w:val="1"/>
    <w:link w:val="74"/>
    <w:qFormat/>
    <w:uiPriority w:val="99"/>
    <w:pPr>
      <w:tabs>
        <w:tab w:val="center" w:pos="4153"/>
        <w:tab w:val="right" w:pos="8306"/>
      </w:tabs>
      <w:snapToGrid w:val="0"/>
      <w:jc w:val="left"/>
    </w:pPr>
    <w:rPr>
      <w:sz w:val="18"/>
    </w:rPr>
  </w:style>
  <w:style w:type="paragraph" w:styleId="27">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4"/>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6"/>
    <w:next w:val="16"/>
    <w:link w:val="53"/>
    <w:qFormat/>
    <w:uiPriority w:val="0"/>
    <w:rPr>
      <w:b/>
    </w:r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6"/>
    <w:qFormat/>
    <w:uiPriority w:val="9"/>
    <w:rPr>
      <w:rFonts w:ascii="Calibri" w:hAnsi="Calibri" w:eastAsia="宋体" w:cs="Times New Roman"/>
      <w:b/>
      <w:bCs/>
      <w:kern w:val="44"/>
      <w:sz w:val="36"/>
      <w:szCs w:val="44"/>
    </w:rPr>
  </w:style>
  <w:style w:type="character" w:customStyle="1" w:styleId="49">
    <w:name w:val="标题 2 Char"/>
    <w:basedOn w:val="40"/>
    <w:link w:val="8"/>
    <w:qFormat/>
    <w:uiPriority w:val="9"/>
    <w:rPr>
      <w:rFonts w:ascii="Arial" w:hAnsi="Arial" w:eastAsia="宋体" w:cs="Times New Roman"/>
      <w:b/>
      <w:bCs/>
      <w:sz w:val="24"/>
      <w:szCs w:val="32"/>
    </w:rPr>
  </w:style>
  <w:style w:type="character" w:customStyle="1" w:styleId="50">
    <w:name w:val="标题 3 Char"/>
    <w:basedOn w:val="40"/>
    <w:link w:val="9"/>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4"/>
    <w:qFormat/>
    <w:locked/>
    <w:uiPriority w:val="0"/>
  </w:style>
  <w:style w:type="character" w:customStyle="1" w:styleId="53">
    <w:name w:val="批注主题 Char1"/>
    <w:link w:val="37"/>
    <w:qFormat/>
    <w:locked/>
    <w:uiPriority w:val="0"/>
    <w:rPr>
      <w:b/>
    </w:rPr>
  </w:style>
  <w:style w:type="character" w:customStyle="1" w:styleId="54">
    <w:name w:val="正文文本缩进 3 Char"/>
    <w:link w:val="31"/>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7"/>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6"/>
    <w:qFormat/>
    <w:locked/>
    <w:uiPriority w:val="0"/>
  </w:style>
  <w:style w:type="character" w:customStyle="1" w:styleId="63">
    <w:name w:val="标题 Char"/>
    <w:link w:val="36"/>
    <w:qFormat/>
    <w:locked/>
    <w:uiPriority w:val="0"/>
    <w:rPr>
      <w:rFonts w:ascii="Arial" w:hAnsi="Arial"/>
      <w:b/>
      <w:sz w:val="32"/>
    </w:rPr>
  </w:style>
  <w:style w:type="character" w:customStyle="1" w:styleId="64">
    <w:name w:val="日期 Char"/>
    <w:link w:val="23"/>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5"/>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4"/>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21"/>
    <w:qFormat/>
    <w:locked/>
    <w:uiPriority w:val="0"/>
    <w:rPr>
      <w:rFonts w:ascii="宋体" w:hAnsi="Courier New"/>
    </w:rPr>
  </w:style>
  <w:style w:type="character" w:customStyle="1" w:styleId="74">
    <w:name w:val="页脚 Char1"/>
    <w:link w:val="26"/>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3"/>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18"/>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21"/>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8"/>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9"/>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6"/>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6"/>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1正文段落"/>
    <w:basedOn w:val="1"/>
    <w:qFormat/>
    <w:uiPriority w:val="0"/>
    <w:pPr>
      <w:spacing w:line="360" w:lineRule="auto"/>
      <w:ind w:firstLine="480" w:firstLineChars="200"/>
      <w:jc w:val="left"/>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header" Target="header5.xml"/><Relationship Id="rId31" Type="http://schemas.openxmlformats.org/officeDocument/2006/relationships/header" Target="header4.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90</Pages>
  <Words>43154</Words>
  <Characters>45462</Characters>
  <Lines>335</Lines>
  <Paragraphs>94</Paragraphs>
  <TotalTime>8</TotalTime>
  <ScaleCrop>false</ScaleCrop>
  <LinksUpToDate>false</LinksUpToDate>
  <CharactersWithSpaces>52182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黄赛昌</cp:lastModifiedBy>
  <cp:lastPrinted>2022-07-01T03:19:00Z</cp:lastPrinted>
  <dcterms:modified xsi:type="dcterms:W3CDTF">2024-03-30T06:54:02Z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